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9CBD" w14:textId="77777777" w:rsidR="007330AE" w:rsidRPr="004A285D" w:rsidRDefault="003D1E9F">
      <w:pPr>
        <w:pStyle w:val="Heading1"/>
        <w:ind w:left="1" w:hanging="3"/>
        <w:rPr>
          <w:b/>
          <w:bCs/>
          <w:sz w:val="24"/>
          <w:szCs w:val="24"/>
        </w:rPr>
      </w:pPr>
      <w:r w:rsidRPr="004A285D">
        <w:rPr>
          <w:b/>
          <w:bCs/>
          <w:sz w:val="32"/>
        </w:rPr>
        <w:t xml:space="preserve">Using Local Assessment Data: </w:t>
      </w:r>
      <w:proofErr w:type="spellStart"/>
      <w:r w:rsidRPr="004A285D">
        <w:rPr>
          <w:b/>
          <w:bCs/>
          <w:sz w:val="32"/>
        </w:rPr>
        <w:t>iReady</w:t>
      </w:r>
      <w:proofErr w:type="spellEnd"/>
    </w:p>
    <w:p w14:paraId="371EBE6D" w14:textId="77777777" w:rsidR="007330AE" w:rsidRDefault="003D1E9F">
      <w:pPr>
        <w:rPr>
          <w:b/>
          <w:color w:val="FFFFFF"/>
          <w:sz w:val="24"/>
          <w:szCs w:val="24"/>
        </w:rPr>
      </w:pPr>
      <w:r>
        <w:rPr>
          <w:b/>
          <w:color w:val="FFFFFF"/>
          <w:sz w:val="24"/>
          <w:szCs w:val="24"/>
        </w:rPr>
        <w:t>Improvement Planning &amp; Supports Unit</w:t>
      </w:r>
    </w:p>
    <w:p w14:paraId="317C252E" w14:textId="77777777" w:rsidR="007330AE" w:rsidRDefault="003D1E9F">
      <w:pPr>
        <w:rPr>
          <w:b/>
          <w:color w:val="FFFFFF"/>
          <w:sz w:val="24"/>
          <w:szCs w:val="24"/>
        </w:rPr>
      </w:pPr>
      <w:r>
        <w:rPr>
          <w:b/>
          <w:color w:val="FFFFFF"/>
          <w:sz w:val="24"/>
          <w:szCs w:val="24"/>
        </w:rPr>
        <w:t>Colorado Department of Education</w:t>
      </w:r>
    </w:p>
    <w:p w14:paraId="02AB176D" w14:textId="77777777" w:rsidR="007330AE" w:rsidRDefault="007330AE"/>
    <w:p w14:paraId="78AE6F89" w14:textId="77777777" w:rsidR="007330AE" w:rsidRDefault="007330AE">
      <w:pPr>
        <w:spacing w:line="276" w:lineRule="auto"/>
        <w:rPr>
          <w:rFonts w:ascii="Arial" w:eastAsia="Arial" w:hAnsi="Arial" w:cs="Arial"/>
          <w:b/>
          <w:sz w:val="22"/>
          <w:szCs w:val="22"/>
        </w:rPr>
      </w:pPr>
    </w:p>
    <w:p w14:paraId="56F9CACA" w14:textId="77777777" w:rsidR="007330AE" w:rsidRDefault="007330AE">
      <w:pPr>
        <w:spacing w:line="276" w:lineRule="auto"/>
        <w:rPr>
          <w:rFonts w:ascii="Arial" w:eastAsia="Arial" w:hAnsi="Arial" w:cs="Arial"/>
          <w:b/>
          <w:sz w:val="22"/>
          <w:szCs w:val="22"/>
        </w:rPr>
      </w:pPr>
    </w:p>
    <w:p w14:paraId="47E58711" w14:textId="77777777" w:rsidR="007330AE" w:rsidRDefault="003D1E9F">
      <w:pPr>
        <w:pStyle w:val="Heading3"/>
        <w:ind w:left="1" w:hanging="3"/>
      </w:pPr>
      <w:bookmarkStart w:id="0" w:name="_heading=h.n6uajgo2c4v" w:colFirst="0" w:colLast="0"/>
      <w:bookmarkEnd w:id="0"/>
      <w:r>
        <w:t>Overview</w:t>
      </w:r>
    </w:p>
    <w:p w14:paraId="4B7B6F4B" w14:textId="77777777" w:rsidR="007330AE" w:rsidRDefault="003D1E9F">
      <w:pPr>
        <w:pStyle w:val="Heading3"/>
        <w:ind w:left="0" w:right="720" w:hanging="2"/>
        <w:rPr>
          <w:b w:val="0"/>
          <w:sz w:val="22"/>
          <w:szCs w:val="22"/>
        </w:rPr>
      </w:pPr>
      <w:bookmarkStart w:id="1" w:name="_heading=h.ewfapzccjv7h" w:colFirst="0" w:colLast="0"/>
      <w:bookmarkEnd w:id="1"/>
      <w:r>
        <w:rPr>
          <w:b w:val="0"/>
          <w:i/>
          <w:sz w:val="22"/>
          <w:szCs w:val="22"/>
        </w:rPr>
        <w:t xml:space="preserve">The purpose of this document is to support local education agencies with use of local assessments for the improvement planning process.  The shift in the UIP timeline, beginning in the 2021-22 school year, has made the use of local assessment data especially relevant for improvement planning, monitoring progress and determining student growth.  </w:t>
      </w:r>
      <w:r>
        <w:rPr>
          <w:noProof/>
        </w:rPr>
        <mc:AlternateContent>
          <mc:Choice Requires="wpg">
            <w:drawing>
              <wp:anchor distT="114300" distB="114300" distL="114300" distR="114300" simplePos="0" relativeHeight="251658240" behindDoc="0" locked="0" layoutInCell="1" hidden="0" allowOverlap="1" wp14:anchorId="300A23D5" wp14:editId="100D7DA5">
                <wp:simplePos x="0" y="0"/>
                <wp:positionH relativeFrom="column">
                  <wp:posOffset>4838700</wp:posOffset>
                </wp:positionH>
                <wp:positionV relativeFrom="paragraph">
                  <wp:posOffset>876300</wp:posOffset>
                </wp:positionV>
                <wp:extent cx="2019450" cy="3062600"/>
                <wp:effectExtent l="0" t="0" r="19050" b="0"/>
                <wp:wrapSquare wrapText="bothSides" distT="114300" distB="114300" distL="114300" distR="114300"/>
                <wp:docPr id="5" name="Group 5"/>
                <wp:cNvGraphicFramePr/>
                <a:graphic xmlns:a="http://schemas.openxmlformats.org/drawingml/2006/main">
                  <a:graphicData uri="http://schemas.microsoft.com/office/word/2010/wordprocessingGroup">
                    <wpg:wgp>
                      <wpg:cNvGrpSpPr/>
                      <wpg:grpSpPr>
                        <a:xfrm>
                          <a:off x="0" y="0"/>
                          <a:ext cx="2019450" cy="3062600"/>
                          <a:chOff x="2449700" y="578350"/>
                          <a:chExt cx="1991775" cy="3027361"/>
                        </a:xfrm>
                      </wpg:grpSpPr>
                      <wps:wsp>
                        <wps:cNvPr id="1" name="Rectangle 1"/>
                        <wps:cNvSpPr/>
                        <wps:spPr>
                          <a:xfrm>
                            <a:off x="2450675" y="578350"/>
                            <a:ext cx="1990800" cy="2932800"/>
                          </a:xfrm>
                          <a:prstGeom prst="rect">
                            <a:avLst/>
                          </a:prstGeom>
                          <a:noFill/>
                          <a:ln w="9525" cap="flat" cmpd="sng">
                            <a:solidFill>
                              <a:srgbClr val="000000"/>
                            </a:solidFill>
                            <a:prstDash val="solid"/>
                            <a:round/>
                            <a:headEnd type="none" w="sm" len="sm"/>
                            <a:tailEnd type="none" w="sm" len="sm"/>
                          </a:ln>
                        </wps:spPr>
                        <wps:txbx>
                          <w:txbxContent>
                            <w:p w14:paraId="47B27C20" w14:textId="77777777" w:rsidR="007330AE" w:rsidRDefault="007330AE">
                              <w:pPr>
                                <w:textDirection w:val="btLr"/>
                              </w:pPr>
                            </w:p>
                          </w:txbxContent>
                        </wps:txbx>
                        <wps:bodyPr spcFirstLastPara="1" wrap="square" lIns="91425" tIns="91425" rIns="91425" bIns="91425" anchor="ctr" anchorCtr="0">
                          <a:noAutofit/>
                        </wps:bodyPr>
                      </wps:wsp>
                      <wps:wsp>
                        <wps:cNvPr id="2" name="Text Box 2"/>
                        <wps:cNvSpPr txBox="1"/>
                        <wps:spPr>
                          <a:xfrm>
                            <a:off x="2449700" y="578375"/>
                            <a:ext cx="1990345" cy="3027336"/>
                          </a:xfrm>
                          <a:prstGeom prst="rect">
                            <a:avLst/>
                          </a:prstGeom>
                          <a:noFill/>
                          <a:ln>
                            <a:noFill/>
                          </a:ln>
                        </wps:spPr>
                        <wps:txbx>
                          <w:txbxContent>
                            <w:p w14:paraId="268C332F" w14:textId="77777777" w:rsidR="007330AE" w:rsidRDefault="003D1E9F">
                              <w:pPr>
                                <w:spacing w:after="160" w:line="259" w:lineRule="auto"/>
                                <w:ind w:right="10"/>
                                <w:textDirection w:val="btLr"/>
                              </w:pPr>
                              <w:r>
                                <w:rPr>
                                  <w:b/>
                                  <w:color w:val="000000"/>
                                </w:rPr>
                                <w:t>Additional Impact of COVID-related Disruptions in Data</w:t>
                              </w:r>
                            </w:p>
                            <w:p w14:paraId="6B9464A5" w14:textId="77777777" w:rsidR="007330AE" w:rsidRDefault="003D1E9F">
                              <w:pPr>
                                <w:spacing w:after="160" w:line="259" w:lineRule="auto"/>
                                <w:ind w:right="10"/>
                                <w:textDirection w:val="btLr"/>
                              </w:pPr>
                              <w:r>
                                <w:rPr>
                                  <w:color w:val="000000"/>
                                </w:rPr>
                                <w:t>COVID-19 has significantly disrupted state summative assessment testing and reporting in Colorado.  During the Spring of 2021, this resulted in only a single CMAS test administration in each content area at the elementary, middle, and high school levels. Because multiple years of data are required for determining individual student growth, these disruptions have limited the availability of Colorado growth model data and reports.</w:t>
                              </w:r>
                            </w:p>
                          </w:txbxContent>
                        </wps:txbx>
                        <wps:bodyPr spcFirstLastPara="1" wrap="square" lIns="91425" tIns="91425" rIns="91425" bIns="91425" anchor="t" anchorCtr="0">
                          <a:spAutoFit/>
                        </wps:bodyPr>
                      </wps:wsp>
                    </wpg:wgp>
                  </a:graphicData>
                </a:graphic>
              </wp:anchor>
            </w:drawing>
          </mc:Choice>
          <mc:Fallback>
            <w:pict>
              <v:group w14:anchorId="300A23D5" id="Group 5" o:spid="_x0000_s1026" style="position:absolute;margin-left:381pt;margin-top:69pt;width:159pt;height:241.15pt;z-index:251658240;mso-wrap-distance-top:9pt;mso-wrap-distance-bottom:9pt" coordorigin="24497,5783" coordsize="19917,3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">
                <v:rect id="Rectangle 1" o:spid="_x0000_s1027" style="position:absolute;left:24506;top:5783;width:19908;height:29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" filled="f">
                  <v:stroke startarrowwidth="narrow" startarrowlength="short" endarrowwidth="narrow" endarrowlength="short" joinstyle="round"/>
                  <v:textbox inset="2.53958mm,2.53958mm,2.53958mm,2.53958mm">
                    <w:txbxContent>
                      <w:p w14:paraId="47B27C20" w14:textId="77777777" w:rsidR="007330AE" w:rsidRDefault="007330AE">
                        <w:pPr>
                          <w:textDirection w:val="btLr"/>
                        </w:pPr>
                      </w:p>
                    </w:txbxContent>
                  </v:textbox>
                </v:rect>
                <v:shapetype id="_x0000_t202" coordsize="21600,21600" o:spt="202" path="m,l,21600r21600,l21600,xe">
                  <v:stroke joinstyle="miter"/>
                  <v:path gradientshapeok="t" o:connecttype="rect"/>
                </v:shapetype>
                <v:shape id="Text Box 2" o:spid="_x0000_s1028" type="#_x0000_t202" style="position:absolute;left:24497;top:5783;width:19903;height:30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268C332F" w14:textId="77777777" w:rsidR="007330AE" w:rsidRDefault="003D1E9F">
                        <w:pPr>
                          <w:spacing w:after="160" w:line="259" w:lineRule="auto"/>
                          <w:ind w:right="10"/>
                          <w:textDirection w:val="btLr"/>
                        </w:pPr>
                        <w:r>
                          <w:rPr>
                            <w:b/>
                            <w:color w:val="000000"/>
                          </w:rPr>
                          <w:t>Additional Impact of COVID-related Disruptions in Data</w:t>
                        </w:r>
                      </w:p>
                      <w:p w14:paraId="6B9464A5" w14:textId="77777777" w:rsidR="007330AE" w:rsidRDefault="003D1E9F">
                        <w:pPr>
                          <w:spacing w:after="160" w:line="259" w:lineRule="auto"/>
                          <w:ind w:right="10"/>
                          <w:textDirection w:val="btLr"/>
                        </w:pPr>
                        <w:r>
                          <w:rPr>
                            <w:color w:val="000000"/>
                          </w:rPr>
                          <w:t>COVID-19 has significantly disrupted state summative assessment testing and reporting in Colorado.  Duri</w:t>
                        </w:r>
                        <w:r>
                          <w:rPr>
                            <w:color w:val="000000"/>
                          </w:rPr>
                          <w:t xml:space="preserve">ng the Spring of 2021, this resulted in only a single CMAS test administration in each content area at the elementary, middle, and high school levels. Because multiple years of data are required for determining individual student growth, these disruptions </w:t>
                        </w:r>
                        <w:r>
                          <w:rPr>
                            <w:color w:val="000000"/>
                          </w:rPr>
                          <w:t>have limited the availability of Colorado growth model data and reports.</w:t>
                        </w:r>
                      </w:p>
                    </w:txbxContent>
                  </v:textbox>
                </v:shape>
                <w10:wrap type="square"/>
              </v:group>
            </w:pict>
          </mc:Fallback>
        </mc:AlternateContent>
      </w:r>
    </w:p>
    <w:p w14:paraId="59695B19" w14:textId="77777777" w:rsidR="007330AE" w:rsidRDefault="003D1E9F">
      <w:pPr>
        <w:pStyle w:val="Heading4"/>
        <w:spacing w:after="160" w:line="259" w:lineRule="auto"/>
        <w:ind w:right="3600"/>
      </w:pPr>
      <w:bookmarkStart w:id="2" w:name="_heading=h.um5li3lvbq0c" w:colFirst="0" w:colLast="0"/>
      <w:bookmarkEnd w:id="2"/>
      <w:r>
        <w:t>State Summative Data in Improvement Planning</w:t>
      </w:r>
    </w:p>
    <w:p w14:paraId="39D8B988" w14:textId="77777777" w:rsidR="007330AE" w:rsidRDefault="003D1E9F">
      <w:pPr>
        <w:spacing w:after="160" w:line="259" w:lineRule="auto"/>
        <w:ind w:right="720"/>
        <w:rPr>
          <w:sz w:val="22"/>
          <w:szCs w:val="22"/>
        </w:rPr>
      </w:pPr>
      <w:r>
        <w:rPr>
          <w:sz w:val="22"/>
          <w:szCs w:val="22"/>
        </w:rPr>
        <w:t xml:space="preserve">Beginning in 2021-22, all Unified Improvement Plans required for the year must be submitted for public posting by October 15th. This new timeline means that schools and districts have a </w:t>
      </w:r>
      <w:proofErr w:type="gramStart"/>
      <w:r>
        <w:rPr>
          <w:sz w:val="22"/>
          <w:szCs w:val="22"/>
        </w:rPr>
        <w:t>fairly short</w:t>
      </w:r>
      <w:proofErr w:type="gramEnd"/>
      <w:r>
        <w:rPr>
          <w:sz w:val="22"/>
          <w:szCs w:val="22"/>
        </w:rPr>
        <w:t xml:space="preserve"> window for reviewing and analyzing their state assessment data before the UIP public posting deadline. </w:t>
      </w:r>
    </w:p>
    <w:p w14:paraId="4A525C04" w14:textId="77777777" w:rsidR="007330AE" w:rsidRDefault="003D1E9F">
      <w:pPr>
        <w:spacing w:after="160" w:line="259" w:lineRule="auto"/>
        <w:ind w:right="720"/>
        <w:rPr>
          <w:sz w:val="22"/>
          <w:szCs w:val="22"/>
        </w:rPr>
      </w:pPr>
      <w:r>
        <w:rPr>
          <w:sz w:val="22"/>
          <w:szCs w:val="22"/>
        </w:rPr>
        <w:t xml:space="preserve">Because schools have access to Local Assessment Data throughout the school year, on the other hand, they can use it to begin the planning process before state-level data is available. Once state-level data is released, it can be used to check and adjust the plans already in development.  </w:t>
      </w:r>
    </w:p>
    <w:p w14:paraId="54A0D57A" w14:textId="77777777" w:rsidR="007330AE" w:rsidRDefault="003D1E9F">
      <w:pPr>
        <w:pStyle w:val="Heading4"/>
        <w:spacing w:after="160" w:line="259" w:lineRule="auto"/>
        <w:ind w:right="1440"/>
      </w:pPr>
      <w:bookmarkStart w:id="3" w:name="_heading=h.31vbrjqsy1mf" w:colFirst="0" w:colLast="0"/>
      <w:bookmarkEnd w:id="3"/>
      <w:r>
        <w:t>Using Local Assessment Data for Improvement Planning</w:t>
      </w:r>
    </w:p>
    <w:p w14:paraId="392A82DC" w14:textId="77777777" w:rsidR="007330AE" w:rsidRDefault="003D1E9F">
      <w:pPr>
        <w:spacing w:after="200" w:line="276" w:lineRule="auto"/>
        <w:rPr>
          <w:sz w:val="22"/>
          <w:szCs w:val="22"/>
        </w:rPr>
      </w:pPr>
      <w:r>
        <w:rPr>
          <w:sz w:val="22"/>
          <w:szCs w:val="22"/>
        </w:rPr>
        <w:t>Because local assessments are under the control of the school and can be administered many times throughout the year, they play a crucial role in nimble and responsive school improvement efforts. They can be used to set and track progress towards meaningful interim student performance targets, which will in turn give schools an early indication of whether students are on track to meet the annual performance targets identified in the school’s improvement plan. Where these interim targets are met, this is a good indication that improvement strategies are positively affecting student outcomes. When targets are missed, schools have an opportunity to make mid-course adjustments to respond to student needs.</w:t>
      </w:r>
    </w:p>
    <w:p w14:paraId="2EEB0E16" w14:textId="77777777" w:rsidR="007330AE" w:rsidRDefault="003D1E9F">
      <w:pPr>
        <w:spacing w:after="200" w:line="259" w:lineRule="auto"/>
        <w:rPr>
          <w:sz w:val="22"/>
          <w:szCs w:val="22"/>
        </w:rPr>
      </w:pPr>
      <w:proofErr w:type="gramStart"/>
      <w:r>
        <w:rPr>
          <w:sz w:val="22"/>
          <w:szCs w:val="22"/>
        </w:rPr>
        <w:t>In order to</w:t>
      </w:r>
      <w:proofErr w:type="gramEnd"/>
      <w:r>
        <w:rPr>
          <w:sz w:val="22"/>
          <w:szCs w:val="22"/>
        </w:rPr>
        <w:t xml:space="preserve"> better understand the scope of assessments being used by districts throughout the state of Colorado, the Colorado Department of Education conducted an analysis of Unified Improvement Plans to identify the key assessment systems utilized in recent academic years.  The analysis indicated that </w:t>
      </w:r>
      <w:proofErr w:type="spellStart"/>
      <w:r>
        <w:rPr>
          <w:sz w:val="22"/>
          <w:szCs w:val="22"/>
        </w:rPr>
        <w:t>iReady</w:t>
      </w:r>
      <w:proofErr w:type="spellEnd"/>
      <w:r>
        <w:rPr>
          <w:sz w:val="22"/>
          <w:szCs w:val="22"/>
        </w:rPr>
        <w:t xml:space="preserve"> was one of the most frequently utilized local data assessments.</w:t>
      </w:r>
    </w:p>
    <w:p w14:paraId="0A882582" w14:textId="77777777" w:rsidR="007330AE" w:rsidRDefault="003D1E9F">
      <w:pPr>
        <w:spacing w:line="276" w:lineRule="auto"/>
        <w:rPr>
          <w:sz w:val="22"/>
          <w:szCs w:val="22"/>
        </w:rPr>
      </w:pPr>
      <w:r>
        <w:rPr>
          <w:sz w:val="22"/>
          <w:szCs w:val="22"/>
        </w:rPr>
        <w:t xml:space="preserve">This resource provides guidance on how schools and districts can use </w:t>
      </w:r>
      <w:proofErr w:type="spellStart"/>
      <w:r>
        <w:rPr>
          <w:sz w:val="22"/>
          <w:szCs w:val="22"/>
        </w:rPr>
        <w:t>iReady’s</w:t>
      </w:r>
      <w:proofErr w:type="spellEnd"/>
      <w:r>
        <w:rPr>
          <w:sz w:val="22"/>
          <w:szCs w:val="22"/>
        </w:rPr>
        <w:t xml:space="preserve"> native data reports to answer the following questions:</w:t>
      </w:r>
    </w:p>
    <w:p w14:paraId="24139298" w14:textId="77777777" w:rsidR="007330AE" w:rsidRDefault="003D1E9F">
      <w:pPr>
        <w:numPr>
          <w:ilvl w:val="0"/>
          <w:numId w:val="3"/>
        </w:numPr>
        <w:spacing w:line="276" w:lineRule="auto"/>
        <w:rPr>
          <w:rFonts w:ascii="Arial" w:eastAsia="Arial" w:hAnsi="Arial" w:cs="Arial"/>
          <w:sz w:val="22"/>
          <w:szCs w:val="22"/>
        </w:rPr>
      </w:pPr>
      <w:r>
        <w:rPr>
          <w:sz w:val="22"/>
          <w:szCs w:val="22"/>
        </w:rPr>
        <w:t xml:space="preserve">Which students are on grade level? How far from grade level are others?  </w:t>
      </w:r>
      <w:r>
        <w:rPr>
          <w:i/>
          <w:sz w:val="22"/>
          <w:szCs w:val="22"/>
        </w:rPr>
        <w:t>(Student Proficiency)</w:t>
      </w:r>
    </w:p>
    <w:p w14:paraId="1DEB84B2" w14:textId="77777777" w:rsidR="007330AE" w:rsidRDefault="003D1E9F">
      <w:pPr>
        <w:numPr>
          <w:ilvl w:val="0"/>
          <w:numId w:val="3"/>
        </w:numPr>
        <w:spacing w:line="276" w:lineRule="auto"/>
        <w:rPr>
          <w:rFonts w:ascii="Arial" w:eastAsia="Arial" w:hAnsi="Arial" w:cs="Arial"/>
          <w:sz w:val="22"/>
          <w:szCs w:val="22"/>
        </w:rPr>
      </w:pPr>
      <w:r>
        <w:rPr>
          <w:sz w:val="22"/>
          <w:szCs w:val="22"/>
        </w:rPr>
        <w:t xml:space="preserve">How much  / how quickly are students growing?  </w:t>
      </w:r>
      <w:r>
        <w:rPr>
          <w:i/>
          <w:sz w:val="22"/>
          <w:szCs w:val="22"/>
        </w:rPr>
        <w:t>(Student growth)</w:t>
      </w:r>
    </w:p>
    <w:p w14:paraId="6F4E7255" w14:textId="77777777" w:rsidR="007330AE" w:rsidRDefault="003D1E9F">
      <w:pPr>
        <w:numPr>
          <w:ilvl w:val="0"/>
          <w:numId w:val="3"/>
        </w:numPr>
        <w:spacing w:line="276" w:lineRule="auto"/>
        <w:rPr>
          <w:rFonts w:ascii="Arial" w:eastAsia="Arial" w:hAnsi="Arial" w:cs="Arial"/>
          <w:sz w:val="22"/>
          <w:szCs w:val="22"/>
        </w:rPr>
      </w:pPr>
      <w:r>
        <w:rPr>
          <w:sz w:val="22"/>
          <w:szCs w:val="22"/>
        </w:rPr>
        <w:t>How can I view disaggregated data for these metrics? What levels of disaggregation are offered?</w:t>
      </w:r>
    </w:p>
    <w:p w14:paraId="2F8526A2" w14:textId="77777777" w:rsidR="007330AE" w:rsidRDefault="003D1E9F">
      <w:pPr>
        <w:numPr>
          <w:ilvl w:val="0"/>
          <w:numId w:val="3"/>
        </w:numPr>
        <w:spacing w:line="276" w:lineRule="auto"/>
        <w:rPr>
          <w:rFonts w:ascii="Arial" w:eastAsia="Arial" w:hAnsi="Arial" w:cs="Arial"/>
          <w:sz w:val="22"/>
          <w:szCs w:val="22"/>
        </w:rPr>
      </w:pPr>
      <w:r>
        <w:rPr>
          <w:sz w:val="22"/>
          <w:szCs w:val="22"/>
        </w:rPr>
        <w:t xml:space="preserve">How can I use </w:t>
      </w:r>
      <w:proofErr w:type="spellStart"/>
      <w:r>
        <w:rPr>
          <w:sz w:val="22"/>
          <w:szCs w:val="22"/>
        </w:rPr>
        <w:t>iReady</w:t>
      </w:r>
      <w:proofErr w:type="spellEnd"/>
      <w:r>
        <w:rPr>
          <w:sz w:val="22"/>
          <w:szCs w:val="22"/>
        </w:rPr>
        <w:t xml:space="preserve"> reports to set meaningful targets for student performance annually (and/or interim targets throughout the year)?</w:t>
      </w:r>
    </w:p>
    <w:p w14:paraId="571AEFAF" w14:textId="77777777" w:rsidR="007330AE" w:rsidRDefault="003D1E9F">
      <w:pPr>
        <w:pStyle w:val="Heading3"/>
        <w:spacing w:after="160"/>
        <w:ind w:left="1" w:hanging="3"/>
      </w:pPr>
      <w:bookmarkStart w:id="4" w:name="_heading=h.p0cyi9kfskss" w:colFirst="0" w:colLast="0"/>
      <w:bookmarkEnd w:id="4"/>
      <w:proofErr w:type="spellStart"/>
      <w:r>
        <w:lastRenderedPageBreak/>
        <w:t>iReady</w:t>
      </w:r>
      <w:proofErr w:type="spellEnd"/>
      <w:r>
        <w:t xml:space="preserve"> (Reading &amp; Math)</w:t>
      </w:r>
    </w:p>
    <w:p w14:paraId="3F69EDE8" w14:textId="77777777" w:rsidR="007330AE" w:rsidRDefault="003D1E9F">
      <w:pPr>
        <w:pStyle w:val="Heading4"/>
        <w:rPr>
          <w:b w:val="0"/>
        </w:rPr>
      </w:pPr>
      <w:bookmarkStart w:id="5" w:name="_heading=h.y4lw7qp9qz2q" w:colFirst="0" w:colLast="0"/>
      <w:bookmarkEnd w:id="5"/>
      <w:r>
        <w:t xml:space="preserve">Student Proficiency: </w:t>
      </w:r>
      <w:r>
        <w:rPr>
          <w:b w:val="0"/>
        </w:rPr>
        <w:t>How can I see if students are on grade level?</w:t>
      </w:r>
    </w:p>
    <w:p w14:paraId="5DD8B53F" w14:textId="77777777" w:rsidR="007330AE" w:rsidRDefault="003D1E9F">
      <w:pPr>
        <w:pStyle w:val="Heading5"/>
      </w:pPr>
      <w:bookmarkStart w:id="6" w:name="_heading=h.64pmwzf3odbf" w:colFirst="0" w:colLast="0"/>
      <w:bookmarkEnd w:id="6"/>
      <w:r>
        <w:t>Diagnostic Results Report</w:t>
      </w:r>
    </w:p>
    <w:p w14:paraId="5DAE152A" w14:textId="77777777" w:rsidR="007330AE" w:rsidRDefault="003D1E9F">
      <w:pPr>
        <w:spacing w:after="200"/>
        <w:ind w:left="360"/>
        <w:rPr>
          <w:sz w:val="22"/>
          <w:szCs w:val="22"/>
        </w:rPr>
      </w:pPr>
      <w:r>
        <w:t>This report shows information on student performance with respect to a grade level standard. Student performance is grouped into either 3-level or 5-level placement categories.</w:t>
      </w:r>
    </w:p>
    <w:tbl>
      <w:tblPr>
        <w:tblStyle w:val="a1"/>
        <w:tblW w:w="936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5805"/>
      </w:tblGrid>
      <w:tr w:rsidR="007330AE" w14:paraId="259A3FDC" w14:textId="77777777">
        <w:tc>
          <w:tcPr>
            <w:tcW w:w="3555" w:type="dxa"/>
            <w:shd w:val="clear" w:color="auto" w:fill="auto"/>
            <w:tcMar>
              <w:top w:w="100" w:type="dxa"/>
              <w:left w:w="100" w:type="dxa"/>
              <w:bottom w:w="100" w:type="dxa"/>
              <w:right w:w="100" w:type="dxa"/>
            </w:tcMar>
          </w:tcPr>
          <w:p w14:paraId="7A6EDFF2" w14:textId="77777777" w:rsidR="007330AE" w:rsidRDefault="003D1E9F">
            <w:pPr>
              <w:rPr>
                <w:sz w:val="22"/>
                <w:szCs w:val="22"/>
              </w:rPr>
            </w:pPr>
            <w:r>
              <w:rPr>
                <w:i/>
              </w:rPr>
              <w:t>3-level placement categories</w:t>
            </w:r>
            <w:r>
              <w:t>:</w:t>
            </w:r>
          </w:p>
        </w:tc>
        <w:tc>
          <w:tcPr>
            <w:tcW w:w="5805" w:type="dxa"/>
            <w:shd w:val="clear" w:color="auto" w:fill="auto"/>
            <w:tcMar>
              <w:top w:w="100" w:type="dxa"/>
              <w:left w:w="100" w:type="dxa"/>
              <w:bottom w:w="100" w:type="dxa"/>
              <w:right w:w="100" w:type="dxa"/>
            </w:tcMar>
          </w:tcPr>
          <w:p w14:paraId="0A923224" w14:textId="77777777" w:rsidR="007330AE" w:rsidRDefault="003D1E9F">
            <w:pPr>
              <w:rPr>
                <w:sz w:val="22"/>
                <w:szCs w:val="22"/>
              </w:rPr>
            </w:pPr>
            <w:r>
              <w:rPr>
                <w:i/>
              </w:rPr>
              <w:t>5-level placement categories</w:t>
            </w:r>
            <w:r>
              <w:t>:</w:t>
            </w:r>
          </w:p>
        </w:tc>
      </w:tr>
      <w:tr w:rsidR="007330AE" w14:paraId="7BA662E5" w14:textId="77777777">
        <w:tc>
          <w:tcPr>
            <w:tcW w:w="3555" w:type="dxa"/>
            <w:shd w:val="clear" w:color="auto" w:fill="auto"/>
            <w:tcMar>
              <w:top w:w="100" w:type="dxa"/>
              <w:left w:w="100" w:type="dxa"/>
              <w:bottom w:w="100" w:type="dxa"/>
              <w:right w:w="100" w:type="dxa"/>
            </w:tcMar>
          </w:tcPr>
          <w:p w14:paraId="299097EA" w14:textId="77777777" w:rsidR="007330AE" w:rsidRDefault="003D1E9F">
            <w:pPr>
              <w:numPr>
                <w:ilvl w:val="0"/>
                <w:numId w:val="1"/>
              </w:numPr>
            </w:pPr>
            <w:r>
              <w:t>On or above grade level</w:t>
            </w:r>
          </w:p>
          <w:p w14:paraId="2B20C04E" w14:textId="77777777" w:rsidR="007330AE" w:rsidRDefault="003D1E9F">
            <w:pPr>
              <w:numPr>
                <w:ilvl w:val="0"/>
                <w:numId w:val="1"/>
              </w:numPr>
            </w:pPr>
            <w:r>
              <w:t>1 year below grade level</w:t>
            </w:r>
          </w:p>
          <w:p w14:paraId="227E3113" w14:textId="77777777" w:rsidR="007330AE" w:rsidRDefault="003D1E9F">
            <w:pPr>
              <w:numPr>
                <w:ilvl w:val="0"/>
                <w:numId w:val="1"/>
              </w:numPr>
            </w:pPr>
            <w:r>
              <w:t>2+ years below grade level</w:t>
            </w:r>
          </w:p>
        </w:tc>
        <w:tc>
          <w:tcPr>
            <w:tcW w:w="5805" w:type="dxa"/>
            <w:shd w:val="clear" w:color="auto" w:fill="auto"/>
            <w:tcMar>
              <w:top w:w="100" w:type="dxa"/>
              <w:left w:w="100" w:type="dxa"/>
              <w:bottom w:w="100" w:type="dxa"/>
              <w:right w:w="100" w:type="dxa"/>
            </w:tcMar>
          </w:tcPr>
          <w:p w14:paraId="5E2D7D58" w14:textId="77777777" w:rsidR="007330AE" w:rsidRDefault="003D1E9F">
            <w:pPr>
              <w:numPr>
                <w:ilvl w:val="0"/>
                <w:numId w:val="1"/>
              </w:numPr>
            </w:pPr>
            <w:r>
              <w:t>Above grade level</w:t>
            </w:r>
          </w:p>
          <w:p w14:paraId="122E71D6" w14:textId="77777777" w:rsidR="007330AE" w:rsidRDefault="003D1E9F">
            <w:pPr>
              <w:numPr>
                <w:ilvl w:val="0"/>
                <w:numId w:val="1"/>
              </w:numPr>
            </w:pPr>
            <w:r>
              <w:t>At grade level</w:t>
            </w:r>
          </w:p>
          <w:p w14:paraId="1AD1E28E" w14:textId="77777777" w:rsidR="007330AE" w:rsidRDefault="003D1E9F">
            <w:pPr>
              <w:numPr>
                <w:ilvl w:val="0"/>
                <w:numId w:val="1"/>
              </w:numPr>
            </w:pPr>
            <w:r>
              <w:t>1 grade level below (this is the typical starting point for students at the beginning of the school year)</w:t>
            </w:r>
          </w:p>
          <w:p w14:paraId="00ED23D4" w14:textId="77777777" w:rsidR="007330AE" w:rsidRDefault="003D1E9F">
            <w:pPr>
              <w:numPr>
                <w:ilvl w:val="0"/>
                <w:numId w:val="1"/>
              </w:numPr>
            </w:pPr>
            <w:r>
              <w:t>2 years below grade level</w:t>
            </w:r>
          </w:p>
          <w:p w14:paraId="24841F02" w14:textId="77777777" w:rsidR="007330AE" w:rsidRDefault="003D1E9F">
            <w:pPr>
              <w:numPr>
                <w:ilvl w:val="0"/>
                <w:numId w:val="1"/>
              </w:numPr>
            </w:pPr>
            <w:r>
              <w:t>3+ years below grade level</w:t>
            </w:r>
          </w:p>
        </w:tc>
      </w:tr>
    </w:tbl>
    <w:p w14:paraId="392CE85C" w14:textId="77777777" w:rsidR="007330AE" w:rsidRDefault="003D1E9F">
      <w:pPr>
        <w:pBdr>
          <w:top w:val="nil"/>
          <w:left w:val="nil"/>
          <w:bottom w:val="nil"/>
          <w:right w:val="nil"/>
          <w:between w:val="nil"/>
        </w:pBdr>
        <w:spacing w:before="200" w:after="160" w:line="259" w:lineRule="auto"/>
        <w:ind w:left="360"/>
        <w:rPr>
          <w:sz w:val="22"/>
          <w:szCs w:val="22"/>
        </w:rPr>
      </w:pPr>
      <w:r>
        <w:rPr>
          <w:sz w:val="22"/>
          <w:szCs w:val="22"/>
        </w:rPr>
        <w:t>This report includes “typical growth” and “stretch growth” targets for each student. These targets are set automatically, based on the student’s performance on the first diagnostic test. “Typical growth” generally correlates to one year of growth, while “stretch growth” is a level of growth that will cause students to gain ground (with respect to grade level) from year to year.</w:t>
      </w:r>
    </w:p>
    <w:p w14:paraId="0ADAE8B8" w14:textId="77777777" w:rsidR="007330AE" w:rsidRDefault="003D1E9F">
      <w:pPr>
        <w:pBdr>
          <w:top w:val="nil"/>
          <w:left w:val="nil"/>
          <w:bottom w:val="nil"/>
          <w:right w:val="nil"/>
          <w:between w:val="nil"/>
        </w:pBdr>
        <w:spacing w:after="160" w:line="259" w:lineRule="auto"/>
        <w:ind w:left="720"/>
        <w:rPr>
          <w:sz w:val="22"/>
          <w:szCs w:val="22"/>
        </w:rPr>
      </w:pPr>
      <w:r>
        <w:rPr>
          <w:b/>
          <w:sz w:val="22"/>
          <w:szCs w:val="22"/>
        </w:rPr>
        <w:t xml:space="preserve">How to find it: </w:t>
      </w:r>
      <w:r>
        <w:rPr>
          <w:sz w:val="22"/>
          <w:szCs w:val="22"/>
        </w:rPr>
        <w:t>From your home screen, click on “Diagnostic Results”, or select “Diagnostic Results” from the Report tab at the top of the page. Use the dropdown menus to select the subject area (Reading or Math) you want to view.</w:t>
      </w:r>
    </w:p>
    <w:p w14:paraId="0B1E7F6A" w14:textId="77777777" w:rsidR="007330AE" w:rsidRDefault="003D1E9F">
      <w:pPr>
        <w:pStyle w:val="Heading4"/>
        <w:spacing w:after="160" w:line="259" w:lineRule="auto"/>
        <w:ind w:right="3600"/>
        <w:rPr>
          <w:b w:val="0"/>
        </w:rPr>
      </w:pPr>
      <w:bookmarkStart w:id="7" w:name="_heading=h.1bl2dm4ji3xk" w:colFirst="0" w:colLast="0"/>
      <w:bookmarkEnd w:id="7"/>
      <w:r>
        <w:t xml:space="preserve">Student Growth: </w:t>
      </w:r>
      <w:r>
        <w:rPr>
          <w:b w:val="0"/>
        </w:rPr>
        <w:t>How much or how quickly are students growing?</w:t>
      </w:r>
    </w:p>
    <w:p w14:paraId="2C0AAB33" w14:textId="77777777" w:rsidR="007330AE" w:rsidRDefault="003D1E9F">
      <w:pPr>
        <w:ind w:left="450"/>
      </w:pPr>
      <w:r>
        <w:t xml:space="preserve">There are two options for gauging student growth in </w:t>
      </w:r>
      <w:proofErr w:type="spellStart"/>
      <w:r>
        <w:t>IReady</w:t>
      </w:r>
      <w:proofErr w:type="spellEnd"/>
      <w:r>
        <w:t>: the Diagnostic Growth report and the Growth Monitoring report.</w:t>
      </w:r>
    </w:p>
    <w:p w14:paraId="30568504" w14:textId="77777777" w:rsidR="007330AE" w:rsidRDefault="003D1E9F">
      <w:pPr>
        <w:pStyle w:val="Heading5"/>
      </w:pPr>
      <w:bookmarkStart w:id="8" w:name="_heading=h.25p1tocp2ino" w:colFirst="0" w:colLast="0"/>
      <w:bookmarkEnd w:id="8"/>
      <w:r>
        <w:t>Diagnostic Growth Report</w:t>
      </w:r>
    </w:p>
    <w:p w14:paraId="0239BADB" w14:textId="77777777" w:rsidR="007330AE" w:rsidRDefault="003D1E9F">
      <w:pPr>
        <w:pBdr>
          <w:top w:val="nil"/>
          <w:left w:val="nil"/>
          <w:bottom w:val="nil"/>
          <w:right w:val="nil"/>
          <w:between w:val="nil"/>
        </w:pBdr>
        <w:spacing w:after="160" w:line="259" w:lineRule="auto"/>
        <w:ind w:left="360"/>
        <w:rPr>
          <w:sz w:val="22"/>
          <w:szCs w:val="22"/>
        </w:rPr>
      </w:pPr>
      <w:r>
        <w:rPr>
          <w:sz w:val="22"/>
          <w:szCs w:val="22"/>
        </w:rPr>
        <w:t>After the second diagnostic is administered, you will have access to a Diagnostic Growth report showing how much progress students are making towards the typical growth and stretch growth targets. Progress displays as a percentage (indicating student performance with respect to their baseline diagnostic score and their target scores).</w:t>
      </w:r>
    </w:p>
    <w:p w14:paraId="7BC21336" w14:textId="77777777" w:rsidR="007330AE" w:rsidRDefault="003D1E9F">
      <w:pPr>
        <w:pStyle w:val="Heading5"/>
        <w:spacing w:after="0" w:line="259" w:lineRule="auto"/>
      </w:pPr>
      <w:bookmarkStart w:id="9" w:name="_heading=h.uhxxkxvze570" w:colFirst="0" w:colLast="0"/>
      <w:bookmarkEnd w:id="9"/>
      <w:r>
        <w:t>Growth Monitoring Report</w:t>
      </w:r>
    </w:p>
    <w:p w14:paraId="5F67EC8A" w14:textId="77777777" w:rsidR="007330AE" w:rsidRDefault="003D1E9F">
      <w:pPr>
        <w:ind w:left="360"/>
      </w:pPr>
      <w:r>
        <w:t xml:space="preserve">After students have taken their </w:t>
      </w:r>
      <w:r>
        <w:rPr>
          <w:i/>
        </w:rPr>
        <w:t xml:space="preserve">third </w:t>
      </w:r>
      <w:r>
        <w:t xml:space="preserve">assessment in </w:t>
      </w:r>
      <w:proofErr w:type="spellStart"/>
      <w:r>
        <w:t>iReady</w:t>
      </w:r>
      <w:proofErr w:type="spellEnd"/>
      <w:r>
        <w:t>, the Growth Monitoring report will be available. (Note: this report will only populate once there are three data points in the platform.) This report will show:</w:t>
      </w:r>
    </w:p>
    <w:p w14:paraId="30EA4685" w14:textId="77777777" w:rsidR="007330AE" w:rsidRDefault="003D1E9F">
      <w:pPr>
        <w:numPr>
          <w:ilvl w:val="0"/>
          <w:numId w:val="2"/>
        </w:numPr>
      </w:pPr>
      <w:r>
        <w:t>students’ likelihood of meeting their “typical growth” targets</w:t>
      </w:r>
    </w:p>
    <w:p w14:paraId="26A034BC" w14:textId="77777777" w:rsidR="007330AE" w:rsidRDefault="003D1E9F">
      <w:pPr>
        <w:numPr>
          <w:ilvl w:val="0"/>
          <w:numId w:val="2"/>
        </w:numPr>
      </w:pPr>
      <w:r>
        <w:t>students’ likelihood of meeting their “stretch growth” targets</w:t>
      </w:r>
    </w:p>
    <w:p w14:paraId="6B13D0A8" w14:textId="77777777" w:rsidR="007330AE" w:rsidRDefault="003D1E9F">
      <w:pPr>
        <w:numPr>
          <w:ilvl w:val="0"/>
          <w:numId w:val="2"/>
        </w:numPr>
      </w:pPr>
      <w:r>
        <w:t>students’ likelihood of reaching or exceeding grade level performance by the end of the year.</w:t>
      </w:r>
    </w:p>
    <w:p w14:paraId="7238BE5B" w14:textId="77777777" w:rsidR="007330AE" w:rsidRDefault="003D1E9F">
      <w:pPr>
        <w:pStyle w:val="Heading4"/>
        <w:spacing w:after="160" w:line="259" w:lineRule="auto"/>
        <w:rPr>
          <w:b w:val="0"/>
        </w:rPr>
      </w:pPr>
      <w:bookmarkStart w:id="10" w:name="_heading=h.4ntv59oy7vr2" w:colFirst="0" w:colLast="0"/>
      <w:bookmarkEnd w:id="10"/>
      <w:r>
        <w:t xml:space="preserve">Disaggregation: </w:t>
      </w:r>
      <w:r>
        <w:rPr>
          <w:b w:val="0"/>
        </w:rPr>
        <w:t>How can I view disaggregated results from these assessments?</w:t>
      </w:r>
    </w:p>
    <w:p w14:paraId="05EB96AF" w14:textId="77777777" w:rsidR="007330AE" w:rsidRDefault="003D1E9F">
      <w:pPr>
        <w:ind w:left="360"/>
        <w:sectPr w:rsidR="007330AE" w:rsidSect="00C90DF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432" w:gutter="0"/>
          <w:pgNumType w:start="1"/>
          <w:cols w:space="720"/>
          <w:titlePg/>
        </w:sectPr>
      </w:pPr>
      <w:r>
        <w:t xml:space="preserve">School and district admin can view disaggregated results for almost all exams. (Not all disaggregation categories are available at the teacher level.) The following categories of disaggregation are available (if this information has been shared with </w:t>
      </w:r>
      <w:proofErr w:type="spellStart"/>
      <w:r>
        <w:t>iReady</w:t>
      </w:r>
      <w:proofErr w:type="spellEnd"/>
      <w:r>
        <w:t>):</w:t>
      </w:r>
    </w:p>
    <w:p w14:paraId="3A006129" w14:textId="77777777" w:rsidR="007330AE" w:rsidRDefault="003D1E9F">
      <w:pPr>
        <w:numPr>
          <w:ilvl w:val="0"/>
          <w:numId w:val="4"/>
        </w:numPr>
      </w:pPr>
      <w:r>
        <w:t>district</w:t>
      </w:r>
    </w:p>
    <w:p w14:paraId="3B9C3477" w14:textId="77777777" w:rsidR="007330AE" w:rsidRDefault="003D1E9F">
      <w:pPr>
        <w:numPr>
          <w:ilvl w:val="0"/>
          <w:numId w:val="4"/>
        </w:numPr>
      </w:pPr>
      <w:r>
        <w:t>school</w:t>
      </w:r>
    </w:p>
    <w:p w14:paraId="72959983" w14:textId="77777777" w:rsidR="007330AE" w:rsidRDefault="003D1E9F">
      <w:pPr>
        <w:numPr>
          <w:ilvl w:val="0"/>
          <w:numId w:val="4"/>
        </w:numPr>
      </w:pPr>
      <w:r>
        <w:t>teacher</w:t>
      </w:r>
    </w:p>
    <w:p w14:paraId="702F2016" w14:textId="77777777" w:rsidR="007330AE" w:rsidRDefault="003D1E9F">
      <w:pPr>
        <w:numPr>
          <w:ilvl w:val="0"/>
          <w:numId w:val="4"/>
        </w:numPr>
        <w:sectPr w:rsidR="007330AE">
          <w:type w:val="continuous"/>
          <w:pgSz w:w="12240" w:h="15840"/>
          <w:pgMar w:top="720" w:right="720" w:bottom="720" w:left="720" w:header="0" w:footer="1152" w:gutter="0"/>
          <w:cols w:num="2" w:space="720" w:equalWidth="0">
            <w:col w:w="5040" w:space="720"/>
            <w:col w:w="5040" w:space="0"/>
          </w:cols>
        </w:sectPr>
      </w:pPr>
      <w:r>
        <w:t>student</w:t>
      </w:r>
    </w:p>
    <w:p w14:paraId="5AEEE29A" w14:textId="77777777" w:rsidR="007330AE" w:rsidRDefault="003D1E9F">
      <w:pPr>
        <w:spacing w:before="200" w:after="160" w:line="259" w:lineRule="auto"/>
        <w:ind w:left="360"/>
        <w:rPr>
          <w:b/>
          <w:sz w:val="22"/>
          <w:szCs w:val="22"/>
        </w:rPr>
      </w:pPr>
      <w:r>
        <w:rPr>
          <w:b/>
          <w:sz w:val="22"/>
          <w:szCs w:val="22"/>
        </w:rPr>
        <w:t>Note:</w:t>
      </w:r>
      <w:r>
        <w:rPr>
          <w:sz w:val="22"/>
          <w:szCs w:val="22"/>
        </w:rPr>
        <w:t xml:space="preserve"> Disaggregating data may result in n-counts below 16 or 20. Refer to CDE’s </w:t>
      </w:r>
      <w:hyperlink r:id="rId14">
        <w:r>
          <w:rPr>
            <w:color w:val="1155CC"/>
            <w:sz w:val="22"/>
            <w:szCs w:val="22"/>
            <w:u w:val="single"/>
          </w:rPr>
          <w:t>Data Analysis for Small Student Populations</w:t>
        </w:r>
      </w:hyperlink>
      <w:r>
        <w:rPr>
          <w:sz w:val="22"/>
          <w:szCs w:val="22"/>
        </w:rPr>
        <w:t xml:space="preserve"> for guidance on protecting student information when reporting results in a public document (e.g., the UIP).</w:t>
      </w:r>
    </w:p>
    <w:p w14:paraId="19781C78" w14:textId="77777777" w:rsidR="007330AE" w:rsidRDefault="003D1E9F">
      <w:pPr>
        <w:pStyle w:val="Heading4"/>
        <w:rPr>
          <w:b w:val="0"/>
        </w:rPr>
      </w:pPr>
      <w:bookmarkStart w:id="11" w:name="_heading=h.xu5knmxz602e" w:colFirst="0" w:colLast="0"/>
      <w:bookmarkEnd w:id="11"/>
      <w:r>
        <w:lastRenderedPageBreak/>
        <w:t>Target Setting:</w:t>
      </w:r>
      <w:r>
        <w:rPr>
          <w:b w:val="0"/>
        </w:rPr>
        <w:t xml:space="preserve"> How can I use </w:t>
      </w:r>
      <w:proofErr w:type="spellStart"/>
      <w:r>
        <w:rPr>
          <w:b w:val="0"/>
        </w:rPr>
        <w:t>iReady</w:t>
      </w:r>
      <w:proofErr w:type="spellEnd"/>
      <w:r>
        <w:rPr>
          <w:b w:val="0"/>
        </w:rPr>
        <w:t xml:space="preserve"> results to set meaningful performance targets?</w:t>
      </w:r>
    </w:p>
    <w:p w14:paraId="2FE8D800" w14:textId="77777777" w:rsidR="007330AE" w:rsidRDefault="003D1E9F">
      <w:r>
        <w:t xml:space="preserve">While there is not a single report dedicated to setting student performance (annual targets or Interim Measures), the reports listed above can be used to guide the formulation of different types of targets. For example, targets may be set with respect to student performance (also called “status” or “proficiency”), typical student growth, or “stretch” growth. The table below lists sample interim measures for each type of target and the </w:t>
      </w:r>
      <w:proofErr w:type="spellStart"/>
      <w:r>
        <w:t>iReady</w:t>
      </w:r>
      <w:proofErr w:type="spellEnd"/>
      <w:r>
        <w:t xml:space="preserve"> report that can be consulted in setting these targets.</w:t>
      </w:r>
    </w:p>
    <w:p w14:paraId="12B33884" w14:textId="77777777" w:rsidR="007330AE" w:rsidRDefault="007330AE"/>
    <w:p w14:paraId="008BE27E" w14:textId="77777777" w:rsidR="007330AE" w:rsidRDefault="003D1E9F">
      <w:pPr>
        <w:ind w:left="360"/>
        <w:rPr>
          <w:b/>
        </w:rPr>
      </w:pPr>
      <w:r>
        <w:rPr>
          <w:b/>
        </w:rPr>
        <w:t>Examples:</w:t>
      </w:r>
    </w:p>
    <w:tbl>
      <w:tblPr>
        <w:tblStyle w:val="a2"/>
        <w:tblW w:w="1045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6630"/>
        <w:gridCol w:w="1605"/>
      </w:tblGrid>
      <w:tr w:rsidR="007330AE" w14:paraId="7F4F82EE" w14:textId="77777777">
        <w:tc>
          <w:tcPr>
            <w:tcW w:w="2220" w:type="dxa"/>
            <w:shd w:val="clear" w:color="auto" w:fill="FFF2CC"/>
            <w:tcMar>
              <w:top w:w="100" w:type="dxa"/>
              <w:left w:w="100" w:type="dxa"/>
              <w:bottom w:w="100" w:type="dxa"/>
              <w:right w:w="100" w:type="dxa"/>
            </w:tcMar>
          </w:tcPr>
          <w:p w14:paraId="117CBAA4" w14:textId="77777777" w:rsidR="007330AE" w:rsidRDefault="003D1E9F">
            <w:pPr>
              <w:widowControl w:val="0"/>
              <w:pBdr>
                <w:top w:val="nil"/>
                <w:left w:val="nil"/>
                <w:bottom w:val="nil"/>
                <w:right w:val="nil"/>
                <w:between w:val="nil"/>
              </w:pBdr>
              <w:rPr>
                <w:b/>
                <w:i/>
              </w:rPr>
            </w:pPr>
            <w:r>
              <w:rPr>
                <w:b/>
                <w:i/>
              </w:rPr>
              <w:t>Sample target type</w:t>
            </w:r>
          </w:p>
        </w:tc>
        <w:tc>
          <w:tcPr>
            <w:tcW w:w="6630" w:type="dxa"/>
            <w:shd w:val="clear" w:color="auto" w:fill="FFF2CC"/>
            <w:tcMar>
              <w:top w:w="100" w:type="dxa"/>
              <w:left w:w="100" w:type="dxa"/>
              <w:bottom w:w="100" w:type="dxa"/>
              <w:right w:w="100" w:type="dxa"/>
            </w:tcMar>
          </w:tcPr>
          <w:p w14:paraId="7910E843" w14:textId="77777777" w:rsidR="007330AE" w:rsidRDefault="003D1E9F">
            <w:pPr>
              <w:widowControl w:val="0"/>
              <w:pBdr>
                <w:top w:val="nil"/>
                <w:left w:val="nil"/>
                <w:bottom w:val="nil"/>
                <w:right w:val="nil"/>
                <w:between w:val="nil"/>
              </w:pBdr>
              <w:rPr>
                <w:b/>
              </w:rPr>
            </w:pPr>
            <w:r>
              <w:rPr>
                <w:b/>
              </w:rPr>
              <w:t>Sample Interim Measure</w:t>
            </w:r>
          </w:p>
        </w:tc>
        <w:tc>
          <w:tcPr>
            <w:tcW w:w="1605" w:type="dxa"/>
            <w:shd w:val="clear" w:color="auto" w:fill="FFF2CC"/>
            <w:tcMar>
              <w:top w:w="100" w:type="dxa"/>
              <w:left w:w="100" w:type="dxa"/>
              <w:bottom w:w="100" w:type="dxa"/>
              <w:right w:w="100" w:type="dxa"/>
            </w:tcMar>
          </w:tcPr>
          <w:p w14:paraId="18AB5102" w14:textId="77777777" w:rsidR="007330AE" w:rsidRDefault="003D1E9F">
            <w:pPr>
              <w:widowControl w:val="0"/>
              <w:pBdr>
                <w:top w:val="nil"/>
                <w:left w:val="nil"/>
                <w:bottom w:val="nil"/>
                <w:right w:val="nil"/>
                <w:between w:val="nil"/>
              </w:pBdr>
              <w:rPr>
                <w:b/>
              </w:rPr>
            </w:pPr>
            <w:r>
              <w:rPr>
                <w:b/>
              </w:rPr>
              <w:t>Report used</w:t>
            </w:r>
          </w:p>
        </w:tc>
      </w:tr>
      <w:tr w:rsidR="007330AE" w14:paraId="27D05B29" w14:textId="77777777">
        <w:tc>
          <w:tcPr>
            <w:tcW w:w="2220" w:type="dxa"/>
            <w:shd w:val="clear" w:color="auto" w:fill="auto"/>
            <w:tcMar>
              <w:top w:w="100" w:type="dxa"/>
              <w:left w:w="100" w:type="dxa"/>
              <w:bottom w:w="100" w:type="dxa"/>
              <w:right w:w="100" w:type="dxa"/>
            </w:tcMar>
          </w:tcPr>
          <w:p w14:paraId="285ED00F" w14:textId="77777777" w:rsidR="007330AE" w:rsidRDefault="003D1E9F">
            <w:pPr>
              <w:widowControl w:val="0"/>
              <w:pBdr>
                <w:top w:val="nil"/>
                <w:left w:val="nil"/>
                <w:bottom w:val="nil"/>
                <w:right w:val="nil"/>
                <w:between w:val="nil"/>
              </w:pBdr>
              <w:rPr>
                <w:i/>
              </w:rPr>
            </w:pPr>
            <w:r>
              <w:rPr>
                <w:i/>
              </w:rPr>
              <w:t>Measure is set using student performance with respect to grade-level.</w:t>
            </w:r>
          </w:p>
        </w:tc>
        <w:tc>
          <w:tcPr>
            <w:tcW w:w="6630" w:type="dxa"/>
            <w:shd w:val="clear" w:color="auto" w:fill="auto"/>
            <w:tcMar>
              <w:top w:w="100" w:type="dxa"/>
              <w:left w:w="100" w:type="dxa"/>
              <w:bottom w:w="100" w:type="dxa"/>
              <w:right w:w="100" w:type="dxa"/>
            </w:tcMar>
          </w:tcPr>
          <w:p w14:paraId="5860A2FE" w14:textId="77777777" w:rsidR="007330AE" w:rsidRDefault="003D1E9F">
            <w:pPr>
              <w:widowControl w:val="0"/>
              <w:pBdr>
                <w:top w:val="nil"/>
                <w:left w:val="nil"/>
                <w:bottom w:val="nil"/>
                <w:right w:val="nil"/>
                <w:between w:val="nil"/>
              </w:pBdr>
            </w:pPr>
            <w:r>
              <w:t>By the end of the second quarter, 30% of students previously categorized as “two years below grade level” will have made up one year of growth (i.e., will have moved up to “one year below grade level”).</w:t>
            </w:r>
          </w:p>
        </w:tc>
        <w:tc>
          <w:tcPr>
            <w:tcW w:w="1605" w:type="dxa"/>
            <w:shd w:val="clear" w:color="auto" w:fill="auto"/>
            <w:tcMar>
              <w:top w:w="100" w:type="dxa"/>
              <w:left w:w="100" w:type="dxa"/>
              <w:bottom w:w="100" w:type="dxa"/>
              <w:right w:w="100" w:type="dxa"/>
            </w:tcMar>
          </w:tcPr>
          <w:p w14:paraId="0E59D86C" w14:textId="77777777" w:rsidR="007330AE" w:rsidRDefault="003D1E9F">
            <w:pPr>
              <w:widowControl w:val="0"/>
              <w:pBdr>
                <w:top w:val="nil"/>
                <w:left w:val="nil"/>
                <w:bottom w:val="nil"/>
                <w:right w:val="nil"/>
                <w:between w:val="nil"/>
              </w:pBdr>
            </w:pPr>
            <w:r>
              <w:t>Diagnostic Results</w:t>
            </w:r>
          </w:p>
        </w:tc>
      </w:tr>
      <w:tr w:rsidR="007330AE" w14:paraId="5F75835E" w14:textId="77777777">
        <w:tc>
          <w:tcPr>
            <w:tcW w:w="2220" w:type="dxa"/>
            <w:shd w:val="clear" w:color="auto" w:fill="auto"/>
            <w:tcMar>
              <w:top w:w="100" w:type="dxa"/>
              <w:left w:w="100" w:type="dxa"/>
              <w:bottom w:w="100" w:type="dxa"/>
              <w:right w:w="100" w:type="dxa"/>
            </w:tcMar>
          </w:tcPr>
          <w:p w14:paraId="7F460902" w14:textId="77777777" w:rsidR="007330AE" w:rsidRDefault="003D1E9F">
            <w:pPr>
              <w:widowControl w:val="0"/>
              <w:pBdr>
                <w:top w:val="nil"/>
                <w:left w:val="nil"/>
                <w:bottom w:val="nil"/>
                <w:right w:val="nil"/>
                <w:between w:val="nil"/>
              </w:pBdr>
              <w:rPr>
                <w:i/>
              </w:rPr>
            </w:pPr>
            <w:r>
              <w:rPr>
                <w:i/>
              </w:rPr>
              <w:t>Measure is set using “typical growth” target.</w:t>
            </w:r>
          </w:p>
        </w:tc>
        <w:tc>
          <w:tcPr>
            <w:tcW w:w="6630" w:type="dxa"/>
            <w:shd w:val="clear" w:color="auto" w:fill="auto"/>
            <w:tcMar>
              <w:top w:w="100" w:type="dxa"/>
              <w:left w:w="100" w:type="dxa"/>
              <w:bottom w:w="100" w:type="dxa"/>
              <w:right w:w="100" w:type="dxa"/>
            </w:tcMar>
          </w:tcPr>
          <w:p w14:paraId="3CD49F1E" w14:textId="77777777" w:rsidR="007330AE" w:rsidRDefault="003D1E9F">
            <w:pPr>
              <w:widowControl w:val="0"/>
              <w:pBdr>
                <w:top w:val="nil"/>
                <w:left w:val="nil"/>
                <w:bottom w:val="nil"/>
                <w:right w:val="nil"/>
                <w:between w:val="nil"/>
              </w:pBdr>
            </w:pPr>
            <w:r>
              <w:t>By the end of the first quarter, 60% of students are on track to meet their “typical growth” targets.</w:t>
            </w:r>
          </w:p>
        </w:tc>
        <w:tc>
          <w:tcPr>
            <w:tcW w:w="1605" w:type="dxa"/>
            <w:shd w:val="clear" w:color="auto" w:fill="auto"/>
            <w:tcMar>
              <w:top w:w="100" w:type="dxa"/>
              <w:left w:w="100" w:type="dxa"/>
              <w:bottom w:w="100" w:type="dxa"/>
              <w:right w:w="100" w:type="dxa"/>
            </w:tcMar>
          </w:tcPr>
          <w:p w14:paraId="43E91272" w14:textId="77777777" w:rsidR="007330AE" w:rsidRDefault="003D1E9F">
            <w:pPr>
              <w:widowControl w:val="0"/>
              <w:pBdr>
                <w:top w:val="nil"/>
                <w:left w:val="nil"/>
                <w:bottom w:val="nil"/>
                <w:right w:val="nil"/>
                <w:between w:val="nil"/>
              </w:pBdr>
            </w:pPr>
            <w:r>
              <w:t xml:space="preserve">Growth Monitoring </w:t>
            </w:r>
          </w:p>
        </w:tc>
      </w:tr>
      <w:tr w:rsidR="007330AE" w14:paraId="32770694" w14:textId="77777777">
        <w:tc>
          <w:tcPr>
            <w:tcW w:w="2220" w:type="dxa"/>
            <w:shd w:val="clear" w:color="auto" w:fill="auto"/>
            <w:tcMar>
              <w:top w:w="100" w:type="dxa"/>
              <w:left w:w="100" w:type="dxa"/>
              <w:bottom w:w="100" w:type="dxa"/>
              <w:right w:w="100" w:type="dxa"/>
            </w:tcMar>
          </w:tcPr>
          <w:p w14:paraId="3A3D92D4" w14:textId="77777777" w:rsidR="007330AE" w:rsidRDefault="003D1E9F">
            <w:pPr>
              <w:widowControl w:val="0"/>
              <w:pBdr>
                <w:top w:val="nil"/>
                <w:left w:val="nil"/>
                <w:bottom w:val="nil"/>
                <w:right w:val="nil"/>
                <w:between w:val="nil"/>
              </w:pBdr>
              <w:rPr>
                <w:i/>
              </w:rPr>
            </w:pPr>
            <w:r>
              <w:rPr>
                <w:i/>
              </w:rPr>
              <w:t>Measure is set using “stretch growth” target.</w:t>
            </w:r>
          </w:p>
        </w:tc>
        <w:tc>
          <w:tcPr>
            <w:tcW w:w="6630" w:type="dxa"/>
            <w:shd w:val="clear" w:color="auto" w:fill="auto"/>
            <w:tcMar>
              <w:top w:w="100" w:type="dxa"/>
              <w:left w:w="100" w:type="dxa"/>
              <w:bottom w:w="100" w:type="dxa"/>
              <w:right w:w="100" w:type="dxa"/>
            </w:tcMar>
          </w:tcPr>
          <w:p w14:paraId="67369525" w14:textId="77777777" w:rsidR="007330AE" w:rsidRDefault="003D1E9F">
            <w:pPr>
              <w:widowControl w:val="0"/>
              <w:pBdr>
                <w:top w:val="nil"/>
                <w:left w:val="nil"/>
                <w:bottom w:val="nil"/>
                <w:right w:val="nil"/>
                <w:between w:val="nil"/>
              </w:pBdr>
            </w:pPr>
            <w:r>
              <w:t>By the end of the third quarter, 15% of students have met their “stretch growth” target.</w:t>
            </w:r>
          </w:p>
        </w:tc>
        <w:tc>
          <w:tcPr>
            <w:tcW w:w="1605" w:type="dxa"/>
            <w:shd w:val="clear" w:color="auto" w:fill="auto"/>
            <w:tcMar>
              <w:top w:w="100" w:type="dxa"/>
              <w:left w:w="100" w:type="dxa"/>
              <w:bottom w:w="100" w:type="dxa"/>
              <w:right w:w="100" w:type="dxa"/>
            </w:tcMar>
          </w:tcPr>
          <w:p w14:paraId="3404AD3F" w14:textId="77777777" w:rsidR="007330AE" w:rsidRDefault="003D1E9F">
            <w:pPr>
              <w:widowControl w:val="0"/>
              <w:pBdr>
                <w:top w:val="nil"/>
                <w:left w:val="nil"/>
                <w:bottom w:val="nil"/>
                <w:right w:val="nil"/>
                <w:between w:val="nil"/>
              </w:pBdr>
            </w:pPr>
            <w:r>
              <w:t>Diagnostic Results</w:t>
            </w:r>
          </w:p>
        </w:tc>
      </w:tr>
      <w:tr w:rsidR="007330AE" w14:paraId="74D10D02" w14:textId="77777777">
        <w:tc>
          <w:tcPr>
            <w:tcW w:w="2220" w:type="dxa"/>
            <w:shd w:val="clear" w:color="auto" w:fill="D9EAD3"/>
            <w:tcMar>
              <w:top w:w="100" w:type="dxa"/>
              <w:left w:w="100" w:type="dxa"/>
              <w:bottom w:w="100" w:type="dxa"/>
              <w:right w:w="100" w:type="dxa"/>
            </w:tcMar>
          </w:tcPr>
          <w:p w14:paraId="1B443A8D" w14:textId="77777777" w:rsidR="007330AE" w:rsidRDefault="003D1E9F">
            <w:pPr>
              <w:widowControl w:val="0"/>
              <w:rPr>
                <w:b/>
                <w:i/>
              </w:rPr>
            </w:pPr>
            <w:r>
              <w:rPr>
                <w:b/>
                <w:i/>
              </w:rPr>
              <w:t>Sample target type</w:t>
            </w:r>
          </w:p>
        </w:tc>
        <w:tc>
          <w:tcPr>
            <w:tcW w:w="6630" w:type="dxa"/>
            <w:shd w:val="clear" w:color="auto" w:fill="D9EAD3"/>
            <w:tcMar>
              <w:top w:w="100" w:type="dxa"/>
              <w:left w:w="100" w:type="dxa"/>
              <w:bottom w:w="100" w:type="dxa"/>
              <w:right w:w="100" w:type="dxa"/>
            </w:tcMar>
          </w:tcPr>
          <w:p w14:paraId="23870472" w14:textId="77777777" w:rsidR="007330AE" w:rsidRDefault="003D1E9F">
            <w:pPr>
              <w:widowControl w:val="0"/>
              <w:rPr>
                <w:b/>
              </w:rPr>
            </w:pPr>
            <w:r>
              <w:rPr>
                <w:b/>
              </w:rPr>
              <w:t>Sample Annual Target</w:t>
            </w:r>
          </w:p>
        </w:tc>
        <w:tc>
          <w:tcPr>
            <w:tcW w:w="1605" w:type="dxa"/>
            <w:shd w:val="clear" w:color="auto" w:fill="D9EAD3"/>
            <w:tcMar>
              <w:top w:w="100" w:type="dxa"/>
              <w:left w:w="100" w:type="dxa"/>
              <w:bottom w:w="100" w:type="dxa"/>
              <w:right w:w="100" w:type="dxa"/>
            </w:tcMar>
          </w:tcPr>
          <w:p w14:paraId="0DC25F5C" w14:textId="77777777" w:rsidR="007330AE" w:rsidRDefault="003D1E9F">
            <w:pPr>
              <w:widowControl w:val="0"/>
              <w:rPr>
                <w:b/>
              </w:rPr>
            </w:pPr>
            <w:r>
              <w:rPr>
                <w:b/>
              </w:rPr>
              <w:t>Report used</w:t>
            </w:r>
          </w:p>
        </w:tc>
      </w:tr>
      <w:tr w:rsidR="007330AE" w14:paraId="0BE466F1" w14:textId="77777777">
        <w:tc>
          <w:tcPr>
            <w:tcW w:w="2220" w:type="dxa"/>
            <w:shd w:val="clear" w:color="auto" w:fill="auto"/>
            <w:tcMar>
              <w:top w:w="100" w:type="dxa"/>
              <w:left w:w="100" w:type="dxa"/>
              <w:bottom w:w="100" w:type="dxa"/>
              <w:right w:w="100" w:type="dxa"/>
            </w:tcMar>
          </w:tcPr>
          <w:p w14:paraId="12ECF599" w14:textId="77777777" w:rsidR="007330AE" w:rsidRDefault="003D1E9F">
            <w:pPr>
              <w:widowControl w:val="0"/>
              <w:rPr>
                <w:i/>
              </w:rPr>
            </w:pPr>
            <w:r>
              <w:rPr>
                <w:i/>
              </w:rPr>
              <w:t>Target set using “typical growth” target.</w:t>
            </w:r>
          </w:p>
        </w:tc>
        <w:tc>
          <w:tcPr>
            <w:tcW w:w="6630" w:type="dxa"/>
            <w:shd w:val="clear" w:color="auto" w:fill="auto"/>
            <w:tcMar>
              <w:top w:w="100" w:type="dxa"/>
              <w:left w:w="100" w:type="dxa"/>
              <w:bottom w:w="100" w:type="dxa"/>
              <w:right w:w="100" w:type="dxa"/>
            </w:tcMar>
          </w:tcPr>
          <w:p w14:paraId="2796A967" w14:textId="77777777" w:rsidR="007330AE" w:rsidRDefault="003D1E9F">
            <w:pPr>
              <w:widowControl w:val="0"/>
            </w:pPr>
            <w:r>
              <w:t>By the end of the year, 95% of students have met their “typical growth” targets.</w:t>
            </w:r>
          </w:p>
        </w:tc>
        <w:tc>
          <w:tcPr>
            <w:tcW w:w="1605" w:type="dxa"/>
            <w:shd w:val="clear" w:color="auto" w:fill="auto"/>
            <w:tcMar>
              <w:top w:w="100" w:type="dxa"/>
              <w:left w:w="100" w:type="dxa"/>
              <w:bottom w:w="100" w:type="dxa"/>
              <w:right w:w="100" w:type="dxa"/>
            </w:tcMar>
          </w:tcPr>
          <w:p w14:paraId="59ED9E72" w14:textId="77777777" w:rsidR="007330AE" w:rsidRDefault="003D1E9F">
            <w:pPr>
              <w:widowControl w:val="0"/>
            </w:pPr>
            <w:r>
              <w:t xml:space="preserve">Growth Monitoring </w:t>
            </w:r>
          </w:p>
        </w:tc>
      </w:tr>
      <w:tr w:rsidR="007330AE" w14:paraId="30F19AD9" w14:textId="77777777">
        <w:tc>
          <w:tcPr>
            <w:tcW w:w="2220" w:type="dxa"/>
            <w:shd w:val="clear" w:color="auto" w:fill="auto"/>
            <w:tcMar>
              <w:top w:w="100" w:type="dxa"/>
              <w:left w:w="100" w:type="dxa"/>
              <w:bottom w:w="100" w:type="dxa"/>
              <w:right w:w="100" w:type="dxa"/>
            </w:tcMar>
          </w:tcPr>
          <w:p w14:paraId="544DD1C3" w14:textId="77777777" w:rsidR="007330AE" w:rsidRDefault="003D1E9F">
            <w:pPr>
              <w:widowControl w:val="0"/>
              <w:rPr>
                <w:i/>
              </w:rPr>
            </w:pPr>
            <w:r>
              <w:rPr>
                <w:i/>
              </w:rPr>
              <w:t>Measure set using “stretch growth” target.</w:t>
            </w:r>
          </w:p>
        </w:tc>
        <w:tc>
          <w:tcPr>
            <w:tcW w:w="6630" w:type="dxa"/>
            <w:shd w:val="clear" w:color="auto" w:fill="auto"/>
            <w:tcMar>
              <w:top w:w="100" w:type="dxa"/>
              <w:left w:w="100" w:type="dxa"/>
              <w:bottom w:w="100" w:type="dxa"/>
              <w:right w:w="100" w:type="dxa"/>
            </w:tcMar>
          </w:tcPr>
          <w:p w14:paraId="4875181B" w14:textId="77777777" w:rsidR="007330AE" w:rsidRDefault="003D1E9F">
            <w:pPr>
              <w:widowControl w:val="0"/>
            </w:pPr>
            <w:r>
              <w:t>By the end of the year, 65% of students have met their “stretch growth” target.</w:t>
            </w:r>
          </w:p>
        </w:tc>
        <w:tc>
          <w:tcPr>
            <w:tcW w:w="1605" w:type="dxa"/>
            <w:shd w:val="clear" w:color="auto" w:fill="auto"/>
            <w:tcMar>
              <w:top w:w="100" w:type="dxa"/>
              <w:left w:w="100" w:type="dxa"/>
              <w:bottom w:w="100" w:type="dxa"/>
              <w:right w:w="100" w:type="dxa"/>
            </w:tcMar>
          </w:tcPr>
          <w:p w14:paraId="4F2A9DB9" w14:textId="77777777" w:rsidR="007330AE" w:rsidRDefault="003D1E9F">
            <w:pPr>
              <w:widowControl w:val="0"/>
            </w:pPr>
            <w:r>
              <w:t>Diagnostic Results</w:t>
            </w:r>
          </w:p>
        </w:tc>
      </w:tr>
    </w:tbl>
    <w:p w14:paraId="3FCE4C1A" w14:textId="77777777" w:rsidR="007330AE" w:rsidRDefault="007330AE">
      <w:pPr>
        <w:pBdr>
          <w:top w:val="nil"/>
          <w:left w:val="nil"/>
          <w:bottom w:val="nil"/>
          <w:right w:val="nil"/>
          <w:between w:val="nil"/>
        </w:pBdr>
        <w:spacing w:after="160" w:line="259" w:lineRule="auto"/>
        <w:ind w:right="3600"/>
        <w:rPr>
          <w:color w:val="000000"/>
          <w:sz w:val="22"/>
          <w:szCs w:val="22"/>
        </w:rPr>
      </w:pPr>
    </w:p>
    <w:p w14:paraId="684A500B" w14:textId="77777777" w:rsidR="007330AE" w:rsidRDefault="003D1E9F">
      <w:pPr>
        <w:pStyle w:val="Heading3"/>
        <w:spacing w:after="160"/>
        <w:ind w:left="1" w:hanging="3"/>
        <w:rPr>
          <w:sz w:val="22"/>
          <w:szCs w:val="22"/>
        </w:rPr>
      </w:pPr>
      <w:bookmarkStart w:id="12" w:name="_heading=h.6opvs9e56eqo" w:colFirst="0" w:colLast="0"/>
      <w:bookmarkEnd w:id="12"/>
      <w:r>
        <w:t xml:space="preserve">Additional Resources from </w:t>
      </w:r>
      <w:proofErr w:type="spellStart"/>
      <w:r>
        <w:t>iReady</w:t>
      </w:r>
      <w:proofErr w:type="spellEnd"/>
      <w:r>
        <w:t>:</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30"/>
        <w:gridCol w:w="6870"/>
      </w:tblGrid>
      <w:tr w:rsidR="007330AE" w14:paraId="31660D9D" w14:textId="77777777">
        <w:trPr>
          <w:trHeight w:val="420"/>
        </w:trPr>
        <w:tc>
          <w:tcPr>
            <w:tcW w:w="3930" w:type="dxa"/>
            <w:vMerge w:val="restart"/>
            <w:shd w:val="clear" w:color="auto" w:fill="auto"/>
            <w:tcMar>
              <w:top w:w="100" w:type="dxa"/>
              <w:left w:w="100" w:type="dxa"/>
              <w:bottom w:w="100" w:type="dxa"/>
              <w:right w:w="100" w:type="dxa"/>
            </w:tcMar>
          </w:tcPr>
          <w:p w14:paraId="05EDA498" w14:textId="77777777" w:rsidR="007330AE" w:rsidRDefault="003D1E9F">
            <w:pPr>
              <w:widowControl w:val="0"/>
              <w:pBdr>
                <w:top w:val="nil"/>
                <w:left w:val="nil"/>
                <w:bottom w:val="nil"/>
                <w:right w:val="nil"/>
                <w:between w:val="nil"/>
              </w:pBdr>
              <w:rPr>
                <w:sz w:val="22"/>
                <w:szCs w:val="22"/>
              </w:rPr>
            </w:pPr>
            <w:r>
              <w:rPr>
                <w:sz w:val="22"/>
                <w:szCs w:val="22"/>
              </w:rPr>
              <w:t xml:space="preserve">Understand Student Performance </w:t>
            </w:r>
          </w:p>
        </w:tc>
        <w:tc>
          <w:tcPr>
            <w:tcW w:w="6870" w:type="dxa"/>
            <w:shd w:val="clear" w:color="auto" w:fill="auto"/>
            <w:tcMar>
              <w:top w:w="100" w:type="dxa"/>
              <w:left w:w="100" w:type="dxa"/>
              <w:bottom w:w="100" w:type="dxa"/>
              <w:right w:w="100" w:type="dxa"/>
            </w:tcMar>
          </w:tcPr>
          <w:p w14:paraId="08D01298" w14:textId="77777777" w:rsidR="007330AE" w:rsidRDefault="00972A6C">
            <w:pPr>
              <w:widowControl w:val="0"/>
              <w:pBdr>
                <w:top w:val="nil"/>
                <w:left w:val="nil"/>
                <w:bottom w:val="nil"/>
                <w:right w:val="nil"/>
                <w:between w:val="nil"/>
              </w:pBdr>
              <w:rPr>
                <w:sz w:val="22"/>
                <w:szCs w:val="22"/>
              </w:rPr>
            </w:pPr>
            <w:hyperlink r:id="rId15">
              <w:r w:rsidR="003D1E9F">
                <w:rPr>
                  <w:color w:val="1155CC"/>
                  <w:sz w:val="22"/>
                  <w:szCs w:val="22"/>
                  <w:u w:val="single"/>
                </w:rPr>
                <w:t>Math Performance Report Guide</w:t>
              </w:r>
            </w:hyperlink>
          </w:p>
        </w:tc>
      </w:tr>
      <w:tr w:rsidR="007330AE" w14:paraId="4005AB35" w14:textId="77777777">
        <w:trPr>
          <w:trHeight w:val="420"/>
        </w:trPr>
        <w:tc>
          <w:tcPr>
            <w:tcW w:w="3930" w:type="dxa"/>
            <w:vMerge/>
            <w:shd w:val="clear" w:color="auto" w:fill="auto"/>
            <w:tcMar>
              <w:top w:w="100" w:type="dxa"/>
              <w:left w:w="100" w:type="dxa"/>
              <w:bottom w:w="100" w:type="dxa"/>
              <w:right w:w="100" w:type="dxa"/>
            </w:tcMar>
          </w:tcPr>
          <w:p w14:paraId="332502F2" w14:textId="77777777" w:rsidR="007330AE" w:rsidRDefault="007330AE">
            <w:pPr>
              <w:widowControl w:val="0"/>
              <w:pBdr>
                <w:top w:val="nil"/>
                <w:left w:val="nil"/>
                <w:bottom w:val="nil"/>
                <w:right w:val="nil"/>
                <w:between w:val="nil"/>
              </w:pBdr>
              <w:rPr>
                <w:sz w:val="22"/>
                <w:szCs w:val="22"/>
              </w:rPr>
            </w:pPr>
          </w:p>
        </w:tc>
        <w:tc>
          <w:tcPr>
            <w:tcW w:w="6870" w:type="dxa"/>
            <w:shd w:val="clear" w:color="auto" w:fill="auto"/>
            <w:tcMar>
              <w:top w:w="100" w:type="dxa"/>
              <w:left w:w="100" w:type="dxa"/>
              <w:bottom w:w="100" w:type="dxa"/>
              <w:right w:w="100" w:type="dxa"/>
            </w:tcMar>
          </w:tcPr>
          <w:p w14:paraId="2DEEDF9F" w14:textId="77777777" w:rsidR="007330AE" w:rsidRDefault="00972A6C">
            <w:pPr>
              <w:widowControl w:val="0"/>
              <w:pBdr>
                <w:top w:val="nil"/>
                <w:left w:val="nil"/>
                <w:bottom w:val="nil"/>
                <w:right w:val="nil"/>
                <w:between w:val="nil"/>
              </w:pBdr>
              <w:rPr>
                <w:sz w:val="22"/>
                <w:szCs w:val="22"/>
              </w:rPr>
            </w:pPr>
            <w:hyperlink r:id="rId16">
              <w:r w:rsidR="003D1E9F">
                <w:rPr>
                  <w:color w:val="1155CC"/>
                  <w:sz w:val="22"/>
                  <w:szCs w:val="22"/>
                  <w:u w:val="single"/>
                </w:rPr>
                <w:t>Reading Performance Report Guide</w:t>
              </w:r>
            </w:hyperlink>
          </w:p>
        </w:tc>
      </w:tr>
      <w:tr w:rsidR="007330AE" w14:paraId="61B97002" w14:textId="77777777">
        <w:trPr>
          <w:trHeight w:val="420"/>
        </w:trPr>
        <w:tc>
          <w:tcPr>
            <w:tcW w:w="3930" w:type="dxa"/>
            <w:vMerge w:val="restart"/>
            <w:shd w:val="clear" w:color="auto" w:fill="auto"/>
            <w:tcMar>
              <w:top w:w="100" w:type="dxa"/>
              <w:left w:w="100" w:type="dxa"/>
              <w:bottom w:w="100" w:type="dxa"/>
              <w:right w:w="100" w:type="dxa"/>
            </w:tcMar>
          </w:tcPr>
          <w:p w14:paraId="3485DEEE" w14:textId="77777777" w:rsidR="007330AE" w:rsidRDefault="003D1E9F">
            <w:pPr>
              <w:widowControl w:val="0"/>
              <w:pBdr>
                <w:top w:val="nil"/>
                <w:left w:val="nil"/>
                <w:bottom w:val="nil"/>
                <w:right w:val="nil"/>
                <w:between w:val="nil"/>
              </w:pBdr>
              <w:rPr>
                <w:sz w:val="22"/>
                <w:szCs w:val="22"/>
              </w:rPr>
            </w:pPr>
            <w:r>
              <w:rPr>
                <w:sz w:val="22"/>
                <w:szCs w:val="22"/>
              </w:rPr>
              <w:t>Measure and Monitor Growth</w:t>
            </w:r>
          </w:p>
        </w:tc>
        <w:tc>
          <w:tcPr>
            <w:tcW w:w="6870" w:type="dxa"/>
            <w:shd w:val="clear" w:color="auto" w:fill="auto"/>
            <w:tcMar>
              <w:top w:w="100" w:type="dxa"/>
              <w:left w:w="100" w:type="dxa"/>
              <w:bottom w:w="100" w:type="dxa"/>
              <w:right w:w="100" w:type="dxa"/>
            </w:tcMar>
          </w:tcPr>
          <w:p w14:paraId="0EC61FAA" w14:textId="77777777" w:rsidR="007330AE" w:rsidRDefault="00972A6C">
            <w:pPr>
              <w:widowControl w:val="0"/>
              <w:pBdr>
                <w:top w:val="nil"/>
                <w:left w:val="nil"/>
                <w:bottom w:val="nil"/>
                <w:right w:val="nil"/>
                <w:between w:val="nil"/>
              </w:pBdr>
              <w:rPr>
                <w:sz w:val="22"/>
                <w:szCs w:val="22"/>
              </w:rPr>
            </w:pPr>
            <w:hyperlink r:id="rId17">
              <w:r w:rsidR="003D1E9F">
                <w:rPr>
                  <w:color w:val="1155CC"/>
                  <w:sz w:val="22"/>
                  <w:szCs w:val="22"/>
                  <w:u w:val="single"/>
                </w:rPr>
                <w:t>Math Growth Report Guide</w:t>
              </w:r>
            </w:hyperlink>
          </w:p>
        </w:tc>
      </w:tr>
      <w:tr w:rsidR="007330AE" w14:paraId="660A5C29" w14:textId="77777777">
        <w:trPr>
          <w:trHeight w:val="420"/>
        </w:trPr>
        <w:tc>
          <w:tcPr>
            <w:tcW w:w="3930" w:type="dxa"/>
            <w:vMerge/>
            <w:shd w:val="clear" w:color="auto" w:fill="auto"/>
            <w:tcMar>
              <w:top w:w="100" w:type="dxa"/>
              <w:left w:w="100" w:type="dxa"/>
              <w:bottom w:w="100" w:type="dxa"/>
              <w:right w:w="100" w:type="dxa"/>
            </w:tcMar>
          </w:tcPr>
          <w:p w14:paraId="220ADFDC" w14:textId="77777777" w:rsidR="007330AE" w:rsidRDefault="007330AE">
            <w:pPr>
              <w:widowControl w:val="0"/>
              <w:pBdr>
                <w:top w:val="nil"/>
                <w:left w:val="nil"/>
                <w:bottom w:val="nil"/>
                <w:right w:val="nil"/>
                <w:between w:val="nil"/>
              </w:pBdr>
              <w:rPr>
                <w:sz w:val="22"/>
                <w:szCs w:val="22"/>
              </w:rPr>
            </w:pPr>
          </w:p>
        </w:tc>
        <w:tc>
          <w:tcPr>
            <w:tcW w:w="6870" w:type="dxa"/>
            <w:shd w:val="clear" w:color="auto" w:fill="auto"/>
            <w:tcMar>
              <w:top w:w="100" w:type="dxa"/>
              <w:left w:w="100" w:type="dxa"/>
              <w:bottom w:w="100" w:type="dxa"/>
              <w:right w:w="100" w:type="dxa"/>
            </w:tcMar>
          </w:tcPr>
          <w:p w14:paraId="163ABA50" w14:textId="77777777" w:rsidR="007330AE" w:rsidRDefault="00972A6C">
            <w:pPr>
              <w:widowControl w:val="0"/>
              <w:pBdr>
                <w:top w:val="nil"/>
                <w:left w:val="nil"/>
                <w:bottom w:val="nil"/>
                <w:right w:val="nil"/>
                <w:between w:val="nil"/>
              </w:pBdr>
              <w:rPr>
                <w:sz w:val="22"/>
                <w:szCs w:val="22"/>
              </w:rPr>
            </w:pPr>
            <w:hyperlink r:id="rId18">
              <w:r w:rsidR="003D1E9F">
                <w:rPr>
                  <w:color w:val="1155CC"/>
                  <w:sz w:val="22"/>
                  <w:szCs w:val="22"/>
                  <w:u w:val="single"/>
                </w:rPr>
                <w:t>Reading Growth Report Guide</w:t>
              </w:r>
            </w:hyperlink>
            <w:r w:rsidR="003D1E9F">
              <w:rPr>
                <w:sz w:val="22"/>
                <w:szCs w:val="22"/>
              </w:rPr>
              <w:t xml:space="preserve"> </w:t>
            </w:r>
          </w:p>
        </w:tc>
      </w:tr>
    </w:tbl>
    <w:p w14:paraId="367E8D93" w14:textId="77777777" w:rsidR="007330AE" w:rsidRDefault="003D1E9F">
      <w:pPr>
        <w:pBdr>
          <w:top w:val="nil"/>
          <w:left w:val="nil"/>
          <w:bottom w:val="nil"/>
          <w:right w:val="nil"/>
          <w:between w:val="nil"/>
        </w:pBdr>
        <w:spacing w:after="160" w:line="259" w:lineRule="auto"/>
        <w:ind w:right="3600"/>
        <w:rPr>
          <w:color w:val="000000"/>
          <w:sz w:val="22"/>
          <w:szCs w:val="22"/>
        </w:rPr>
      </w:pPr>
      <w:r>
        <w:rPr>
          <w:noProof/>
          <w:sz w:val="22"/>
          <w:szCs w:val="22"/>
        </w:rPr>
        <mc:AlternateContent>
          <mc:Choice Requires="wps">
            <w:drawing>
              <wp:anchor distT="0" distB="0" distL="114300" distR="114300" simplePos="0" relativeHeight="251659264" behindDoc="0" locked="0" layoutInCell="1" hidden="0" allowOverlap="1" wp14:anchorId="7099DF8E" wp14:editId="0472B91C">
                <wp:simplePos x="0" y="0"/>
                <wp:positionH relativeFrom="page">
                  <wp:align>right</wp:align>
                </wp:positionH>
                <wp:positionV relativeFrom="margin">
                  <wp:posOffset>7475855</wp:posOffset>
                </wp:positionV>
                <wp:extent cx="7753350" cy="1895475"/>
                <wp:effectExtent l="0" t="0" r="0" b="9525"/>
                <wp:wrapNone/>
                <wp:docPr id="6" name="Rectangle 6"/>
                <wp:cNvGraphicFramePr/>
                <a:graphic xmlns:a="http://schemas.openxmlformats.org/drawingml/2006/main">
                  <a:graphicData uri="http://schemas.microsoft.com/office/word/2010/wordprocessingShape">
                    <wps:wsp>
                      <wps:cNvSpPr/>
                      <wps:spPr>
                        <a:xfrm>
                          <a:off x="0" y="0"/>
                          <a:ext cx="7753350" cy="1895475"/>
                        </a:xfrm>
                        <a:prstGeom prst="rect">
                          <a:avLst/>
                        </a:prstGeom>
                        <a:solidFill>
                          <a:srgbClr val="232C67"/>
                        </a:solidFill>
                        <a:ln>
                          <a:noFill/>
                        </a:ln>
                      </wps:spPr>
                      <wps:txbx>
                        <w:txbxContent>
                          <w:p w14:paraId="2DF0EA48" w14:textId="77777777" w:rsidR="007330AE" w:rsidRDefault="003D1E9F">
                            <w:pPr>
                              <w:spacing w:before="40" w:after="120" w:line="258" w:lineRule="auto"/>
                              <w:ind w:right="3600"/>
                              <w:textDirection w:val="btLr"/>
                            </w:pPr>
                            <w:r>
                              <w:rPr>
                                <w:rFonts w:ascii="Arial" w:eastAsia="Arial" w:hAnsi="Arial" w:cs="Arial"/>
                                <w:b/>
                                <w:color w:val="FFFFFF"/>
                                <w:sz w:val="28"/>
                              </w:rPr>
                              <w:t>WHERE CAN I LEARN MORE OR GET ADDITIONAL SUPPORT?</w:t>
                            </w:r>
                          </w:p>
                          <w:p w14:paraId="0E58A360" w14:textId="77777777" w:rsidR="007330AE" w:rsidRDefault="003D1E9F">
                            <w:pPr>
                              <w:textDirection w:val="btLr"/>
                            </w:pPr>
                            <w:r>
                              <w:rPr>
                                <w:rFonts w:ascii="Arial" w:eastAsia="Arial" w:hAnsi="Arial" w:cs="Arial"/>
                                <w:b/>
                                <w:color w:val="FFFF00"/>
                              </w:rPr>
                              <w:t>The School Improvement &amp; Planning team is available to provide professional development and technical assistance related to data use, state accountability, and improvement planning both remotely and in‐person. For more information, visit:</w:t>
                            </w:r>
                            <w:r>
                              <w:rPr>
                                <w:rFonts w:ascii="Arial" w:eastAsia="Arial" w:hAnsi="Arial" w:cs="Arial"/>
                                <w:color w:val="FFFF00"/>
                              </w:rPr>
                              <w:t xml:space="preserve"> http://www.cde.state.co.us/uip/uip_training </w:t>
                            </w:r>
                            <w:r>
                              <w:rPr>
                                <w:rFonts w:ascii="Arial" w:eastAsia="Arial" w:hAnsi="Arial" w:cs="Arial"/>
                                <w:b/>
                                <w:color w:val="FFFF00"/>
                              </w:rPr>
                              <w:t>or contact Erin Loften (loften_e@cde.state.co.us), Supervisor.</w:t>
                            </w:r>
                          </w:p>
                          <w:p w14:paraId="4C9CAAEA" w14:textId="403418DA" w:rsidR="007330AE" w:rsidRDefault="003D1E9F" w:rsidP="00C90DF5">
                            <w:pPr>
                              <w:spacing w:after="160" w:line="259" w:lineRule="auto"/>
                              <w:textDirection w:val="btLr"/>
                            </w:pPr>
                            <w:r>
                              <w:rPr>
                                <w:rFonts w:ascii="Arial" w:eastAsia="Arial" w:hAnsi="Arial" w:cs="Arial"/>
                                <w:b/>
                                <w:color w:val="FFFF00"/>
                              </w:rPr>
                              <w:t>For questions about this resource, contact Dan Jorgensen, PhD (Jorgensen_d@cde.state.co.us) or Lauren Hesse (hesse_l@cde.state.co.us).</w:t>
                            </w:r>
                          </w:p>
                          <w:p w14:paraId="3155BAA3" w14:textId="77777777" w:rsidR="007330AE" w:rsidRDefault="007330AE">
                            <w:pPr>
                              <w:spacing w:after="160" w:line="258" w:lineRule="auto"/>
                              <w:ind w:right="3600"/>
                              <w:textDirection w:val="btLr"/>
                            </w:pPr>
                          </w:p>
                          <w:p w14:paraId="40E5BAB5" w14:textId="77777777" w:rsidR="007330AE" w:rsidRDefault="007330AE">
                            <w:pPr>
                              <w:spacing w:after="160" w:line="258" w:lineRule="auto"/>
                              <w:ind w:right="360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99DF8E" id="Rectangle 6" o:spid="_x0000_s1029" style="position:absolute;margin-left:559.3pt;margin-top:588.65pt;width:610.5pt;height:149.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" fillcolor="#232c67" stroked="f">
                <v:textbox inset="2.53958mm,1.2694mm,2.53958mm,1.2694mm">
                  <w:txbxContent>
                    <w:p w14:paraId="2DF0EA48" w14:textId="77777777" w:rsidR="007330AE" w:rsidRDefault="003D1E9F">
                      <w:pPr>
                        <w:spacing w:before="40" w:after="120" w:line="258" w:lineRule="auto"/>
                        <w:ind w:right="3600"/>
                        <w:textDirection w:val="btLr"/>
                      </w:pPr>
                      <w:r>
                        <w:rPr>
                          <w:rFonts w:ascii="Arial" w:eastAsia="Arial" w:hAnsi="Arial" w:cs="Arial"/>
                          <w:b/>
                          <w:color w:val="FFFFFF"/>
                          <w:sz w:val="28"/>
                        </w:rPr>
                        <w:t>WHERE CAN I LEARN MORE OR GET ADDITIONAL SUPPORT?</w:t>
                      </w:r>
                    </w:p>
                    <w:p w14:paraId="0E58A360" w14:textId="77777777" w:rsidR="007330AE" w:rsidRDefault="003D1E9F">
                      <w:pPr>
                        <w:textDirection w:val="btLr"/>
                      </w:pPr>
                      <w:r>
                        <w:rPr>
                          <w:rFonts w:ascii="Arial" w:eastAsia="Arial" w:hAnsi="Arial" w:cs="Arial"/>
                          <w:b/>
                          <w:color w:val="FFFF00"/>
                        </w:rPr>
                        <w:t>The School Improvement &amp; Planning team is available to provide professional development and technical assistance related to data use, state accountability, and improvement planning both remotely and in‐pers</w:t>
                      </w:r>
                      <w:r>
                        <w:rPr>
                          <w:rFonts w:ascii="Arial" w:eastAsia="Arial" w:hAnsi="Arial" w:cs="Arial"/>
                          <w:b/>
                          <w:color w:val="FFFF00"/>
                        </w:rPr>
                        <w:t>on. For more information, visit:</w:t>
                      </w:r>
                      <w:r>
                        <w:rPr>
                          <w:rFonts w:ascii="Arial" w:eastAsia="Arial" w:hAnsi="Arial" w:cs="Arial"/>
                          <w:color w:val="FFFF00"/>
                        </w:rPr>
                        <w:t xml:space="preserve"> http://www.cde.state.co.us/uip/uip_training </w:t>
                      </w:r>
                      <w:r>
                        <w:rPr>
                          <w:rFonts w:ascii="Arial" w:eastAsia="Arial" w:hAnsi="Arial" w:cs="Arial"/>
                          <w:b/>
                          <w:color w:val="FFFF00"/>
                        </w:rPr>
                        <w:t>or contact Erin Loften (loften_e@cde.state.co.us), Supervisor.</w:t>
                      </w:r>
                    </w:p>
                    <w:p w14:paraId="4C9CAAEA" w14:textId="403418DA" w:rsidR="007330AE" w:rsidRDefault="003D1E9F" w:rsidP="00C90DF5">
                      <w:pPr>
                        <w:spacing w:after="160" w:line="259" w:lineRule="auto"/>
                        <w:textDirection w:val="btLr"/>
                      </w:pPr>
                      <w:r>
                        <w:rPr>
                          <w:rFonts w:ascii="Arial" w:eastAsia="Arial" w:hAnsi="Arial" w:cs="Arial"/>
                          <w:b/>
                          <w:color w:val="FFFF00"/>
                        </w:rPr>
                        <w:t>For questions about this resource, contact Dan Jorgensen, PhD (Jorgensen_d@cde.state.co.us) or Lauren Hesse (hesse_l</w:t>
                      </w:r>
                      <w:r>
                        <w:rPr>
                          <w:rFonts w:ascii="Arial" w:eastAsia="Arial" w:hAnsi="Arial" w:cs="Arial"/>
                          <w:b/>
                          <w:color w:val="FFFF00"/>
                        </w:rPr>
                        <w:t>@cde.state.co.us).</w:t>
                      </w:r>
                    </w:p>
                    <w:p w14:paraId="3155BAA3" w14:textId="77777777" w:rsidR="007330AE" w:rsidRDefault="007330AE">
                      <w:pPr>
                        <w:spacing w:after="160" w:line="258" w:lineRule="auto"/>
                        <w:ind w:right="3600"/>
                        <w:textDirection w:val="btLr"/>
                      </w:pPr>
                    </w:p>
                    <w:p w14:paraId="40E5BAB5" w14:textId="77777777" w:rsidR="007330AE" w:rsidRDefault="007330AE">
                      <w:pPr>
                        <w:spacing w:after="160" w:line="258" w:lineRule="auto"/>
                        <w:ind w:right="3600"/>
                        <w:textDirection w:val="btLr"/>
                      </w:pPr>
                    </w:p>
                  </w:txbxContent>
                </v:textbox>
                <w10:wrap anchorx="page" anchory="margin"/>
              </v:rect>
            </w:pict>
          </mc:Fallback>
        </mc:AlternateContent>
      </w:r>
    </w:p>
    <w:sectPr w:rsidR="007330AE">
      <w:type w:val="continuous"/>
      <w:pgSz w:w="12240" w:h="15840"/>
      <w:pgMar w:top="720" w:right="720" w:bottom="720" w:left="720" w:header="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C76F" w14:textId="77777777" w:rsidR="003D1E9F" w:rsidRDefault="003D1E9F">
      <w:r>
        <w:separator/>
      </w:r>
    </w:p>
  </w:endnote>
  <w:endnote w:type="continuationSeparator" w:id="0">
    <w:p w14:paraId="1EDAD9E9" w14:textId="77777777" w:rsidR="003D1E9F" w:rsidRDefault="003D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8FC7" w14:textId="77777777" w:rsidR="00C90DF5" w:rsidRDefault="00C90DF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AC32" w14:textId="77777777" w:rsidR="00C90DF5" w:rsidRPr="00C90DF5" w:rsidRDefault="00C90DF5" w:rsidP="00C90DF5">
    <w:pPr>
      <w:pStyle w:val="Footer"/>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9EBF" w14:textId="77777777" w:rsidR="00C90DF5" w:rsidRDefault="00C90D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E447" w14:textId="77777777" w:rsidR="003D1E9F" w:rsidRDefault="003D1E9F">
      <w:r>
        <w:separator/>
      </w:r>
    </w:p>
  </w:footnote>
  <w:footnote w:type="continuationSeparator" w:id="0">
    <w:p w14:paraId="28B458FB" w14:textId="77777777" w:rsidR="003D1E9F" w:rsidRDefault="003D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F19C" w14:textId="77777777" w:rsidR="00C90DF5" w:rsidRDefault="00C90D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08FD" w14:textId="77777777" w:rsidR="007330AE" w:rsidRDefault="007330AE">
    <w:pPr>
      <w:pBdr>
        <w:top w:val="nil"/>
        <w:left w:val="nil"/>
        <w:bottom w:val="nil"/>
        <w:right w:val="nil"/>
        <w:between w:val="nil"/>
      </w:pBdr>
      <w:ind w:right="3600"/>
      <w:rPr>
        <w:color w:val="000000"/>
        <w:sz w:val="22"/>
        <w:szCs w:val="22"/>
      </w:rPr>
    </w:pPr>
  </w:p>
  <w:p w14:paraId="29F783E4" w14:textId="77777777" w:rsidR="007330AE" w:rsidRDefault="003D1E9F">
    <w:pPr>
      <w:pBdr>
        <w:top w:val="nil"/>
        <w:left w:val="nil"/>
        <w:bottom w:val="nil"/>
        <w:right w:val="nil"/>
        <w:between w:val="nil"/>
      </w:pBdr>
      <w:ind w:right="3600"/>
      <w:rPr>
        <w:color w:val="000000"/>
        <w:sz w:val="22"/>
        <w:szCs w:val="22"/>
      </w:rPr>
    </w:pPr>
    <w:r>
      <w:rPr>
        <w:noProof/>
      </w:rPr>
      <w:drawing>
        <wp:anchor distT="0" distB="0" distL="114300" distR="114300" simplePos="0" relativeHeight="251658240" behindDoc="0" locked="0" layoutInCell="1" hidden="0" allowOverlap="1" wp14:anchorId="206A3BBB" wp14:editId="26824482">
          <wp:simplePos x="0" y="0"/>
          <wp:positionH relativeFrom="column">
            <wp:posOffset>5910580</wp:posOffset>
          </wp:positionH>
          <wp:positionV relativeFrom="paragraph">
            <wp:posOffset>23495</wp:posOffset>
          </wp:positionV>
          <wp:extent cx="979805" cy="41592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79805" cy="415925"/>
                  </a:xfrm>
                  <a:prstGeom prst="rect">
                    <a:avLst/>
                  </a:prstGeom>
                  <a:ln/>
                </pic:spPr>
              </pic:pic>
            </a:graphicData>
          </a:graphic>
        </wp:anchor>
      </w:drawing>
    </w:r>
  </w:p>
  <w:p w14:paraId="178B7B3A" w14:textId="5F5E1039" w:rsidR="007330AE" w:rsidRDefault="00C90DF5">
    <w:pPr>
      <w:pBdr>
        <w:top w:val="nil"/>
        <w:left w:val="nil"/>
        <w:bottom w:val="nil"/>
        <w:right w:val="nil"/>
        <w:between w:val="nil"/>
      </w:pBdr>
      <w:ind w:right="3600"/>
      <w:rPr>
        <w:color w:val="000000"/>
        <w:sz w:val="22"/>
        <w:szCs w:val="22"/>
      </w:rPr>
    </w:pPr>
    <w:r>
      <w:rPr>
        <w:color w:val="000000"/>
        <w:sz w:val="22"/>
        <w:szCs w:val="22"/>
      </w:rPr>
      <w:t xml:space="preserve">Using Local Assessment Data: </w:t>
    </w:r>
    <w:proofErr w:type="spellStart"/>
    <w:r>
      <w:rPr>
        <w:color w:val="000000"/>
        <w:sz w:val="22"/>
        <w:szCs w:val="22"/>
      </w:rPr>
      <w:t>iReady</w:t>
    </w:r>
    <w:proofErr w:type="spellEnd"/>
  </w:p>
  <w:p w14:paraId="5D0318CA" w14:textId="77777777" w:rsidR="007330AE" w:rsidRDefault="007330AE">
    <w:pPr>
      <w:pBdr>
        <w:top w:val="nil"/>
        <w:left w:val="nil"/>
        <w:bottom w:val="nil"/>
        <w:right w:val="nil"/>
        <w:between w:val="nil"/>
      </w:pBdr>
      <w:ind w:right="3600"/>
      <w:rPr>
        <w:color w:val="000000"/>
        <w:sz w:val="22"/>
        <w:szCs w:val="22"/>
      </w:rPr>
    </w:pPr>
  </w:p>
  <w:p w14:paraId="5ADAEA7A" w14:textId="77777777" w:rsidR="007330AE" w:rsidRDefault="003D1E9F">
    <w:pPr>
      <w:pBdr>
        <w:top w:val="nil"/>
        <w:left w:val="nil"/>
        <w:bottom w:val="nil"/>
        <w:right w:val="nil"/>
        <w:between w:val="nil"/>
      </w:pBdr>
      <w:ind w:right="3600"/>
      <w:rPr>
        <w:color w:val="000000"/>
        <w:sz w:val="22"/>
        <w:szCs w:val="22"/>
      </w:rPr>
    </w:pPr>
    <w:r>
      <w:rPr>
        <w:noProof/>
      </w:rPr>
      <mc:AlternateContent>
        <mc:Choice Requires="wpg">
          <w:drawing>
            <wp:anchor distT="0" distB="0" distL="114300" distR="114300" simplePos="0" relativeHeight="251659264" behindDoc="0" locked="0" layoutInCell="1" hidden="0" allowOverlap="1" wp14:anchorId="6E8B0551" wp14:editId="6657E950">
              <wp:simplePos x="0" y="0"/>
              <wp:positionH relativeFrom="column">
                <wp:posOffset>1</wp:posOffset>
              </wp:positionH>
              <wp:positionV relativeFrom="paragraph">
                <wp:posOffset>12700</wp:posOffset>
              </wp:positionV>
              <wp:extent cx="6899275" cy="22225"/>
              <wp:effectExtent l="0" t="0" r="0" b="0"/>
              <wp:wrapNone/>
              <wp:docPr id="7" name="Straight Arrow Connector 7"/>
              <wp:cNvGraphicFramePr/>
              <a:graphic xmlns:a="http://schemas.openxmlformats.org/drawingml/2006/main">
                <a:graphicData uri="http://schemas.microsoft.com/office/word/2010/wordprocessingShape">
                  <wps:wsp>
                    <wps:cNvCnPr/>
                    <wps:spPr>
                      <a:xfrm>
                        <a:off x="1901125" y="3780000"/>
                        <a:ext cx="68897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99275" cy="22225"/>
              <wp:effectExtent b="0" l="0" r="0" t="0"/>
              <wp:wrapNone/>
              <wp:docPr id="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99275" cy="222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EB88" w14:textId="77777777" w:rsidR="007330AE" w:rsidRDefault="003D1E9F">
    <w:pPr>
      <w:pBdr>
        <w:top w:val="nil"/>
        <w:left w:val="nil"/>
        <w:bottom w:val="nil"/>
        <w:right w:val="nil"/>
        <w:between w:val="nil"/>
      </w:pBdr>
      <w:ind w:right="3600"/>
      <w:rPr>
        <w:color w:val="000000"/>
        <w:sz w:val="22"/>
        <w:szCs w:val="22"/>
      </w:rPr>
    </w:pPr>
    <w:r>
      <w:rPr>
        <w:noProof/>
      </w:rPr>
      <w:drawing>
        <wp:anchor distT="0" distB="0" distL="0" distR="0" simplePos="0" relativeHeight="251660288" behindDoc="1" locked="0" layoutInCell="1" hidden="0" allowOverlap="1" wp14:anchorId="559E89B0" wp14:editId="3E1506CB">
          <wp:simplePos x="0" y="0"/>
          <wp:positionH relativeFrom="column">
            <wp:posOffset>-469263</wp:posOffset>
          </wp:positionH>
          <wp:positionV relativeFrom="paragraph">
            <wp:posOffset>0</wp:posOffset>
          </wp:positionV>
          <wp:extent cx="7809230" cy="16103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230" cy="16103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6782"/>
    <w:multiLevelType w:val="multilevel"/>
    <w:tmpl w:val="85663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95716FA"/>
    <w:multiLevelType w:val="multilevel"/>
    <w:tmpl w:val="6B786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FF62CE"/>
    <w:multiLevelType w:val="multilevel"/>
    <w:tmpl w:val="790AD0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E240ADD"/>
    <w:multiLevelType w:val="multilevel"/>
    <w:tmpl w:val="C7302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AE"/>
    <w:rsid w:val="003D1E9F"/>
    <w:rsid w:val="004A285D"/>
    <w:rsid w:val="007330AE"/>
    <w:rsid w:val="00972A6C"/>
    <w:rsid w:val="00C9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6CB0"/>
  <w15:docId w15:val="{B344F292-FCC6-49BD-9947-AF126C0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after="0"/>
      <w:ind w:right="1440"/>
    </w:pPr>
    <w:rPr>
      <w:rFonts w:ascii="Museo Slab 500" w:eastAsia="Times New Roman" w:hAnsi="Museo Slab 500" w:cs="Times New Roman"/>
      <w:color w:val="FFFFFF"/>
      <w:sz w:val="48"/>
      <w:szCs w:val="32"/>
    </w:rPr>
  </w:style>
  <w:style w:type="paragraph" w:styleId="Heading2">
    <w:name w:val="heading 2"/>
    <w:basedOn w:val="Normal1"/>
    <w:next w:val="Normal1"/>
    <w:uiPriority w:val="9"/>
    <w:unhideWhenUsed/>
    <w:qFormat/>
    <w:pPr>
      <w:keepNext/>
      <w:keepLines/>
      <w:spacing w:before="40" w:after="840"/>
      <w:outlineLvl w:val="1"/>
    </w:pPr>
    <w:rPr>
      <w:rFonts w:eastAsia="Times New Roman" w:cs="Times New Roman"/>
      <w:b/>
      <w:color w:val="FFFFFF"/>
      <w:sz w:val="32"/>
      <w:szCs w:val="26"/>
    </w:rPr>
  </w:style>
  <w:style w:type="paragraph" w:styleId="Heading3">
    <w:name w:val="heading 3"/>
    <w:basedOn w:val="Normal1"/>
    <w:next w:val="Normal1"/>
    <w:uiPriority w:val="9"/>
    <w:unhideWhenUsed/>
    <w:qFormat/>
    <w:pPr>
      <w:keepNext/>
      <w:keepLines/>
      <w:spacing w:before="40" w:after="120"/>
      <w:outlineLvl w:val="2"/>
    </w:pPr>
    <w:rPr>
      <w:rFonts w:eastAsia="Times New Roman" w:cs="Times New Roman"/>
      <w:b/>
      <w:color w:val="000000"/>
      <w:sz w:val="28"/>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ind w:left="36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aliases w:val="Page01- body with right indent-black"/>
    <w:pPr>
      <w:suppressAutoHyphens/>
      <w:spacing w:after="160" w:line="259" w:lineRule="auto"/>
      <w:ind w:leftChars="-1" w:left="-1" w:right="3600" w:hangingChars="1" w:hanging="1"/>
      <w:textDirection w:val="btLr"/>
      <w:textAlignment w:val="top"/>
      <w:outlineLvl w:val="0"/>
    </w:pPr>
    <w:rPr>
      <w:position w:val="-1"/>
      <w:sz w:val="22"/>
      <w:szCs w:val="22"/>
    </w:rPr>
  </w:style>
  <w:style w:type="paragraph" w:styleId="Header">
    <w:name w:val="header"/>
    <w:basedOn w:val="Normal1"/>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1"/>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Museo Slab 500" w:eastAsia="Times New Roman" w:hAnsi="Museo Slab 500" w:cs="Times New Roman"/>
      <w:color w:val="FFFFFF"/>
      <w:w w:val="100"/>
      <w:position w:val="-1"/>
      <w:sz w:val="48"/>
      <w:szCs w:val="32"/>
      <w:effect w:val="none"/>
      <w:vertAlign w:val="baseline"/>
      <w:cs w:val="0"/>
      <w:em w:val="none"/>
    </w:rPr>
  </w:style>
  <w:style w:type="character" w:customStyle="1" w:styleId="Heading2Char">
    <w:name w:val="Heading 2 Char"/>
    <w:rPr>
      <w:rFonts w:ascii="Calibri" w:eastAsia="Times New Roman" w:hAnsi="Calibri" w:cs="Times New Roman"/>
      <w:b/>
      <w:color w:val="FFFFFF"/>
      <w:w w:val="100"/>
      <w:position w:val="-1"/>
      <w:sz w:val="32"/>
      <w:szCs w:val="26"/>
      <w:effect w:val="none"/>
      <w:vertAlign w:val="baseline"/>
      <w:cs w:val="0"/>
      <w:em w:val="none"/>
    </w:rPr>
  </w:style>
  <w:style w:type="character" w:customStyle="1" w:styleId="Heading3Char">
    <w:name w:val="Heading 3 Char"/>
    <w:rPr>
      <w:rFonts w:ascii="Calibri" w:eastAsia="Times New Roman" w:hAnsi="Calibri" w:cs="Times New Roman"/>
      <w:b/>
      <w:color w:val="000000"/>
      <w:w w:val="100"/>
      <w:position w:val="-1"/>
      <w:sz w:val="28"/>
      <w:szCs w:val="24"/>
      <w:effect w:val="none"/>
      <w:vertAlign w:val="baseline"/>
      <w:cs w:val="0"/>
      <w:em w:val="none"/>
    </w:rPr>
  </w:style>
  <w:style w:type="paragraph" w:customStyle="1" w:styleId="Page01-Side-bar-navy">
    <w:name w:val="Page 01-Side-bar-navy"/>
    <w:basedOn w:val="Normal1"/>
    <w:pPr>
      <w:ind w:right="0"/>
    </w:pPr>
    <w:rPr>
      <w:color w:val="232C67"/>
      <w:sz w:val="20"/>
    </w:rPr>
  </w:style>
  <w:style w:type="paragraph" w:styleId="NormalWeb">
    <w:name w:val="Normal (Web)"/>
    <w:basedOn w:val="Normal1"/>
    <w:qFormat/>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Page01-Side-bar-navyChar">
    <w:name w:val="Page 01-Side-bar-navy Char"/>
    <w:rPr>
      <w:color w:val="232C67"/>
      <w:w w:val="100"/>
      <w:position w:val="-1"/>
      <w:sz w:val="20"/>
      <w:effect w:val="none"/>
      <w:vertAlign w:val="baseline"/>
      <w:cs w:val="0"/>
      <w:em w:val="none"/>
    </w:rPr>
  </w:style>
  <w:style w:type="paragraph" w:customStyle="1" w:styleId="Text">
    <w:name w:val="Text"/>
    <w:basedOn w:val="Normal1"/>
    <w:pPr>
      <w:ind w:right="0"/>
    </w:pPr>
  </w:style>
  <w:style w:type="character" w:customStyle="1" w:styleId="TextChar">
    <w:name w:val="Text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styleId="GridTable4-Accent1">
    <w:name w:val="Grid Table 4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paragraph" w:customStyle="1" w:styleId="rteindent2">
    <w:name w:val="rteindent2"/>
    <w:basedOn w:val="Normal1"/>
    <w:pPr>
      <w:spacing w:before="100" w:beforeAutospacing="1" w:after="100" w:afterAutospacing="1" w:line="240" w:lineRule="auto"/>
      <w:ind w:right="0"/>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90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urriculumassociates.com/-/media/mainsite/files/i-ready/iready-measuring-and-monitoring-growth-reading-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urriculumassociates.com/-/media/mainsite/files/i-ready/iready-measuring-and-monitoring-growth-math-2019.pdf" TargetMode="External"/><Relationship Id="rId2" Type="http://schemas.openxmlformats.org/officeDocument/2006/relationships/numbering" Target="numbering.xml"/><Relationship Id="rId16" Type="http://schemas.openxmlformats.org/officeDocument/2006/relationships/hyperlink" Target="https://www.curriculumassociates.com/-/media/mainsite/files/i-ready/iready-understanding-student-performance-reading-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urriculumassociates.com/-/media/mainsite/files/i-ready/iready-understanding-student-performance-math-2019.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e.state.co.us/uip/dataanalysisforsmallstudentpopulations20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hv93x2RLtrH9rru9ZqNmyg/fXg==">AMUW2mWPJqUG3+aPHHrIYKLNu0ngFIQVztTwXHPgTGPIFxgNF3Y+1x9TY/AUoQUPFqjDTbH/5VVJmPhn4jM6CqSRdP7BdPbiN3D4gDQtHpUG0PmT8126Z2M8NqV15STBqSVRVglLpG1bpBt/11peMHvoydTI/m047pDMV7ab0R1pEv+fFF/E+dxluTE+77SEzJdLo1vqYW+wlRiOUESndnDgEUbJtlg1Bru/YXpIKPgaW8bOZoyQ09BLiedbTzf7Gq0Jxprc9o4txP15d4wTWYe3mOO0DVNox2F0Ev37L2MWVWN61y+mcrfVA3B0YQ1BD6Sn9WmdsAfAq5icRBWlmNWKLk3O1eMaGzt0m56EboiYIUGCmFSPENes6F50XOdQiPYzZbnC+m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4</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Stein, Kirby</cp:lastModifiedBy>
  <cp:revision>2</cp:revision>
  <dcterms:created xsi:type="dcterms:W3CDTF">2021-10-12T19:49:00Z</dcterms:created>
  <dcterms:modified xsi:type="dcterms:W3CDTF">2021-10-12T19:49:00Z</dcterms:modified>
</cp:coreProperties>
</file>