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7D" w:rsidRDefault="0094747D" w:rsidP="0094747D">
      <w:pPr>
        <w:rPr>
          <w:b/>
        </w:rPr>
      </w:pPr>
      <w:r w:rsidRPr="00470AAC">
        <w:rPr>
          <w:b/>
        </w:rPr>
        <w:t xml:space="preserve">School </w:t>
      </w:r>
      <w:r>
        <w:rPr>
          <w:b/>
        </w:rPr>
        <w:t>Target Setting</w:t>
      </w:r>
      <w:r w:rsidRPr="00470AAC">
        <w:rPr>
          <w:b/>
        </w:rPr>
        <w:t xml:space="preserve"> </w:t>
      </w:r>
      <w:r>
        <w:rPr>
          <w:b/>
        </w:rPr>
        <w:t>Form</w:t>
      </w:r>
    </w:p>
    <w:p w:rsidR="0094747D" w:rsidRDefault="0094747D" w:rsidP="0094747D">
      <w:pPr>
        <w:pStyle w:val="CommentText"/>
        <w:rPr>
          <w:b/>
          <w:szCs w:val="18"/>
        </w:rPr>
      </w:pPr>
    </w:p>
    <w:p w:rsidR="0094747D" w:rsidRPr="00A35FF0" w:rsidRDefault="0094747D" w:rsidP="0094747D">
      <w:pPr>
        <w:pStyle w:val="CommentText"/>
        <w:rPr>
          <w:szCs w:val="18"/>
        </w:rPr>
      </w:pPr>
      <w:r w:rsidRPr="00A35FF0">
        <w:rPr>
          <w:b/>
          <w:szCs w:val="18"/>
        </w:rPr>
        <w:t xml:space="preserve">Directions:  </w:t>
      </w:r>
      <w:r w:rsidRPr="00A35FF0">
        <w:rPr>
          <w:szCs w:val="18"/>
        </w:rPr>
        <w:t>Complete the worksheet below. While schools may set targets for all perfor</w:t>
      </w:r>
      <w:r w:rsidR="00292386">
        <w:rPr>
          <w:szCs w:val="18"/>
        </w:rPr>
        <w:t xml:space="preserve">mance indicators, at a minimum </w:t>
      </w:r>
      <w:r w:rsidRPr="00A35FF0">
        <w:rPr>
          <w:szCs w:val="18"/>
        </w:rPr>
        <w:t xml:space="preserve">they must set targets for those priority performance challenges identified in Section III (e.g., by disaggregated student groups, grade levels, subject areas). </w:t>
      </w:r>
    </w:p>
    <w:p w:rsidR="0094747D" w:rsidRPr="00A35FF0" w:rsidRDefault="0094747D" w:rsidP="0094747D">
      <w:pPr>
        <w:rPr>
          <w:sz w:val="20"/>
          <w:szCs w:val="18"/>
        </w:rPr>
      </w:pPr>
      <w:r w:rsidRPr="00A35FF0">
        <w:rPr>
          <w:sz w:val="20"/>
          <w:szCs w:val="18"/>
        </w:rPr>
        <w:t xml:space="preserve">  </w:t>
      </w:r>
    </w:p>
    <w:p w:rsidR="0094747D" w:rsidRPr="00A35FF0" w:rsidRDefault="0094747D" w:rsidP="0094747D">
      <w:pPr>
        <w:rPr>
          <w:sz w:val="20"/>
          <w:szCs w:val="18"/>
        </w:rPr>
      </w:pPr>
      <w:r>
        <w:rPr>
          <w:sz w:val="20"/>
          <w:szCs w:val="18"/>
        </w:rPr>
        <w:t>S</w:t>
      </w:r>
      <w:r w:rsidRPr="00A35FF0">
        <w:rPr>
          <w:sz w:val="20"/>
          <w:szCs w:val="18"/>
        </w:rPr>
        <w:t xml:space="preserve">chools are expected to set their own annual targets for academic achievement, academic growth, academic growth gaps and postsecondary and workforce readiness. </w:t>
      </w:r>
      <w:r>
        <w:rPr>
          <w:sz w:val="20"/>
          <w:szCs w:val="18"/>
        </w:rPr>
        <w:t xml:space="preserve">At a minimum, schools should set targets for each of the performance indicators where state expectations are not met – in each area where a priority performance challenge was identified; targets should also be connected to prioritized performance challenges.  Consider last year’s targets (see Worksheet #1) and whether adjustments need to be made.  </w:t>
      </w:r>
      <w:r w:rsidRPr="00A35FF0">
        <w:rPr>
          <w:sz w:val="20"/>
          <w:szCs w:val="18"/>
        </w:rPr>
        <w:t xml:space="preserve">For each annual performance target, identify interim measures that will be used to monitor progress toward the annual targets at least quarterly during the school year.  </w:t>
      </w:r>
    </w:p>
    <w:p w:rsidR="0094747D" w:rsidRDefault="0094747D" w:rsidP="0094747D">
      <w:pPr>
        <w:rPr>
          <w:b/>
        </w:rPr>
      </w:pPr>
    </w:p>
    <w:p w:rsidR="0094747D" w:rsidRPr="00792592" w:rsidRDefault="0094747D" w:rsidP="0094747D">
      <w:pPr>
        <w:rPr>
          <w:b/>
        </w:rPr>
      </w:pPr>
      <w:r w:rsidRPr="000012C0">
        <w:rPr>
          <w:b/>
        </w:rPr>
        <w:t xml:space="preserve">School </w:t>
      </w:r>
      <w:r>
        <w:rPr>
          <w:b/>
        </w:rPr>
        <w:t>Target Setting</w:t>
      </w:r>
      <w:r w:rsidRPr="000012C0">
        <w:rPr>
          <w:b/>
        </w:rPr>
        <w:t xml:space="preserve"> </w:t>
      </w:r>
      <w:r>
        <w:rPr>
          <w:b/>
        </w:rPr>
        <w:t>Form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2"/>
        <w:gridCol w:w="1137"/>
        <w:gridCol w:w="601"/>
        <w:gridCol w:w="2052"/>
        <w:gridCol w:w="2055"/>
        <w:gridCol w:w="2052"/>
        <w:gridCol w:w="2394"/>
        <w:gridCol w:w="2240"/>
      </w:tblGrid>
      <w:tr w:rsidR="0094747D" w:rsidRPr="00721350" w:rsidTr="00292386">
        <w:trPr>
          <w:cantSplit/>
          <w:trHeight w:val="390"/>
        </w:trPr>
        <w:tc>
          <w:tcPr>
            <w:tcW w:w="457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94747D" w:rsidRPr="0007717E" w:rsidRDefault="0094747D" w:rsidP="00AA54A7">
            <w:pPr>
              <w:spacing w:before="60" w:after="60"/>
              <w:jc w:val="center"/>
            </w:pPr>
            <w:r>
              <w:t>Performance Indicators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000000"/>
            <w:vAlign w:val="center"/>
          </w:tcPr>
          <w:p w:rsidR="0094747D" w:rsidRPr="00721350" w:rsidRDefault="0094747D" w:rsidP="00AA54A7">
            <w:pPr>
              <w:spacing w:before="60" w:after="60"/>
              <w:jc w:val="center"/>
            </w:pPr>
            <w:r>
              <w:t>Measures/ Metrics</w:t>
            </w:r>
          </w:p>
        </w:tc>
        <w:tc>
          <w:tcPr>
            <w:tcW w:w="744" w:type="pct"/>
            <w:vMerge w:val="restart"/>
            <w:tcBorders>
              <w:top w:val="single" w:sz="18" w:space="0" w:color="000000"/>
            </w:tcBorders>
            <w:shd w:val="clear" w:color="auto" w:fill="000000"/>
            <w:vAlign w:val="center"/>
          </w:tcPr>
          <w:p w:rsidR="0094747D" w:rsidRDefault="0094747D" w:rsidP="00AA54A7">
            <w:pPr>
              <w:spacing w:before="60" w:after="60"/>
              <w:jc w:val="center"/>
            </w:pPr>
            <w:r>
              <w:t xml:space="preserve">Priority Performance </w:t>
            </w:r>
            <w:r>
              <w:br/>
              <w:t>Challenges</w:t>
            </w:r>
          </w:p>
        </w:tc>
        <w:tc>
          <w:tcPr>
            <w:tcW w:w="1489" w:type="pct"/>
            <w:gridSpan w:val="2"/>
            <w:tcBorders>
              <w:top w:val="single" w:sz="18" w:space="0" w:color="000000"/>
            </w:tcBorders>
            <w:shd w:val="clear" w:color="auto" w:fill="000000"/>
          </w:tcPr>
          <w:p w:rsidR="0094747D" w:rsidRPr="00721350" w:rsidRDefault="0094747D" w:rsidP="00AA54A7">
            <w:pPr>
              <w:spacing w:before="60" w:after="60"/>
              <w:jc w:val="center"/>
            </w:pPr>
            <w:r>
              <w:t xml:space="preserve">Annual Performance Targets </w:t>
            </w:r>
          </w:p>
        </w:tc>
        <w:tc>
          <w:tcPr>
            <w:tcW w:w="868" w:type="pct"/>
            <w:vMerge w:val="restart"/>
            <w:tcBorders>
              <w:top w:val="single" w:sz="18" w:space="0" w:color="000000"/>
            </w:tcBorders>
            <w:shd w:val="clear" w:color="auto" w:fill="000000"/>
          </w:tcPr>
          <w:p w:rsidR="0094747D" w:rsidRDefault="0094747D" w:rsidP="00AA54A7">
            <w:pPr>
              <w:spacing w:before="60" w:after="60"/>
              <w:jc w:val="center"/>
            </w:pPr>
            <w:r>
              <w:t xml:space="preserve">Interim Measures for </w:t>
            </w:r>
            <w:r>
              <w:br/>
              <w:t>2012-13</w:t>
            </w:r>
          </w:p>
        </w:tc>
        <w:tc>
          <w:tcPr>
            <w:tcW w:w="813" w:type="pct"/>
            <w:vMerge w:val="restart"/>
            <w:tcBorders>
              <w:top w:val="single" w:sz="18" w:space="0" w:color="000000"/>
            </w:tcBorders>
            <w:shd w:val="clear" w:color="auto" w:fill="000000"/>
            <w:vAlign w:val="center"/>
          </w:tcPr>
          <w:p w:rsidR="0094747D" w:rsidRPr="00721350" w:rsidRDefault="0094747D" w:rsidP="00AA54A7">
            <w:pPr>
              <w:spacing w:before="60" w:after="60"/>
              <w:jc w:val="center"/>
            </w:pPr>
            <w:r>
              <w:t>Major Improvement Strategy</w:t>
            </w:r>
          </w:p>
        </w:tc>
      </w:tr>
      <w:tr w:rsidR="0094747D" w:rsidRPr="00721350" w:rsidTr="00292386">
        <w:trPr>
          <w:cantSplit/>
          <w:trHeight w:val="390"/>
        </w:trPr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94747D" w:rsidRDefault="0094747D" w:rsidP="00AA54A7">
            <w:pPr>
              <w:spacing w:before="60" w:after="60"/>
              <w:jc w:val="center"/>
            </w:pPr>
          </w:p>
        </w:tc>
        <w:tc>
          <w:tcPr>
            <w:tcW w:w="629" w:type="pct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94747D" w:rsidRDefault="0094747D" w:rsidP="00AA54A7">
            <w:pPr>
              <w:spacing w:before="60" w:after="60"/>
              <w:jc w:val="center"/>
            </w:pPr>
          </w:p>
        </w:tc>
        <w:tc>
          <w:tcPr>
            <w:tcW w:w="744" w:type="pct"/>
            <w:vMerge/>
            <w:tcBorders>
              <w:bottom w:val="single" w:sz="18" w:space="0" w:color="000000"/>
            </w:tcBorders>
            <w:shd w:val="clear" w:color="auto" w:fill="000000"/>
          </w:tcPr>
          <w:p w:rsidR="0094747D" w:rsidRDefault="0094747D" w:rsidP="00AA54A7">
            <w:pPr>
              <w:spacing w:before="60" w:after="60"/>
              <w:jc w:val="center"/>
            </w:pPr>
          </w:p>
        </w:tc>
        <w:tc>
          <w:tcPr>
            <w:tcW w:w="74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94747D" w:rsidRDefault="0094747D" w:rsidP="00AA54A7">
            <w:pPr>
              <w:spacing w:before="60" w:after="60"/>
              <w:jc w:val="center"/>
            </w:pPr>
            <w:r>
              <w:t>2012-13</w:t>
            </w:r>
          </w:p>
        </w:tc>
        <w:tc>
          <w:tcPr>
            <w:tcW w:w="74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94747D" w:rsidRDefault="0094747D" w:rsidP="00AA54A7">
            <w:pPr>
              <w:spacing w:before="60" w:after="60"/>
              <w:jc w:val="center"/>
            </w:pPr>
            <w:r>
              <w:t>2013-14</w:t>
            </w:r>
          </w:p>
        </w:tc>
        <w:tc>
          <w:tcPr>
            <w:tcW w:w="868" w:type="pct"/>
            <w:vMerge/>
            <w:tcBorders>
              <w:bottom w:val="single" w:sz="18" w:space="0" w:color="000000"/>
            </w:tcBorders>
            <w:shd w:val="clear" w:color="auto" w:fill="000000"/>
          </w:tcPr>
          <w:p w:rsidR="0094747D" w:rsidRDefault="0094747D" w:rsidP="00AA54A7">
            <w:pPr>
              <w:spacing w:before="60" w:after="60"/>
              <w:jc w:val="center"/>
            </w:pPr>
          </w:p>
        </w:tc>
        <w:tc>
          <w:tcPr>
            <w:tcW w:w="813" w:type="pct"/>
            <w:vMerge/>
            <w:tcBorders>
              <w:bottom w:val="single" w:sz="18" w:space="0" w:color="000000"/>
            </w:tcBorders>
            <w:shd w:val="clear" w:color="auto" w:fill="000000"/>
            <w:vAlign w:val="center"/>
          </w:tcPr>
          <w:p w:rsidR="0094747D" w:rsidRDefault="0094747D" w:rsidP="00AA54A7">
            <w:pPr>
              <w:spacing w:before="60" w:after="60"/>
              <w:jc w:val="center"/>
            </w:pPr>
          </w:p>
        </w:tc>
      </w:tr>
      <w:tr w:rsidR="0094747D" w:rsidRPr="0007717E" w:rsidTr="00292386">
        <w:trPr>
          <w:trHeight w:val="334"/>
        </w:trPr>
        <w:tc>
          <w:tcPr>
            <w:tcW w:w="45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817BDE" w:rsidRDefault="0094747D" w:rsidP="00AA54A7">
            <w:pPr>
              <w:spacing w:before="60" w:after="60"/>
              <w:jc w:val="center"/>
            </w:pPr>
            <w:r>
              <w:t>Academic Achievement (Status)</w:t>
            </w:r>
          </w:p>
        </w:tc>
        <w:tc>
          <w:tcPr>
            <w:tcW w:w="41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 xml:space="preserve">TCAP, </w:t>
            </w:r>
            <w:proofErr w:type="spellStart"/>
            <w:r w:rsidRPr="00AE2AC5">
              <w:rPr>
                <w:sz w:val="20"/>
                <w:szCs w:val="20"/>
              </w:rPr>
              <w:t>CoAlt</w:t>
            </w:r>
            <w:proofErr w:type="spellEnd"/>
            <w:r w:rsidRPr="00AE2AC5">
              <w:rPr>
                <w:sz w:val="20"/>
                <w:szCs w:val="20"/>
              </w:rPr>
              <w:t xml:space="preserve">, </w:t>
            </w:r>
            <w:proofErr w:type="spellStart"/>
            <w:r w:rsidRPr="00AE2AC5">
              <w:rPr>
                <w:sz w:val="20"/>
                <w:szCs w:val="20"/>
              </w:rPr>
              <w:t>Lectura</w:t>
            </w:r>
            <w:proofErr w:type="spellEnd"/>
            <w:r w:rsidRPr="00AE2AC5">
              <w:rPr>
                <w:sz w:val="20"/>
                <w:szCs w:val="20"/>
              </w:rPr>
              <w:t xml:space="preserve">, </w:t>
            </w:r>
            <w:proofErr w:type="spellStart"/>
            <w:r w:rsidRPr="00AE2AC5">
              <w:rPr>
                <w:sz w:val="20"/>
                <w:szCs w:val="20"/>
              </w:rPr>
              <w:t>Escritura</w:t>
            </w:r>
            <w:proofErr w:type="spellEnd"/>
          </w:p>
          <w:p w:rsidR="0094747D" w:rsidRPr="00AE2AC5" w:rsidRDefault="0094747D" w:rsidP="00AA54A7">
            <w:pPr>
              <w:spacing w:before="60" w:after="60"/>
              <w:ind w:left="161" w:hanging="161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R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33"/>
        </w:trPr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ind w:left="18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  <w:ind w:left="161" w:hanging="161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167"/>
        </w:trPr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ind w:left="18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ind w:left="161" w:hanging="161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W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33"/>
        </w:trPr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ind w:left="18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ind w:left="161" w:hanging="161"/>
            </w:pPr>
          </w:p>
        </w:tc>
        <w:tc>
          <w:tcPr>
            <w:tcW w:w="218" w:type="pct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ind w:left="161" w:hanging="161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S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24"/>
        </w:trPr>
        <w:tc>
          <w:tcPr>
            <w:tcW w:w="457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jc w:val="center"/>
            </w:pPr>
            <w:r>
              <w:t>Academic Growth</w:t>
            </w:r>
          </w:p>
        </w:tc>
        <w:tc>
          <w:tcPr>
            <w:tcW w:w="412" w:type="pct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B83B4A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B83B4A">
              <w:rPr>
                <w:sz w:val="20"/>
                <w:szCs w:val="20"/>
              </w:rPr>
              <w:t>Median Student Growth Percentile</w:t>
            </w:r>
            <w:r>
              <w:rPr>
                <w:sz w:val="20"/>
                <w:szCs w:val="20"/>
              </w:rPr>
              <w:t xml:space="preserve"> (TCAP &amp; </w:t>
            </w:r>
            <w:proofErr w:type="spellStart"/>
            <w:r>
              <w:rPr>
                <w:sz w:val="20"/>
                <w:szCs w:val="20"/>
              </w:rPr>
              <w:t>CELApro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8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R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111"/>
        </w:trPr>
        <w:tc>
          <w:tcPr>
            <w:tcW w:w="4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1B36F1" w:rsidRDefault="0094747D" w:rsidP="00AA54A7">
            <w:pPr>
              <w:spacing w:before="60" w:after="60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30"/>
        </w:trPr>
        <w:tc>
          <w:tcPr>
            <w:tcW w:w="4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1B36F1" w:rsidRDefault="0094747D" w:rsidP="00AA54A7">
            <w:pPr>
              <w:spacing w:before="60" w:after="60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W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30"/>
        </w:trPr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1B36F1" w:rsidRDefault="0094747D" w:rsidP="00AA54A7">
            <w:pPr>
              <w:spacing w:before="60" w:after="60"/>
            </w:pPr>
          </w:p>
        </w:tc>
        <w:tc>
          <w:tcPr>
            <w:tcW w:w="218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E26C1D" w:rsidRDefault="0094747D" w:rsidP="00AA54A7">
            <w:pPr>
              <w:spacing w:before="60" w:after="60"/>
              <w:rPr>
                <w:sz w:val="16"/>
                <w:szCs w:val="16"/>
              </w:rPr>
            </w:pPr>
            <w:r w:rsidRPr="00E26C1D">
              <w:rPr>
                <w:sz w:val="16"/>
                <w:szCs w:val="16"/>
              </w:rPr>
              <w:t>ELP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c>
          <w:tcPr>
            <w:tcW w:w="457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  <w:jc w:val="center"/>
            </w:pPr>
            <w:r>
              <w:t>Academic Growth Gaps</w:t>
            </w:r>
          </w:p>
        </w:tc>
        <w:tc>
          <w:tcPr>
            <w:tcW w:w="412" w:type="pct"/>
            <w:vMerge w:val="restart"/>
            <w:tcBorders>
              <w:top w:val="single" w:sz="18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747D" w:rsidRPr="00995692" w:rsidRDefault="0094747D" w:rsidP="00AA54A7">
            <w:pPr>
              <w:spacing w:before="60" w:after="60"/>
            </w:pPr>
            <w:r w:rsidRPr="00B83B4A">
              <w:rPr>
                <w:sz w:val="20"/>
                <w:szCs w:val="20"/>
              </w:rPr>
              <w:t>Median Student Growth Percentile</w:t>
            </w:r>
          </w:p>
        </w:tc>
        <w:tc>
          <w:tcPr>
            <w:tcW w:w="21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R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c>
          <w:tcPr>
            <w:tcW w:w="4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412" w:type="pct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4747D" w:rsidRDefault="0094747D" w:rsidP="00AA54A7">
            <w:pPr>
              <w:spacing w:before="60" w:after="60"/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W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15"/>
        </w:trPr>
        <w:tc>
          <w:tcPr>
            <w:tcW w:w="457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</w:pPr>
            <w:r w:rsidRPr="00721350">
              <w:t xml:space="preserve">Post Secondary </w:t>
            </w:r>
            <w:r>
              <w:t xml:space="preserve">&amp; Workforce </w:t>
            </w:r>
            <w:r w:rsidRPr="00721350">
              <w:t>Readiness</w:t>
            </w:r>
          </w:p>
        </w:tc>
        <w:tc>
          <w:tcPr>
            <w:tcW w:w="629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Graduation Rate</w:t>
            </w:r>
          </w:p>
        </w:tc>
        <w:tc>
          <w:tcPr>
            <w:tcW w:w="744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315"/>
        </w:trPr>
        <w:tc>
          <w:tcPr>
            <w:tcW w:w="4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747D" w:rsidRPr="00721350" w:rsidRDefault="0094747D" w:rsidP="00AA54A7">
            <w:pPr>
              <w:spacing w:before="60" w:after="60"/>
            </w:pPr>
          </w:p>
        </w:tc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Disaggregated Grad Rate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186"/>
        </w:trPr>
        <w:tc>
          <w:tcPr>
            <w:tcW w:w="457" w:type="pct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9D9D9"/>
          </w:tcPr>
          <w:p w:rsidR="0094747D" w:rsidRPr="00721350" w:rsidRDefault="0094747D" w:rsidP="00AA54A7">
            <w:pPr>
              <w:spacing w:before="60" w:after="60"/>
            </w:pPr>
          </w:p>
        </w:tc>
        <w:tc>
          <w:tcPr>
            <w:tcW w:w="629" w:type="pct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Dropout Rate</w:t>
            </w:r>
          </w:p>
        </w:tc>
        <w:tc>
          <w:tcPr>
            <w:tcW w:w="744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  <w:tr w:rsidR="0094747D" w:rsidRPr="0007717E" w:rsidTr="00292386">
        <w:trPr>
          <w:trHeight w:val="186"/>
        </w:trPr>
        <w:tc>
          <w:tcPr>
            <w:tcW w:w="457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94747D" w:rsidRPr="00721350" w:rsidRDefault="0094747D" w:rsidP="00AA54A7">
            <w:pPr>
              <w:spacing w:before="60" w:after="60"/>
            </w:pPr>
          </w:p>
        </w:tc>
        <w:tc>
          <w:tcPr>
            <w:tcW w:w="629" w:type="pct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4747D" w:rsidRPr="00AE2AC5" w:rsidRDefault="0094747D" w:rsidP="00AA54A7">
            <w:pPr>
              <w:spacing w:before="60" w:after="60"/>
              <w:rPr>
                <w:sz w:val="20"/>
                <w:szCs w:val="20"/>
              </w:rPr>
            </w:pPr>
            <w:r w:rsidRPr="00AE2AC5">
              <w:rPr>
                <w:sz w:val="20"/>
                <w:szCs w:val="20"/>
              </w:rPr>
              <w:t>Mean ACT</w:t>
            </w:r>
          </w:p>
        </w:tc>
        <w:tc>
          <w:tcPr>
            <w:tcW w:w="744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5" w:type="pct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744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68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  <w:tc>
          <w:tcPr>
            <w:tcW w:w="813" w:type="pc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747D" w:rsidRPr="00591322" w:rsidRDefault="0094747D" w:rsidP="00AA54A7">
            <w:pPr>
              <w:spacing w:before="60" w:after="60"/>
            </w:pPr>
          </w:p>
        </w:tc>
      </w:tr>
    </w:tbl>
    <w:p w:rsidR="0094747D" w:rsidRPr="009F37F1" w:rsidRDefault="0094747D" w:rsidP="0094747D">
      <w:pPr>
        <w:rPr>
          <w:sz w:val="18"/>
          <w:szCs w:val="18"/>
        </w:rPr>
      </w:pPr>
    </w:p>
    <w:sectPr w:rsidR="0094747D" w:rsidRPr="009F37F1" w:rsidSect="0094747D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47D"/>
    <w:rsid w:val="00292386"/>
    <w:rsid w:val="00431CC1"/>
    <w:rsid w:val="00521ECB"/>
    <w:rsid w:val="0094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7D"/>
    <w:pPr>
      <w:spacing w:after="0" w:line="240" w:lineRule="auto"/>
    </w:pPr>
    <w:rPr>
      <w:rFonts w:ascii="Arial Narrow" w:eastAsia="Calibri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47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47D"/>
    <w:rPr>
      <w:rFonts w:ascii="Arial Narrow" w:eastAsia="Calibri" w:hAnsi="Arial Narro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>SEHD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2</cp:revision>
  <dcterms:created xsi:type="dcterms:W3CDTF">2012-10-24T13:46:00Z</dcterms:created>
  <dcterms:modified xsi:type="dcterms:W3CDTF">2012-10-24T18:40:00Z</dcterms:modified>
</cp:coreProperties>
</file>