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744"/>
        <w:gridCol w:w="90"/>
        <w:gridCol w:w="1350"/>
        <w:gridCol w:w="1998"/>
      </w:tblGrid>
      <w:tr w:rsidR="0093017C" w:rsidRPr="00D5423D" w:rsidTr="00C82F94">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bookmarkStart w:id="0" w:name="_GoBack"/>
            <w:bookmarkEnd w:id="0"/>
            <w:r w:rsidRPr="00D5423D">
              <w:rPr>
                <w:rFonts w:asciiTheme="minorHAnsi" w:hAnsiTheme="minorHAnsi"/>
                <w:b/>
                <w:sz w:val="20"/>
                <w:szCs w:val="20"/>
              </w:rPr>
              <w:t>Content Area</w:t>
            </w:r>
          </w:p>
        </w:tc>
        <w:tc>
          <w:tcPr>
            <w:tcW w:w="5266" w:type="dxa"/>
            <w:gridSpan w:val="3"/>
          </w:tcPr>
          <w:p w:rsidR="0093017C" w:rsidRPr="00D5423D" w:rsidRDefault="00B0659D" w:rsidP="00BA43DD">
            <w:pPr>
              <w:ind w:left="0" w:firstLine="0"/>
              <w:rPr>
                <w:rFonts w:asciiTheme="minorHAnsi" w:hAnsiTheme="minorHAnsi"/>
                <w:sz w:val="20"/>
                <w:szCs w:val="20"/>
              </w:rPr>
            </w:pPr>
            <w:r>
              <w:rPr>
                <w:rFonts w:asciiTheme="minorHAnsi" w:hAnsiTheme="minorHAnsi"/>
                <w:sz w:val="20"/>
                <w:szCs w:val="20"/>
              </w:rPr>
              <w:t>World Languages</w:t>
            </w:r>
          </w:p>
        </w:tc>
        <w:tc>
          <w:tcPr>
            <w:tcW w:w="2744" w:type="dxa"/>
            <w:shd w:val="clear" w:color="auto" w:fill="D9D9D9" w:themeFill="background1" w:themeFillShade="D9"/>
          </w:tcPr>
          <w:p w:rsidR="0093017C" w:rsidRPr="00D5423D" w:rsidRDefault="00C82F94" w:rsidP="00BA43DD">
            <w:pPr>
              <w:ind w:left="0" w:firstLine="0"/>
              <w:rPr>
                <w:rFonts w:asciiTheme="minorHAnsi" w:hAnsiTheme="minorHAnsi"/>
                <w:b/>
                <w:sz w:val="20"/>
                <w:szCs w:val="20"/>
              </w:rPr>
            </w:pPr>
            <w:r>
              <w:rPr>
                <w:rFonts w:asciiTheme="minorHAnsi" w:hAnsiTheme="minorHAnsi"/>
                <w:b/>
                <w:sz w:val="20"/>
                <w:szCs w:val="20"/>
              </w:rPr>
              <w:t>Proficiency Range</w:t>
            </w:r>
            <w:r w:rsidR="0093017C" w:rsidRPr="00D5423D">
              <w:rPr>
                <w:rFonts w:asciiTheme="minorHAnsi" w:hAnsiTheme="minorHAnsi"/>
                <w:b/>
                <w:sz w:val="20"/>
                <w:szCs w:val="20"/>
              </w:rPr>
              <w:t xml:space="preserve"> Level</w:t>
            </w:r>
          </w:p>
        </w:tc>
        <w:tc>
          <w:tcPr>
            <w:tcW w:w="3438" w:type="dxa"/>
            <w:gridSpan w:val="3"/>
          </w:tcPr>
          <w:p w:rsidR="0093017C" w:rsidRPr="00D5423D" w:rsidRDefault="00C82F94" w:rsidP="00661177">
            <w:pPr>
              <w:ind w:left="0" w:firstLine="0"/>
              <w:rPr>
                <w:rFonts w:asciiTheme="minorHAnsi" w:hAnsiTheme="minorHAnsi"/>
                <w:sz w:val="20"/>
                <w:szCs w:val="20"/>
              </w:rPr>
            </w:pPr>
            <w:r>
              <w:rPr>
                <w:rFonts w:asciiTheme="minorHAnsi" w:hAnsiTheme="minorHAnsi"/>
                <w:sz w:val="20"/>
                <w:szCs w:val="20"/>
              </w:rPr>
              <w:t xml:space="preserve">Intermediate </w:t>
            </w:r>
            <w:r w:rsidR="00661177">
              <w:rPr>
                <w:rFonts w:asciiTheme="minorHAnsi" w:hAnsiTheme="minorHAnsi"/>
                <w:sz w:val="20"/>
                <w:szCs w:val="20"/>
              </w:rPr>
              <w:t>Mid</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661177" w:rsidP="0097481E">
            <w:pPr>
              <w:ind w:left="0" w:firstLine="0"/>
              <w:rPr>
                <w:rFonts w:asciiTheme="minorHAnsi" w:hAnsiTheme="minorHAnsi" w:cs="Calibri"/>
                <w:sz w:val="20"/>
                <w:szCs w:val="20"/>
              </w:rPr>
            </w:pPr>
            <w:r>
              <w:rPr>
                <w:rFonts w:asciiTheme="minorHAnsi" w:eastAsia="Times New Roman" w:hAnsiTheme="minorHAnsi"/>
                <w:sz w:val="20"/>
                <w:szCs w:val="20"/>
              </w:rPr>
              <w:t>WL09-IM-</w:t>
            </w:r>
            <w:r w:rsidR="0097481E">
              <w:rPr>
                <w:rFonts w:asciiTheme="minorHAnsi" w:eastAsia="Times New Roman" w:hAnsiTheme="minorHAnsi"/>
                <w:sz w:val="20"/>
                <w:szCs w:val="20"/>
              </w:rPr>
              <w:t>S.1-GLE.1</w:t>
            </w:r>
          </w:p>
        </w:tc>
      </w:tr>
      <w:tr w:rsidR="0097481E" w:rsidRPr="00D5423D" w:rsidTr="00BF5B6C">
        <w:trPr>
          <w:trHeight w:val="120"/>
          <w:jc w:val="center"/>
        </w:trPr>
        <w:tc>
          <w:tcPr>
            <w:tcW w:w="3168" w:type="dxa"/>
            <w:vMerge/>
            <w:tcBorders>
              <w:left w:val="single" w:sz="24"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66117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sidRPr="00D5423D">
              <w:rPr>
                <w:rFonts w:asciiTheme="minorHAnsi" w:hAnsiTheme="minorHAnsi"/>
                <w:sz w:val="20"/>
                <w:szCs w:val="20"/>
              </w:rPr>
              <w:t>S.1-GLE.2</w:t>
            </w:r>
          </w:p>
        </w:tc>
      </w:tr>
      <w:tr w:rsidR="0097481E" w:rsidRPr="00D5423D" w:rsidTr="00BF5B6C">
        <w:trPr>
          <w:trHeight w:val="12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5"/>
              </w:numPr>
              <w:spacing w:after="0" w:line="240" w:lineRule="auto"/>
              <w:ind w:left="360"/>
              <w:contextualSpacing w:val="0"/>
              <w:jc w:val="both"/>
              <w:rPr>
                <w:rFonts w:asciiTheme="minorHAnsi" w:hAnsiTheme="minorHAnsi"/>
                <w:sz w:val="20"/>
                <w:szCs w:val="20"/>
              </w:rPr>
            </w:pPr>
            <w:r w:rsidRPr="00C82F94">
              <w:rPr>
                <w:rFonts w:asciiTheme="minorHAnsi" w:hAnsiTheme="minorHAnsi"/>
                <w:sz w:val="20"/>
                <w:szCs w:val="20"/>
              </w:rPr>
              <w:t>Present (written or oral) on a variety of familiar topics, using 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Default="0066117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rsidTr="00BF5B6C">
        <w:trPr>
          <w:trHeight w:val="131"/>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82F94" w:rsidRDefault="00C82F94" w:rsidP="000101D3">
            <w:pPr>
              <w:pStyle w:val="ListParagraph"/>
              <w:numPr>
                <w:ilvl w:val="0"/>
                <w:numId w:val="6"/>
              </w:numPr>
              <w:spacing w:after="0" w:line="240" w:lineRule="auto"/>
              <w:contextualSpacing w:val="0"/>
              <w:rPr>
                <w:rFonts w:asciiTheme="minorHAnsi" w:hAnsiTheme="minorHAnsi"/>
                <w:sz w:val="20"/>
                <w:szCs w:val="20"/>
              </w:rPr>
            </w:pPr>
            <w:r w:rsidRPr="00C82F94">
              <w:rPr>
                <w:rFonts w:asciiTheme="minorHAnsi" w:hAnsiTheme="minorHAnsi"/>
                <w:sz w:val="20"/>
                <w:szCs w:val="20"/>
              </w:rPr>
              <w:t>Draw conclusions using a personal understanding of the perspectives and practices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66117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WL09-IM-</w:t>
            </w:r>
            <w:r w:rsidR="0097481E">
              <w:rPr>
                <w:rFonts w:asciiTheme="minorHAnsi" w:hAnsiTheme="minorHAnsi"/>
                <w:sz w:val="20"/>
                <w:szCs w:val="20"/>
              </w:rPr>
              <w:t>S.2-GLE.1</w:t>
            </w:r>
          </w:p>
        </w:tc>
      </w:tr>
      <w:tr w:rsidR="0097481E" w:rsidRPr="00D5423D" w:rsidTr="00BF5B6C">
        <w:trPr>
          <w:trHeight w:val="131"/>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how the perspectives of people who speak the target language are reflected in their products</w:t>
            </w:r>
          </w:p>
        </w:tc>
        <w:tc>
          <w:tcPr>
            <w:tcW w:w="1998" w:type="dxa"/>
            <w:tcBorders>
              <w:top w:val="single" w:sz="8" w:space="0" w:color="auto"/>
              <w:left w:val="single" w:sz="8" w:space="0" w:color="auto"/>
              <w:bottom w:val="single" w:sz="8" w:space="0" w:color="auto"/>
              <w:right w:val="single" w:sz="24" w:space="0" w:color="auto"/>
            </w:tcBorders>
          </w:tcPr>
          <w:p w:rsidR="0097481E" w:rsidRDefault="00661177"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Pr>
                <w:rFonts w:asciiTheme="minorHAnsi" w:hAnsiTheme="minorHAnsi"/>
                <w:sz w:val="20"/>
                <w:szCs w:val="20"/>
              </w:rPr>
              <w:t>S.2-GLE.2</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7"/>
              </w:numPr>
              <w:spacing w:after="0" w:line="240" w:lineRule="auto"/>
              <w:contextualSpacing w:val="0"/>
              <w:rPr>
                <w:rFonts w:asciiTheme="minorHAnsi" w:hAnsiTheme="minorHAnsi"/>
                <w:sz w:val="20"/>
                <w:szCs w:val="20"/>
              </w:rPr>
            </w:pPr>
            <w:r w:rsidRPr="00C82F94">
              <w:rPr>
                <w:rFonts w:asciiTheme="minorHAnsi" w:hAnsiTheme="minorHAnsi"/>
                <w:sz w:val="20"/>
                <w:szCs w:val="20"/>
              </w:rPr>
              <w:t>Assess the usefulness of information gathered from target language resources for application in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66117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WL09-IM-</w:t>
            </w:r>
            <w:r w:rsidR="0097481E">
              <w:rPr>
                <w:rFonts w:asciiTheme="minorHAnsi" w:hAnsiTheme="minorHAnsi"/>
                <w:sz w:val="20"/>
                <w:szCs w:val="20"/>
              </w:rPr>
              <w:t>S.3-GLE.1</w:t>
            </w:r>
          </w:p>
        </w:tc>
      </w:tr>
      <w:tr w:rsidR="0097481E" w:rsidRPr="00D5423D" w:rsidTr="00BF5B6C">
        <w:trPr>
          <w:trHeight w:val="27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7"/>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information and viewpoints presented in authentic resources</w:t>
            </w:r>
          </w:p>
        </w:tc>
        <w:tc>
          <w:tcPr>
            <w:tcW w:w="1998" w:type="dxa"/>
            <w:tcBorders>
              <w:top w:val="single" w:sz="8" w:space="0" w:color="auto"/>
              <w:left w:val="single" w:sz="8" w:space="0" w:color="auto"/>
              <w:bottom w:val="single" w:sz="8" w:space="0" w:color="auto"/>
              <w:right w:val="single" w:sz="24" w:space="0" w:color="auto"/>
            </w:tcBorders>
          </w:tcPr>
          <w:p w:rsidR="0097481E" w:rsidRDefault="0066117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Pr>
                <w:rFonts w:asciiTheme="minorHAnsi" w:hAnsiTheme="minorHAnsi"/>
                <w:sz w:val="20"/>
                <w:szCs w:val="20"/>
              </w:rPr>
              <w:t>S.3-GLE.2</w:t>
            </w:r>
          </w:p>
        </w:tc>
      </w:tr>
      <w:tr w:rsidR="0097481E" w:rsidRPr="00D5423D" w:rsidTr="0004428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0101D3">
            <w:pPr>
              <w:pStyle w:val="ListParagraph"/>
              <w:numPr>
                <w:ilvl w:val="0"/>
                <w:numId w:val="8"/>
              </w:numPr>
              <w:spacing w:after="0" w:line="240" w:lineRule="auto"/>
              <w:contextualSpacing w:val="0"/>
              <w:rPr>
                <w:rFonts w:asciiTheme="minorHAnsi" w:hAnsiTheme="minorHAnsi"/>
                <w:sz w:val="20"/>
                <w:szCs w:val="20"/>
              </w:rPr>
            </w:pPr>
            <w:r w:rsidRPr="00C82F94">
              <w:rPr>
                <w:rFonts w:asciiTheme="minorHAnsi" w:hAnsiTheme="minorHAnsi"/>
                <w:sz w:val="20"/>
                <w:szCs w:val="20"/>
              </w:rPr>
              <w:t>Recognize how the significance of the similarities and differences between the target language and the student’s own language provides insight into the structures of their own language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66117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WL09-IM-</w:t>
            </w:r>
            <w:r w:rsidR="0097481E">
              <w:rPr>
                <w:rFonts w:asciiTheme="minorHAnsi" w:hAnsiTheme="minorHAnsi"/>
                <w:sz w:val="20"/>
                <w:szCs w:val="20"/>
              </w:rPr>
              <w:t>S.4-GLE.1</w:t>
            </w:r>
          </w:p>
        </w:tc>
      </w:tr>
      <w:tr w:rsidR="0097481E" w:rsidRPr="00D5423D" w:rsidTr="0004428C">
        <w:trPr>
          <w:trHeight w:val="34"/>
          <w:jc w:val="center"/>
        </w:trPr>
        <w:tc>
          <w:tcPr>
            <w:tcW w:w="3168" w:type="dxa"/>
            <w:vMerge/>
            <w:tcBorders>
              <w:left w:val="single" w:sz="24" w:space="0" w:color="auto"/>
              <w:bottom w:val="single" w:sz="24" w:space="0" w:color="auto"/>
              <w:right w:val="single" w:sz="8" w:space="0" w:color="auto"/>
            </w:tcBorders>
          </w:tcPr>
          <w:p w:rsidR="0097481E" w:rsidRPr="00D5423D" w:rsidRDefault="0097481E" w:rsidP="000101D3">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97481E" w:rsidRPr="00BF5B6C" w:rsidRDefault="00C82F94" w:rsidP="000101D3">
            <w:pPr>
              <w:pStyle w:val="ListParagraph"/>
              <w:numPr>
                <w:ilvl w:val="0"/>
                <w:numId w:val="8"/>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 xml:space="preserve">Compare the similarities and differences between the target culture(s) and the student’s own culture </w:t>
            </w:r>
          </w:p>
        </w:tc>
        <w:tc>
          <w:tcPr>
            <w:tcW w:w="1998" w:type="dxa"/>
            <w:tcBorders>
              <w:top w:val="single" w:sz="8" w:space="0" w:color="auto"/>
              <w:left w:val="single" w:sz="8" w:space="0" w:color="auto"/>
              <w:right w:val="single" w:sz="24" w:space="0" w:color="auto"/>
            </w:tcBorders>
          </w:tcPr>
          <w:p w:rsidR="0097481E" w:rsidRDefault="00661177"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Pr>
                <w:rFonts w:asciiTheme="minorHAnsi" w:hAnsiTheme="minorHAnsi"/>
                <w:sz w:val="20"/>
                <w:szCs w:val="20"/>
              </w:rPr>
              <w:t>S.4-GLE.2</w:t>
            </w:r>
          </w:p>
        </w:tc>
      </w:tr>
      <w:tr w:rsidR="00D763A1" w:rsidRPr="00D5423D"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4410"/>
        <w:gridCol w:w="1421"/>
        <w:gridCol w:w="1099"/>
        <w:gridCol w:w="857"/>
        <w:gridCol w:w="4699"/>
      </w:tblGrid>
      <w:tr w:rsidR="0051577B" w:rsidRPr="00D5423D" w:rsidTr="00751477">
        <w:trPr>
          <w:cantSplit/>
          <w:jc w:val="center"/>
        </w:trPr>
        <w:tc>
          <w:tcPr>
            <w:tcW w:w="222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831" w:type="dxa"/>
            <w:gridSpan w:val="2"/>
          </w:tcPr>
          <w:p w:rsidR="0051577B" w:rsidRPr="00D5423D" w:rsidRDefault="0051577B" w:rsidP="00BA43DD">
            <w:pPr>
              <w:ind w:left="0" w:firstLine="0"/>
              <w:rPr>
                <w:rFonts w:asciiTheme="minorHAnsi" w:hAnsiTheme="minorHAnsi"/>
                <w:sz w:val="20"/>
                <w:szCs w:val="20"/>
              </w:rPr>
            </w:pP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1577B" w:rsidP="00BA43DD">
            <w:pPr>
              <w:ind w:left="0" w:firstLine="0"/>
              <w:rPr>
                <w:rFonts w:asciiTheme="minorHAnsi" w:hAnsiTheme="minorHAnsi"/>
                <w:sz w:val="20"/>
                <w:szCs w:val="20"/>
              </w:rPr>
            </w:pPr>
          </w:p>
        </w:tc>
      </w:tr>
      <w:tr w:rsidR="0051577B" w:rsidRPr="00D5423D" w:rsidTr="00751477">
        <w:trPr>
          <w:cantSplit/>
          <w:trHeight w:val="615"/>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410" w:type="dxa"/>
          </w:tcPr>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556" w:type="dxa"/>
            <w:gridSpan w:val="2"/>
          </w:tcPr>
          <w:p w:rsidR="00B51414" w:rsidRPr="00B51414" w:rsidRDefault="00661177" w:rsidP="00B51414">
            <w:pPr>
              <w:ind w:left="0" w:firstLine="0"/>
              <w:rPr>
                <w:rFonts w:asciiTheme="minorHAnsi" w:hAnsiTheme="minorHAnsi"/>
                <w:sz w:val="20"/>
                <w:szCs w:val="20"/>
              </w:rPr>
            </w:pPr>
            <w:r>
              <w:rPr>
                <w:rFonts w:asciiTheme="minorHAnsi" w:hAnsiTheme="minorHAnsi"/>
                <w:sz w:val="20"/>
                <w:szCs w:val="20"/>
              </w:rPr>
              <w:t>WL09-IM-</w:t>
            </w:r>
            <w:r w:rsidR="00B51414" w:rsidRPr="00B51414">
              <w:rPr>
                <w:rFonts w:asciiTheme="minorHAnsi" w:hAnsiTheme="minorHAnsi"/>
                <w:sz w:val="20"/>
                <w:szCs w:val="20"/>
              </w:rPr>
              <w:t xml:space="preserve">S.1-GLE.1; </w:t>
            </w:r>
            <w:r>
              <w:rPr>
                <w:rFonts w:asciiTheme="minorHAnsi" w:hAnsiTheme="minorHAnsi"/>
                <w:sz w:val="20"/>
                <w:szCs w:val="20"/>
              </w:rPr>
              <w:t>WL09-IM-</w:t>
            </w:r>
            <w:r w:rsidR="00B51414" w:rsidRPr="00B51414">
              <w:rPr>
                <w:rFonts w:asciiTheme="minorHAnsi" w:hAnsiTheme="minorHAnsi"/>
                <w:sz w:val="20"/>
                <w:szCs w:val="20"/>
              </w:rPr>
              <w:t xml:space="preserve">S.1-GLE.2; </w:t>
            </w:r>
            <w:r>
              <w:rPr>
                <w:rFonts w:asciiTheme="minorHAnsi" w:hAnsiTheme="minorHAnsi"/>
                <w:sz w:val="20"/>
                <w:szCs w:val="20"/>
              </w:rPr>
              <w:t>WL09-IM-</w:t>
            </w:r>
            <w:r w:rsidR="00B51414" w:rsidRPr="00B51414">
              <w:rPr>
                <w:rFonts w:asciiTheme="minorHAnsi" w:hAnsiTheme="minorHAnsi"/>
                <w:sz w:val="20"/>
                <w:szCs w:val="20"/>
              </w:rPr>
              <w:t>S.1-GLE.3;</w:t>
            </w:r>
          </w:p>
          <w:p w:rsidR="00B51414" w:rsidRPr="00B51414" w:rsidRDefault="00661177" w:rsidP="00B51414">
            <w:pPr>
              <w:ind w:left="0" w:firstLine="0"/>
              <w:rPr>
                <w:rFonts w:asciiTheme="minorHAnsi" w:hAnsiTheme="minorHAnsi"/>
                <w:sz w:val="20"/>
                <w:szCs w:val="20"/>
              </w:rPr>
            </w:pPr>
            <w:r>
              <w:rPr>
                <w:rFonts w:asciiTheme="minorHAnsi" w:hAnsiTheme="minorHAnsi"/>
                <w:sz w:val="20"/>
                <w:szCs w:val="20"/>
              </w:rPr>
              <w:t>WL09-IM-</w:t>
            </w:r>
            <w:r w:rsidR="00B51414" w:rsidRPr="00B51414">
              <w:rPr>
                <w:rFonts w:asciiTheme="minorHAnsi" w:hAnsiTheme="minorHAnsi"/>
                <w:sz w:val="20"/>
                <w:szCs w:val="20"/>
              </w:rPr>
              <w:t xml:space="preserve">S.2-GLE.1; </w:t>
            </w:r>
            <w:r>
              <w:rPr>
                <w:rFonts w:asciiTheme="minorHAnsi" w:hAnsiTheme="minorHAnsi"/>
                <w:sz w:val="20"/>
                <w:szCs w:val="20"/>
              </w:rPr>
              <w:t>WL09-IM-</w:t>
            </w:r>
            <w:r w:rsidR="00B51414" w:rsidRPr="00B51414">
              <w:rPr>
                <w:rFonts w:asciiTheme="minorHAnsi" w:hAnsiTheme="minorHAnsi"/>
                <w:sz w:val="20"/>
                <w:szCs w:val="20"/>
              </w:rPr>
              <w:t>S.2-GLE.2;</w:t>
            </w:r>
          </w:p>
          <w:p w:rsidR="00B51414" w:rsidRPr="00B51414" w:rsidRDefault="00661177" w:rsidP="00B51414">
            <w:pPr>
              <w:ind w:left="0" w:firstLine="0"/>
              <w:rPr>
                <w:rFonts w:asciiTheme="minorHAnsi" w:hAnsiTheme="minorHAnsi"/>
                <w:sz w:val="20"/>
                <w:szCs w:val="20"/>
              </w:rPr>
            </w:pPr>
            <w:r>
              <w:rPr>
                <w:rFonts w:asciiTheme="minorHAnsi" w:hAnsiTheme="minorHAnsi"/>
                <w:sz w:val="20"/>
                <w:szCs w:val="20"/>
              </w:rPr>
              <w:t>WL09-IM-</w:t>
            </w:r>
            <w:r w:rsidR="00B51414" w:rsidRPr="00B51414">
              <w:rPr>
                <w:rFonts w:asciiTheme="minorHAnsi" w:hAnsiTheme="minorHAnsi"/>
                <w:sz w:val="20"/>
                <w:szCs w:val="20"/>
              </w:rPr>
              <w:t xml:space="preserve">S.3-GLE.1; </w:t>
            </w:r>
            <w:r>
              <w:rPr>
                <w:rFonts w:asciiTheme="minorHAnsi" w:hAnsiTheme="minorHAnsi"/>
                <w:sz w:val="20"/>
                <w:szCs w:val="20"/>
              </w:rPr>
              <w:t>WL09-IM-</w:t>
            </w:r>
            <w:r w:rsidR="00B51414" w:rsidRPr="00B51414">
              <w:rPr>
                <w:rFonts w:asciiTheme="minorHAnsi" w:hAnsiTheme="minorHAnsi"/>
                <w:sz w:val="20"/>
                <w:szCs w:val="20"/>
              </w:rPr>
              <w:t>S.3-GLE.2;</w:t>
            </w:r>
          </w:p>
          <w:p w:rsidR="0051577B" w:rsidRPr="00D5423D" w:rsidRDefault="00661177" w:rsidP="00B51414">
            <w:pPr>
              <w:ind w:left="0" w:firstLine="0"/>
              <w:rPr>
                <w:rFonts w:asciiTheme="minorHAnsi" w:hAnsiTheme="minorHAnsi"/>
                <w:sz w:val="20"/>
                <w:szCs w:val="20"/>
              </w:rPr>
            </w:pPr>
            <w:r>
              <w:rPr>
                <w:rFonts w:asciiTheme="minorHAnsi" w:hAnsiTheme="minorHAnsi"/>
                <w:sz w:val="20"/>
                <w:szCs w:val="20"/>
              </w:rPr>
              <w:t>WL09-IM-</w:t>
            </w:r>
            <w:r w:rsidR="00B51414" w:rsidRPr="00B51414">
              <w:rPr>
                <w:rFonts w:asciiTheme="minorHAnsi" w:hAnsiTheme="minorHAnsi"/>
                <w:sz w:val="20"/>
                <w:szCs w:val="20"/>
              </w:rPr>
              <w:t xml:space="preserve">S.4-GLE.1; </w:t>
            </w:r>
            <w:r>
              <w:rPr>
                <w:rFonts w:asciiTheme="minorHAnsi" w:hAnsiTheme="minorHAnsi"/>
                <w:sz w:val="20"/>
                <w:szCs w:val="20"/>
              </w:rPr>
              <w:t>WL09-IM-</w:t>
            </w:r>
            <w:r w:rsidR="00B51414" w:rsidRPr="00B51414">
              <w:rPr>
                <w:rFonts w:asciiTheme="minorHAnsi" w:hAnsiTheme="minorHAnsi"/>
                <w:sz w:val="20"/>
                <w:szCs w:val="20"/>
              </w:rPr>
              <w:t>S.4-GLE.2</w:t>
            </w:r>
          </w:p>
        </w:tc>
      </w:tr>
      <w:tr w:rsidR="0051577B" w:rsidRPr="00D5423D" w:rsidTr="00751477">
        <w:trPr>
          <w:cantSplit/>
          <w:trHeight w:val="22"/>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486" w:type="dxa"/>
            <w:gridSpan w:val="5"/>
            <w:tcMar>
              <w:left w:w="115" w:type="dxa"/>
              <w:right w:w="115" w:type="dxa"/>
            </w:tcMar>
          </w:tcPr>
          <w:p w:rsidR="0051577B" w:rsidRPr="00A86B29" w:rsidRDefault="0051577B" w:rsidP="000101D3">
            <w:pPr>
              <w:pStyle w:val="ListParagraph"/>
              <w:numPr>
                <w:ilvl w:val="0"/>
                <w:numId w:val="4"/>
              </w:numPr>
              <w:spacing w:after="0" w:line="240" w:lineRule="auto"/>
              <w:contextualSpacing w:val="0"/>
              <w:rPr>
                <w:rFonts w:asciiTheme="minorHAnsi" w:eastAsia="Times New Roman" w:hAnsiTheme="minorHAnsi"/>
                <w:sz w:val="20"/>
                <w:szCs w:val="20"/>
              </w:rPr>
            </w:pPr>
          </w:p>
        </w:tc>
      </w:tr>
      <w:tr w:rsidR="0051577B" w:rsidRPr="00D5423D" w:rsidTr="00751477">
        <w:trPr>
          <w:cantSplit/>
          <w:trHeight w:val="337"/>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48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751477">
        <w:trPr>
          <w:cantSplit/>
          <w:trHeight w:val="34"/>
          <w:jc w:val="center"/>
        </w:trPr>
        <w:tc>
          <w:tcPr>
            <w:tcW w:w="222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486" w:type="dxa"/>
            <w:gridSpan w:val="5"/>
          </w:tcPr>
          <w:p w:rsidR="00B51414" w:rsidRPr="00D5423D" w:rsidRDefault="00751477" w:rsidP="00B51414">
            <w:pPr>
              <w:ind w:left="0" w:firstLine="0"/>
              <w:rPr>
                <w:rFonts w:asciiTheme="minorHAnsi" w:hAnsiTheme="minorHAnsi"/>
                <w:sz w:val="20"/>
                <w:szCs w:val="20"/>
              </w:rPr>
            </w:pPr>
            <w:r w:rsidRPr="00751477">
              <w:rPr>
                <w:rFonts w:asciiTheme="minorHAnsi" w:hAnsiTheme="minorHAnsi"/>
                <w:sz w:val="20"/>
                <w:szCs w:val="20"/>
              </w:rPr>
              <w:t>Interpersonal Communication, Interpretive Communication, Presentational Communication, Cultures, Connections, Comparisons</w:t>
            </w:r>
          </w:p>
        </w:tc>
      </w:tr>
      <w:tr w:rsidR="0051577B" w:rsidRPr="00D5423D" w:rsidTr="00751477">
        <w:trPr>
          <w:cantSplit/>
          <w:trHeight w:val="34"/>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486" w:type="dxa"/>
            <w:gridSpan w:val="5"/>
          </w:tcPr>
          <w:p w:rsidR="0051577B" w:rsidRPr="00D5423D" w:rsidRDefault="0051577B" w:rsidP="00BA43DD">
            <w:pPr>
              <w:ind w:left="0" w:firstLine="0"/>
              <w:rPr>
                <w:rFonts w:asciiTheme="minorHAnsi" w:hAnsiTheme="minorHAnsi"/>
                <w:sz w:val="20"/>
                <w:szCs w:val="20"/>
              </w:rPr>
            </w:pP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597"/>
        <w:gridCol w:w="5813"/>
        <w:gridCol w:w="7303"/>
      </w:tblGrid>
      <w:tr w:rsidR="00C27622" w:rsidRPr="00D5423D" w:rsidTr="00F24427">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54594" w:rsidRPr="00D5423D" w:rsidTr="00F24427">
        <w:trPr>
          <w:cantSplit/>
          <w:trHeight w:val="98"/>
          <w:jc w:val="center"/>
        </w:trPr>
        <w:tc>
          <w:tcPr>
            <w:tcW w:w="1597" w:type="dxa"/>
            <w:shd w:val="clear" w:color="auto" w:fill="D9D9D9" w:themeFill="background1" w:themeFillShade="D9"/>
            <w:tcMar>
              <w:top w:w="115" w:type="dxa"/>
              <w:left w:w="115" w:type="dxa"/>
              <w:bottom w:w="115" w:type="dxa"/>
              <w:right w:w="115" w:type="dxa"/>
            </w:tcMar>
          </w:tcPr>
          <w:p w:rsidR="00F54594" w:rsidRPr="004E2C31" w:rsidRDefault="00F54594" w:rsidP="00401F3B">
            <w:pPr>
              <w:ind w:left="0" w:firstLine="0"/>
              <w:rPr>
                <w:rFonts w:asciiTheme="minorHAnsi" w:hAnsiTheme="minorHAnsi"/>
                <w:b/>
                <w:sz w:val="20"/>
                <w:szCs w:val="20"/>
              </w:rPr>
            </w:pPr>
            <w:r>
              <w:rPr>
                <w:rFonts w:asciiTheme="minorHAnsi" w:hAnsiTheme="minorHAnsi"/>
                <w:b/>
                <w:sz w:val="20"/>
                <w:szCs w:val="20"/>
              </w:rPr>
              <w:t>Culture</w:t>
            </w:r>
            <w:r w:rsidRPr="004E2C31">
              <w:rPr>
                <w:rFonts w:asciiTheme="minorHAnsi" w:hAnsiTheme="minorHAnsi"/>
                <w:b/>
                <w:sz w:val="20"/>
                <w:szCs w:val="20"/>
              </w:rPr>
              <w:t>:</w:t>
            </w:r>
          </w:p>
        </w:tc>
        <w:tc>
          <w:tcPr>
            <w:tcW w:w="5813" w:type="dxa"/>
            <w:shd w:val="clear" w:color="auto" w:fill="auto"/>
          </w:tcPr>
          <w:p w:rsidR="00F54594" w:rsidRPr="00F24427" w:rsidRDefault="00F54594" w:rsidP="00F24427">
            <w:pPr>
              <w:pStyle w:val="ListParagraph"/>
              <w:numPr>
                <w:ilvl w:val="0"/>
                <w:numId w:val="4"/>
              </w:numPr>
              <w:spacing w:after="0" w:line="240" w:lineRule="auto"/>
              <w:contextualSpacing w:val="0"/>
              <w:rPr>
                <w:rFonts w:asciiTheme="minorHAnsi" w:hAnsiTheme="minorHAnsi"/>
                <w:sz w:val="20"/>
                <w:szCs w:val="20"/>
              </w:rPr>
            </w:pPr>
          </w:p>
        </w:tc>
        <w:tc>
          <w:tcPr>
            <w:tcW w:w="7303" w:type="dxa"/>
            <w:vMerge w:val="restart"/>
            <w:shd w:val="clear" w:color="auto" w:fill="auto"/>
          </w:tcPr>
          <w:p w:rsidR="00F54594" w:rsidRPr="00F54594" w:rsidRDefault="00F54594" w:rsidP="00F54594">
            <w:pPr>
              <w:ind w:left="0" w:firstLine="0"/>
              <w:rPr>
                <w:rFonts w:asciiTheme="minorHAnsi" w:hAnsiTheme="minorHAnsi"/>
                <w:sz w:val="20"/>
                <w:szCs w:val="20"/>
              </w:rPr>
            </w:pPr>
            <w:r w:rsidRPr="00F54594">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F54594" w:rsidRPr="001B3956" w:rsidRDefault="00F54594" w:rsidP="000101D3">
            <w:pPr>
              <w:pStyle w:val="ListParagraph"/>
              <w:numPr>
                <w:ilvl w:val="0"/>
                <w:numId w:val="2"/>
              </w:numPr>
              <w:rPr>
                <w:rFonts w:asciiTheme="minorHAnsi" w:hAnsiTheme="minorHAnsi"/>
                <w:sz w:val="20"/>
                <w:szCs w:val="20"/>
              </w:rPr>
            </w:pPr>
          </w:p>
          <w:p w:rsidR="00F54594" w:rsidRDefault="00F54594" w:rsidP="004E2C31">
            <w:pPr>
              <w:ind w:left="0" w:firstLine="0"/>
              <w:rPr>
                <w:rFonts w:asciiTheme="minorHAnsi" w:hAnsiTheme="minorHAnsi"/>
                <w:sz w:val="20"/>
                <w:szCs w:val="20"/>
              </w:rPr>
            </w:pPr>
          </w:p>
          <w:p w:rsidR="00F54594" w:rsidRPr="004E2C31" w:rsidRDefault="00F54594" w:rsidP="004E2C31">
            <w:pPr>
              <w:ind w:left="0" w:firstLine="0"/>
              <w:rPr>
                <w:rFonts w:asciiTheme="minorHAnsi" w:hAnsiTheme="minorHAnsi"/>
                <w:sz w:val="20"/>
                <w:szCs w:val="20"/>
              </w:rPr>
            </w:pPr>
            <w:r w:rsidRPr="004E2C31">
              <w:rPr>
                <w:rFonts w:asciiTheme="minorHAnsi" w:hAnsiTheme="minorHAnsi"/>
                <w:sz w:val="20"/>
                <w:szCs w:val="20"/>
              </w:rPr>
              <w:t>(</w:t>
            </w:r>
            <w:r>
              <w:rPr>
                <w:rFonts w:asciiTheme="minorHAnsi" w:hAnsiTheme="minorHAnsi"/>
                <w:sz w:val="20"/>
                <w:szCs w:val="20"/>
              </w:rPr>
              <w:t>WL09-IM-</w:t>
            </w:r>
            <w:r w:rsidRPr="004E2C31">
              <w:rPr>
                <w:rFonts w:asciiTheme="minorHAnsi" w:hAnsiTheme="minorHAnsi"/>
                <w:sz w:val="20"/>
                <w:szCs w:val="20"/>
              </w:rPr>
              <w:t>S.1-GLE.1) and (</w:t>
            </w:r>
            <w:r>
              <w:rPr>
                <w:rFonts w:asciiTheme="minorHAnsi" w:hAnsiTheme="minorHAnsi"/>
                <w:sz w:val="20"/>
                <w:szCs w:val="20"/>
              </w:rPr>
              <w:t>WL09-IM-</w:t>
            </w:r>
            <w:r w:rsidRPr="004E2C31">
              <w:rPr>
                <w:rFonts w:asciiTheme="minorHAnsi" w:hAnsiTheme="minorHAnsi"/>
                <w:sz w:val="20"/>
                <w:szCs w:val="20"/>
              </w:rPr>
              <w:t>S.1-GLE.2) and (</w:t>
            </w:r>
            <w:r>
              <w:rPr>
                <w:rFonts w:asciiTheme="minorHAnsi" w:hAnsiTheme="minorHAnsi"/>
                <w:sz w:val="20"/>
                <w:szCs w:val="20"/>
              </w:rPr>
              <w:t>WL09-IM-</w:t>
            </w:r>
            <w:r w:rsidRPr="004E2C31">
              <w:rPr>
                <w:rFonts w:asciiTheme="minorHAnsi" w:hAnsiTheme="minorHAnsi"/>
                <w:sz w:val="20"/>
                <w:szCs w:val="20"/>
              </w:rPr>
              <w:t>S.1-GLE.3)</w:t>
            </w:r>
          </w:p>
        </w:tc>
      </w:tr>
      <w:tr w:rsidR="00F54594" w:rsidRPr="00D5423D" w:rsidTr="00F24427">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F54594" w:rsidRPr="004E2C31" w:rsidRDefault="00F54594" w:rsidP="00401F3B">
            <w:pPr>
              <w:ind w:left="0" w:firstLine="0"/>
              <w:rPr>
                <w:rFonts w:asciiTheme="minorHAnsi" w:hAnsiTheme="minorHAnsi"/>
                <w:b/>
                <w:sz w:val="20"/>
                <w:szCs w:val="20"/>
              </w:rPr>
            </w:pPr>
            <w:r>
              <w:rPr>
                <w:rFonts w:asciiTheme="minorHAnsi" w:hAnsiTheme="minorHAnsi"/>
                <w:b/>
                <w:sz w:val="20"/>
                <w:szCs w:val="20"/>
              </w:rPr>
              <w:t>Context</w:t>
            </w:r>
            <w:r w:rsidRPr="004E2C31">
              <w:rPr>
                <w:rFonts w:asciiTheme="minorHAnsi" w:hAnsiTheme="minorHAnsi"/>
                <w:b/>
                <w:sz w:val="20"/>
                <w:szCs w:val="20"/>
              </w:rPr>
              <w:t xml:space="preserve">: </w:t>
            </w:r>
          </w:p>
        </w:tc>
        <w:tc>
          <w:tcPr>
            <w:tcW w:w="5813" w:type="dxa"/>
            <w:shd w:val="clear" w:color="auto" w:fill="auto"/>
          </w:tcPr>
          <w:p w:rsidR="00F54594" w:rsidRPr="00F24427" w:rsidRDefault="00F54594" w:rsidP="00F24427">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F54594" w:rsidRPr="00D5423D" w:rsidRDefault="00F54594" w:rsidP="000101D3">
            <w:pPr>
              <w:pStyle w:val="ListParagraph"/>
              <w:numPr>
                <w:ilvl w:val="0"/>
                <w:numId w:val="2"/>
              </w:numPr>
              <w:spacing w:after="0" w:line="240" w:lineRule="auto"/>
              <w:contextualSpacing w:val="0"/>
              <w:rPr>
                <w:rFonts w:asciiTheme="minorHAnsi" w:hAnsiTheme="minorHAnsi"/>
                <w:sz w:val="20"/>
                <w:szCs w:val="20"/>
              </w:rPr>
            </w:pPr>
          </w:p>
        </w:tc>
      </w:tr>
      <w:tr w:rsidR="00F54594" w:rsidRPr="00D5423D" w:rsidTr="00F24427">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F54594" w:rsidRPr="004E2C31" w:rsidRDefault="00F54594" w:rsidP="00401F3B">
            <w:pPr>
              <w:ind w:left="0" w:firstLine="0"/>
              <w:rPr>
                <w:rFonts w:asciiTheme="minorHAnsi" w:hAnsiTheme="minorHAnsi"/>
                <w:b/>
                <w:sz w:val="20"/>
                <w:szCs w:val="20"/>
              </w:rPr>
            </w:pPr>
            <w:r>
              <w:rPr>
                <w:rFonts w:asciiTheme="minorHAnsi" w:hAnsiTheme="minorHAnsi"/>
                <w:b/>
                <w:sz w:val="20"/>
                <w:szCs w:val="20"/>
              </w:rPr>
              <w:t>Structure</w:t>
            </w:r>
            <w:r w:rsidRPr="004E2C31">
              <w:rPr>
                <w:rFonts w:asciiTheme="minorHAnsi" w:hAnsiTheme="minorHAnsi"/>
                <w:b/>
                <w:sz w:val="20"/>
                <w:szCs w:val="20"/>
              </w:rPr>
              <w:t xml:space="preserve">: </w:t>
            </w:r>
          </w:p>
        </w:tc>
        <w:tc>
          <w:tcPr>
            <w:tcW w:w="5813" w:type="dxa"/>
            <w:shd w:val="clear" w:color="auto" w:fill="auto"/>
          </w:tcPr>
          <w:p w:rsidR="00F54594" w:rsidRPr="00F24427" w:rsidRDefault="00F54594" w:rsidP="00F24427">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F54594" w:rsidRPr="00D5423D" w:rsidRDefault="00F54594" w:rsidP="000101D3">
            <w:pPr>
              <w:pStyle w:val="ListParagraph"/>
              <w:numPr>
                <w:ilvl w:val="0"/>
                <w:numId w:val="2"/>
              </w:numPr>
              <w:spacing w:after="0" w:line="240" w:lineRule="auto"/>
              <w:contextualSpacing w:val="0"/>
              <w:rPr>
                <w:rFonts w:asciiTheme="minorHAnsi" w:hAnsiTheme="minorHAnsi"/>
                <w:sz w:val="20"/>
                <w:szCs w:val="20"/>
              </w:rPr>
            </w:pPr>
          </w:p>
        </w:tc>
      </w:tr>
      <w:tr w:rsidR="00F54594" w:rsidRPr="00D5423D" w:rsidTr="00F24427">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F54594" w:rsidRPr="004E2C31" w:rsidRDefault="00F54594" w:rsidP="00401F3B">
            <w:pPr>
              <w:ind w:left="0" w:firstLine="0"/>
              <w:rPr>
                <w:rFonts w:asciiTheme="minorHAnsi" w:hAnsiTheme="minorHAnsi"/>
                <w:b/>
                <w:sz w:val="20"/>
                <w:szCs w:val="20"/>
              </w:rPr>
            </w:pPr>
            <w:r>
              <w:rPr>
                <w:rFonts w:asciiTheme="minorHAnsi" w:hAnsiTheme="minorHAnsi"/>
                <w:b/>
                <w:sz w:val="20"/>
                <w:szCs w:val="20"/>
              </w:rPr>
              <w:t>Connections</w:t>
            </w:r>
            <w:r w:rsidR="00F24427">
              <w:rPr>
                <w:rFonts w:asciiTheme="minorHAnsi" w:hAnsiTheme="minorHAnsi"/>
                <w:b/>
                <w:sz w:val="20"/>
                <w:szCs w:val="20"/>
              </w:rPr>
              <w:t xml:space="preserve"> to</w:t>
            </w:r>
            <w:r w:rsidRPr="004E2C31">
              <w:rPr>
                <w:rFonts w:asciiTheme="minorHAnsi" w:hAnsiTheme="minorHAnsi"/>
                <w:b/>
                <w:sz w:val="20"/>
                <w:szCs w:val="20"/>
              </w:rPr>
              <w:t>:</w:t>
            </w:r>
          </w:p>
        </w:tc>
        <w:tc>
          <w:tcPr>
            <w:tcW w:w="5813" w:type="dxa"/>
            <w:shd w:val="clear" w:color="auto" w:fill="auto"/>
          </w:tcPr>
          <w:p w:rsidR="00F54594" w:rsidRPr="00F24427" w:rsidRDefault="00F54594" w:rsidP="00F24427">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F54594" w:rsidRPr="00D5423D" w:rsidRDefault="00F54594" w:rsidP="000101D3">
            <w:pPr>
              <w:pStyle w:val="ListParagraph"/>
              <w:numPr>
                <w:ilvl w:val="0"/>
                <w:numId w:val="2"/>
              </w:numPr>
              <w:spacing w:after="0" w:line="240" w:lineRule="auto"/>
              <w:contextualSpacing w:val="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51577B" w:rsidRPr="00D5423D" w:rsidTr="00F54594">
        <w:trPr>
          <w:trHeight w:val="27"/>
          <w:jc w:val="center"/>
        </w:trPr>
        <w:tc>
          <w:tcPr>
            <w:tcW w:w="14713" w:type="dxa"/>
            <w:gridSpan w:val="2"/>
            <w:shd w:val="clear" w:color="auto" w:fill="D9D9D9" w:themeFill="background1" w:themeFillShade="D9"/>
          </w:tcPr>
          <w:p w:rsidR="0051577B" w:rsidRPr="00D5423D" w:rsidRDefault="0051577B" w:rsidP="00F54594">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51577B" w:rsidRPr="00D5423D" w:rsidRDefault="0051577B" w:rsidP="00BA43DD">
            <w:pPr>
              <w:ind w:left="0" w:firstLine="0"/>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51577B" w:rsidRPr="00D5423D" w:rsidRDefault="0051577B" w:rsidP="00BA43DD">
            <w:pPr>
              <w:ind w:left="0" w:firstLine="0"/>
              <w:rPr>
                <w:rFonts w:asciiTheme="minorHAnsi" w:hAnsiTheme="minorHAnsi"/>
                <w:sz w:val="20"/>
                <w:szCs w:val="20"/>
              </w:rPr>
            </w:pPr>
          </w:p>
        </w:tc>
      </w:tr>
    </w:tbl>
    <w:p w:rsidR="00C57E0F" w:rsidRDefault="00C57E0F" w:rsidP="00BA43DD">
      <w:pPr>
        <w:ind w:left="0" w:firstLine="0"/>
        <w:rPr>
          <w:rFonts w:asciiTheme="minorHAnsi" w:hAnsiTheme="minorHAnsi"/>
          <w:b/>
          <w:sz w:val="20"/>
          <w:szCs w:val="20"/>
        </w:rPr>
      </w:pPr>
    </w:p>
    <w:sectPr w:rsidR="00C57E0F"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7C" w:rsidRDefault="00441B7C" w:rsidP="00F36A58">
      <w:r>
        <w:separator/>
      </w:r>
    </w:p>
  </w:endnote>
  <w:endnote w:type="continuationSeparator" w:id="0">
    <w:p w:rsidR="00441B7C" w:rsidRDefault="00441B7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and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w:t>
    </w:r>
  </w:p>
  <w:p w:rsidR="00016F99" w:rsidRPr="001A50CB" w:rsidRDefault="00C82F94" w:rsidP="00A86B29">
    <w:pPr>
      <w:rPr>
        <w:sz w:val="16"/>
        <w:szCs w:val="16"/>
      </w:rPr>
    </w:pPr>
    <w:r>
      <w:rPr>
        <w:sz w:val="16"/>
        <w:szCs w:val="16"/>
      </w:rPr>
      <w:t xml:space="preserve">Intermediate </w:t>
    </w:r>
    <w:r w:rsidR="00661177">
      <w:rPr>
        <w:sz w:val="16"/>
        <w:szCs w:val="16"/>
      </w:rPr>
      <w:t>Mid</w:t>
    </w:r>
    <w:r w:rsidR="00016F99" w:rsidRPr="001A50CB">
      <w:rPr>
        <w:sz w:val="16"/>
        <w:szCs w:val="16"/>
      </w:rPr>
      <w:t xml:space="preserve">, </w:t>
    </w:r>
    <w:r w:rsidR="00B51414">
      <w:rPr>
        <w:sz w:val="16"/>
        <w:szCs w:val="16"/>
      </w:rPr>
      <w:t>World Languages</w:t>
    </w:r>
    <w:r w:rsidR="00016F99" w:rsidRPr="001A50CB">
      <w:rPr>
        <w:sz w:val="16"/>
        <w:szCs w:val="16"/>
      </w:rPr>
      <w:ptab w:relativeTo="margin" w:alignment="center" w:leader="none"/>
    </w:r>
    <w:r w:rsidR="00C76BF7" w:rsidRPr="00C76BF7">
      <w:rPr>
        <w:sz w:val="16"/>
        <w:szCs w:val="16"/>
      </w:rPr>
      <w:t>Date Completed: _____________________________</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860405" w:rsidRPr="001A50CB">
          <w:rPr>
            <w:sz w:val="16"/>
            <w:szCs w:val="16"/>
          </w:rPr>
          <w:fldChar w:fldCharType="begin"/>
        </w:r>
        <w:r w:rsidR="00016F99" w:rsidRPr="001A50CB">
          <w:rPr>
            <w:sz w:val="16"/>
            <w:szCs w:val="16"/>
          </w:rPr>
          <w:instrText xml:space="preserve"> PAGE </w:instrText>
        </w:r>
        <w:r w:rsidR="00860405" w:rsidRPr="001A50CB">
          <w:rPr>
            <w:sz w:val="16"/>
            <w:szCs w:val="16"/>
          </w:rPr>
          <w:fldChar w:fldCharType="separate"/>
        </w:r>
        <w:r w:rsidR="00C76BF7">
          <w:rPr>
            <w:noProof/>
            <w:sz w:val="16"/>
            <w:szCs w:val="16"/>
          </w:rPr>
          <w:t>3</w:t>
        </w:r>
        <w:r w:rsidR="00860405" w:rsidRPr="001A50CB">
          <w:rPr>
            <w:sz w:val="16"/>
            <w:szCs w:val="16"/>
          </w:rPr>
          <w:fldChar w:fldCharType="end"/>
        </w:r>
        <w:r w:rsidR="00016F99" w:rsidRPr="001A50CB">
          <w:rPr>
            <w:sz w:val="16"/>
            <w:szCs w:val="16"/>
          </w:rPr>
          <w:t xml:space="preserve"> of </w:t>
        </w:r>
        <w:r w:rsidR="00860405" w:rsidRPr="001A50CB">
          <w:rPr>
            <w:sz w:val="16"/>
            <w:szCs w:val="16"/>
          </w:rPr>
          <w:fldChar w:fldCharType="begin"/>
        </w:r>
        <w:r w:rsidR="00016F99" w:rsidRPr="001A50CB">
          <w:rPr>
            <w:sz w:val="16"/>
            <w:szCs w:val="16"/>
          </w:rPr>
          <w:instrText xml:space="preserve"> NUMPAGES  </w:instrText>
        </w:r>
        <w:r w:rsidR="00860405" w:rsidRPr="001A50CB">
          <w:rPr>
            <w:sz w:val="16"/>
            <w:szCs w:val="16"/>
          </w:rPr>
          <w:fldChar w:fldCharType="separate"/>
        </w:r>
        <w:r w:rsidR="00C76BF7">
          <w:rPr>
            <w:noProof/>
            <w:sz w:val="16"/>
            <w:szCs w:val="16"/>
          </w:rPr>
          <w:t>3</w:t>
        </w:r>
        <w:r w:rsidR="00860405"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7C" w:rsidRDefault="00441B7C" w:rsidP="00F36A58">
      <w:r>
        <w:separator/>
      </w:r>
    </w:p>
  </w:footnote>
  <w:footnote w:type="continuationSeparator" w:id="0">
    <w:p w:rsidR="00441B7C" w:rsidRDefault="00441B7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sidR="00B51414">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EA3DFB" w:rsidRPr="00B51414" w:rsidRDefault="00B51414" w:rsidP="00B51414">
    <w:pPr>
      <w:ind w:left="0"/>
      <w:jc w:val="center"/>
      <w:rPr>
        <w:rFonts w:asciiTheme="minorHAnsi" w:hAnsiTheme="minorHAnsi"/>
        <w:b/>
        <w:sz w:val="20"/>
        <w:szCs w:val="20"/>
      </w:rPr>
    </w:pPr>
    <w:r>
      <w:rPr>
        <w:rFonts w:asciiTheme="minorHAnsi" w:hAnsiTheme="minorHAnsi"/>
        <w:b/>
        <w:sz w:val="20"/>
        <w:szCs w:val="20"/>
      </w:rPr>
      <w:t xml:space="preserve">Planning for </w:t>
    </w:r>
    <w:r w:rsidR="00C82F94">
      <w:rPr>
        <w:rFonts w:asciiTheme="minorHAnsi" w:hAnsiTheme="minorHAnsi"/>
        <w:b/>
        <w:sz w:val="20"/>
        <w:szCs w:val="20"/>
      </w:rPr>
      <w:t xml:space="preserve">Intermediate </w:t>
    </w:r>
    <w:r w:rsidR="00661177">
      <w:rPr>
        <w:rFonts w:asciiTheme="minorHAnsi" w:hAnsiTheme="minorHAnsi"/>
        <w:b/>
        <w:sz w:val="20"/>
        <w:szCs w:val="20"/>
      </w:rPr>
      <w:t>Mid</w:t>
    </w:r>
    <w:r>
      <w:rPr>
        <w:rFonts w:asciiTheme="minorHAnsi" w:hAnsiTheme="minorHAnsi"/>
        <w:b/>
        <w:sz w:val="20"/>
        <w:szCs w:val="20"/>
      </w:rPr>
      <w:t xml:space="preserve"> </w:t>
    </w:r>
    <w:r w:rsidRPr="00B51414">
      <w:rPr>
        <w:rFonts w:asciiTheme="minorHAnsi" w:hAnsiTheme="minorHAnsi"/>
        <w:b/>
        <w:sz w:val="20"/>
        <w:szCs w:val="20"/>
      </w:rPr>
      <w:t>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82F94">
      <w:rPr>
        <w:rFonts w:asciiTheme="minorHAnsi" w:hAnsiTheme="minorHAnsi"/>
        <w:b/>
        <w:sz w:val="20"/>
        <w:szCs w:val="20"/>
      </w:rPr>
      <w:t xml:space="preserve">Intermediate </w:t>
    </w:r>
    <w:r w:rsidR="00661177">
      <w:rPr>
        <w:rFonts w:asciiTheme="minorHAnsi" w:hAnsiTheme="minorHAnsi"/>
        <w:b/>
        <w:sz w:val="20"/>
        <w:szCs w:val="20"/>
      </w:rPr>
      <w:t>Mid</w:t>
    </w:r>
    <w:r w:rsidR="00B51414">
      <w:rPr>
        <w:rFonts w:asciiTheme="minorHAnsi" w:hAnsiTheme="minorHAnsi"/>
        <w:b/>
        <w:sz w:val="20"/>
        <w:szCs w:val="20"/>
      </w:rPr>
      <w:t xml:space="preserve">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333066"/>
    <w:multiLevelType w:val="hybridMultilevel"/>
    <w:tmpl w:val="B98A8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01D3"/>
    <w:rsid w:val="00016F99"/>
    <w:rsid w:val="00034172"/>
    <w:rsid w:val="00036A28"/>
    <w:rsid w:val="0004428C"/>
    <w:rsid w:val="000470FE"/>
    <w:rsid w:val="000529DD"/>
    <w:rsid w:val="00065DD3"/>
    <w:rsid w:val="000728AC"/>
    <w:rsid w:val="000910A8"/>
    <w:rsid w:val="000B07FF"/>
    <w:rsid w:val="000B1167"/>
    <w:rsid w:val="000B2D43"/>
    <w:rsid w:val="000B3191"/>
    <w:rsid w:val="000C05B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22021"/>
    <w:rsid w:val="00125E85"/>
    <w:rsid w:val="001332D8"/>
    <w:rsid w:val="0013710B"/>
    <w:rsid w:val="00144939"/>
    <w:rsid w:val="0014751D"/>
    <w:rsid w:val="00153510"/>
    <w:rsid w:val="00154ECB"/>
    <w:rsid w:val="00155DE7"/>
    <w:rsid w:val="001646D2"/>
    <w:rsid w:val="00167860"/>
    <w:rsid w:val="001749E8"/>
    <w:rsid w:val="00184F31"/>
    <w:rsid w:val="001951E1"/>
    <w:rsid w:val="00197B6A"/>
    <w:rsid w:val="001A50CB"/>
    <w:rsid w:val="001B3956"/>
    <w:rsid w:val="001B5F07"/>
    <w:rsid w:val="001C53AD"/>
    <w:rsid w:val="001D01C0"/>
    <w:rsid w:val="001F5B7D"/>
    <w:rsid w:val="0020176D"/>
    <w:rsid w:val="00215131"/>
    <w:rsid w:val="00230248"/>
    <w:rsid w:val="002404E2"/>
    <w:rsid w:val="00245712"/>
    <w:rsid w:val="0025049C"/>
    <w:rsid w:val="00254293"/>
    <w:rsid w:val="00255AB1"/>
    <w:rsid w:val="002633A6"/>
    <w:rsid w:val="002713D7"/>
    <w:rsid w:val="002813AD"/>
    <w:rsid w:val="00281B05"/>
    <w:rsid w:val="00282428"/>
    <w:rsid w:val="0028514C"/>
    <w:rsid w:val="002866F5"/>
    <w:rsid w:val="00297371"/>
    <w:rsid w:val="002A582B"/>
    <w:rsid w:val="002B422F"/>
    <w:rsid w:val="002C1CAF"/>
    <w:rsid w:val="002C424E"/>
    <w:rsid w:val="002C5D8B"/>
    <w:rsid w:val="002C75C4"/>
    <w:rsid w:val="002D49D1"/>
    <w:rsid w:val="002D4B80"/>
    <w:rsid w:val="002D4E25"/>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56B72"/>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35F32"/>
    <w:rsid w:val="00441B7C"/>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2C31"/>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5B6"/>
    <w:rsid w:val="00653C35"/>
    <w:rsid w:val="006607A2"/>
    <w:rsid w:val="00661177"/>
    <w:rsid w:val="00661C13"/>
    <w:rsid w:val="006741FE"/>
    <w:rsid w:val="00695537"/>
    <w:rsid w:val="00695A9C"/>
    <w:rsid w:val="006A50C7"/>
    <w:rsid w:val="006C75EE"/>
    <w:rsid w:val="006D329C"/>
    <w:rsid w:val="006E0EC1"/>
    <w:rsid w:val="006E6321"/>
    <w:rsid w:val="006E6F82"/>
    <w:rsid w:val="006F4A4A"/>
    <w:rsid w:val="00702C2A"/>
    <w:rsid w:val="00741EE4"/>
    <w:rsid w:val="007467C3"/>
    <w:rsid w:val="00751477"/>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0405"/>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44421"/>
    <w:rsid w:val="009554DF"/>
    <w:rsid w:val="009573A6"/>
    <w:rsid w:val="00957F0E"/>
    <w:rsid w:val="0097481E"/>
    <w:rsid w:val="0097730C"/>
    <w:rsid w:val="0098195B"/>
    <w:rsid w:val="0098418D"/>
    <w:rsid w:val="00995E45"/>
    <w:rsid w:val="009A2D83"/>
    <w:rsid w:val="009B423D"/>
    <w:rsid w:val="009B509C"/>
    <w:rsid w:val="009B68A8"/>
    <w:rsid w:val="009B7052"/>
    <w:rsid w:val="009B707A"/>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0659D"/>
    <w:rsid w:val="00B1290E"/>
    <w:rsid w:val="00B13ECB"/>
    <w:rsid w:val="00B221B8"/>
    <w:rsid w:val="00B30450"/>
    <w:rsid w:val="00B36CB8"/>
    <w:rsid w:val="00B37D7C"/>
    <w:rsid w:val="00B42467"/>
    <w:rsid w:val="00B51414"/>
    <w:rsid w:val="00B95539"/>
    <w:rsid w:val="00B97B47"/>
    <w:rsid w:val="00BA3CDE"/>
    <w:rsid w:val="00BA43DD"/>
    <w:rsid w:val="00BA7DF1"/>
    <w:rsid w:val="00BB6826"/>
    <w:rsid w:val="00BB799E"/>
    <w:rsid w:val="00BD25DB"/>
    <w:rsid w:val="00BE00EE"/>
    <w:rsid w:val="00BE620C"/>
    <w:rsid w:val="00BF1681"/>
    <w:rsid w:val="00BF5B6C"/>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6BF7"/>
    <w:rsid w:val="00C8196F"/>
    <w:rsid w:val="00C81D27"/>
    <w:rsid w:val="00C82F94"/>
    <w:rsid w:val="00CA7990"/>
    <w:rsid w:val="00CA7F3C"/>
    <w:rsid w:val="00CC5299"/>
    <w:rsid w:val="00CC69BD"/>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A24"/>
    <w:rsid w:val="00DA4C7F"/>
    <w:rsid w:val="00DA58A3"/>
    <w:rsid w:val="00DB2E11"/>
    <w:rsid w:val="00DC7A01"/>
    <w:rsid w:val="00DD007A"/>
    <w:rsid w:val="00DD39BC"/>
    <w:rsid w:val="00DD4FA2"/>
    <w:rsid w:val="00DF3791"/>
    <w:rsid w:val="00DF60E5"/>
    <w:rsid w:val="00E00F9E"/>
    <w:rsid w:val="00E31B8F"/>
    <w:rsid w:val="00E43474"/>
    <w:rsid w:val="00E53439"/>
    <w:rsid w:val="00E56AC5"/>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155"/>
    <w:rsid w:val="00EE5699"/>
    <w:rsid w:val="00EE769C"/>
    <w:rsid w:val="00F16DB5"/>
    <w:rsid w:val="00F24427"/>
    <w:rsid w:val="00F30021"/>
    <w:rsid w:val="00F32751"/>
    <w:rsid w:val="00F33AD2"/>
    <w:rsid w:val="00F36A58"/>
    <w:rsid w:val="00F37360"/>
    <w:rsid w:val="00F415B6"/>
    <w:rsid w:val="00F423FA"/>
    <w:rsid w:val="00F54594"/>
    <w:rsid w:val="00F61EDA"/>
    <w:rsid w:val="00F656DB"/>
    <w:rsid w:val="00F70315"/>
    <w:rsid w:val="00F71B84"/>
    <w:rsid w:val="00F726F6"/>
    <w:rsid w:val="00F823DC"/>
    <w:rsid w:val="00F868F3"/>
    <w:rsid w:val="00F90E08"/>
    <w:rsid w:val="00F96838"/>
    <w:rsid w:val="00FA5801"/>
    <w:rsid w:val="00FB09D8"/>
    <w:rsid w:val="00FB486C"/>
    <w:rsid w:val="00FC1F65"/>
    <w:rsid w:val="00FC22FF"/>
    <w:rsid w:val="00FD1C08"/>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ind w:left="36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18B0-8553-4ABE-9DA8-A0426C2C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8</cp:revision>
  <cp:lastPrinted>2013-01-02T20:26:00Z</cp:lastPrinted>
  <dcterms:created xsi:type="dcterms:W3CDTF">2013-01-17T20:47:00Z</dcterms:created>
  <dcterms:modified xsi:type="dcterms:W3CDTF">2013-01-25T22:42:00Z</dcterms:modified>
</cp:coreProperties>
</file>