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0115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1157">
              <w:rPr>
                <w:rFonts w:asciiTheme="minorHAnsi" w:hAnsiTheme="minorHAnsi"/>
                <w:bCs/>
                <w:sz w:val="20"/>
                <w:szCs w:val="20"/>
              </w:rPr>
              <w:t xml:space="preserve">Describe the physical, emotional, mental, and social benefits of sexual abstinence, and develop strategies to resist pressures to become sexually active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CH09-GR.8-S.2-GLE.1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0115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Analyze how certain behaviors place one at greater risk for HIV/AIDS, sexually transmitted diseases (STDs), and unintended pregnancy</w:t>
            </w:r>
            <w:r w:rsidRPr="00D011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011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Describe the signs and symptoms of HIV/AIDS, and other </w:t>
            </w:r>
            <w:r w:rsidRPr="00D0115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sexually transmitted diseases (STDs)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01157">
              <w:rPr>
                <w:rFonts w:asciiTheme="minorHAnsi" w:hAnsiTheme="minorHAnsi"/>
                <w:bCs/>
                <w:sz w:val="20"/>
                <w:szCs w:val="20"/>
              </w:rPr>
              <w:t>Promote and enhance health through disease prevention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1157">
              <w:rPr>
                <w:rFonts w:asciiTheme="minorHAnsi" w:hAnsiTheme="minorHAnsi"/>
                <w:bCs/>
                <w:sz w:val="20"/>
                <w:szCs w:val="20"/>
              </w:rPr>
              <w:t>Access valid school and community resources to help with mental and emotional health concerns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CH09-GR.8-S.3-GLE.1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1157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D01157">
              <w:rPr>
                <w:rFonts w:asciiTheme="minorHAnsi" w:hAnsiTheme="minorHAnsi"/>
                <w:sz w:val="20"/>
                <w:szCs w:val="20"/>
              </w:rPr>
              <w:t>nternal and external factors influence mental and emotional health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CH09-GR.8-S.3-GLE.2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11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influences that impact individuals’ use or non-use of alcohol, tobacco, and other drugs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CH09-GR.8-S.4-GLE.1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11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Access valid sources of information about alcohol, tobacco, and other drugs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CH09-GR.8-S.4-GLE.2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11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Demonstrate decision-making skills to be alcohol, tobacco and drug-free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CH09-GR.8-S.4-GLE.3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1157">
              <w:rPr>
                <w:rFonts w:asciiTheme="minorHAnsi" w:hAnsiTheme="minorHAnsi"/>
                <w:color w:val="000000"/>
                <w:sz w:val="20"/>
                <w:szCs w:val="20"/>
              </w:rPr>
              <w:t>Analyze the factors that influence violent and non-violent behavior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CH09-GR.8-S.4-GLE.4</w:t>
            </w:r>
          </w:p>
        </w:tc>
      </w:tr>
      <w:tr w:rsidR="00D0115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01157" w:rsidRPr="00D5423D" w:rsidRDefault="00D0115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157" w:rsidRPr="00D01157" w:rsidRDefault="00D01157" w:rsidP="00D011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01157">
              <w:rPr>
                <w:rFonts w:asciiTheme="minorHAnsi" w:hAnsiTheme="minorHAnsi"/>
                <w:bCs/>
                <w:sz w:val="20"/>
                <w:szCs w:val="20"/>
              </w:rPr>
              <w:t>Demonstrate ways to advocate for a positive, respectful school and community environment that supports pro-social behavior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01157" w:rsidRPr="00D5423D" w:rsidRDefault="00D0115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CH09-GR.8-S.4-GLE.5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414196C" wp14:editId="5220304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7E91126" wp14:editId="0343B43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89" w:rsidRDefault="00395F89" w:rsidP="00F36A58">
      <w:r>
        <w:separator/>
      </w:r>
    </w:p>
  </w:endnote>
  <w:endnote w:type="continuationSeparator" w:id="0">
    <w:p w:rsidR="00395F89" w:rsidRDefault="00395F8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D01157" w:rsidP="00A86B29">
    <w:pPr>
      <w:rPr>
        <w:sz w:val="16"/>
        <w:szCs w:val="16"/>
      </w:rPr>
    </w:pPr>
    <w:r>
      <w:rPr>
        <w:sz w:val="16"/>
        <w:szCs w:val="16"/>
      </w:rPr>
      <w:t>8</w:t>
    </w:r>
    <w:r w:rsidR="00224346" w:rsidRPr="00224346">
      <w:rPr>
        <w:sz w:val="16"/>
        <w:szCs w:val="16"/>
        <w:vertAlign w:val="superscript"/>
      </w:rPr>
      <w:t>th</w:t>
    </w:r>
    <w:r w:rsidR="00224346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C61461" w:rsidRPr="00C61461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542E7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542E73" w:rsidRPr="001A50CB">
          <w:rPr>
            <w:sz w:val="16"/>
            <w:szCs w:val="16"/>
          </w:rPr>
          <w:fldChar w:fldCharType="separate"/>
        </w:r>
        <w:r w:rsidR="00C61461">
          <w:rPr>
            <w:noProof/>
            <w:sz w:val="16"/>
            <w:szCs w:val="16"/>
          </w:rPr>
          <w:t>3</w:t>
        </w:r>
        <w:r w:rsidR="00542E7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542E7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542E73" w:rsidRPr="001A50CB">
          <w:rPr>
            <w:sz w:val="16"/>
            <w:szCs w:val="16"/>
          </w:rPr>
          <w:fldChar w:fldCharType="separate"/>
        </w:r>
        <w:r w:rsidR="00C61461">
          <w:rPr>
            <w:noProof/>
            <w:sz w:val="16"/>
            <w:szCs w:val="16"/>
          </w:rPr>
          <w:t>4</w:t>
        </w:r>
        <w:r w:rsidR="00542E7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89" w:rsidRDefault="00395F89" w:rsidP="00F36A58">
      <w:r>
        <w:separator/>
      </w:r>
    </w:p>
  </w:footnote>
  <w:footnote w:type="continuationSeparator" w:id="0">
    <w:p w:rsidR="00395F89" w:rsidRDefault="00395F8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92031D">
      <w:rPr>
        <w:rFonts w:asciiTheme="minorHAnsi" w:hAnsiTheme="minorHAnsi"/>
        <w:b/>
        <w:sz w:val="20"/>
        <w:szCs w:val="20"/>
      </w:rPr>
      <w:t>8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D01157">
      <w:rPr>
        <w:rFonts w:asciiTheme="minorHAnsi" w:hAnsiTheme="minorHAnsi"/>
        <w:b/>
        <w:sz w:val="20"/>
        <w:szCs w:val="20"/>
      </w:rPr>
      <w:t>8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5"/>
  </w:num>
  <w:num w:numId="5">
    <w:abstractNumId w:val="29"/>
  </w:num>
  <w:num w:numId="6">
    <w:abstractNumId w:val="12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5"/>
  </w:num>
  <w:num w:numId="12">
    <w:abstractNumId w:val="23"/>
  </w:num>
  <w:num w:numId="13">
    <w:abstractNumId w:val="13"/>
  </w:num>
  <w:num w:numId="14">
    <w:abstractNumId w:val="30"/>
  </w:num>
  <w:num w:numId="15">
    <w:abstractNumId w:val="17"/>
  </w:num>
  <w:num w:numId="16">
    <w:abstractNumId w:val="1"/>
  </w:num>
  <w:num w:numId="17">
    <w:abstractNumId w:val="27"/>
  </w:num>
  <w:num w:numId="18">
    <w:abstractNumId w:val="22"/>
  </w:num>
  <w:num w:numId="19">
    <w:abstractNumId w:val="4"/>
  </w:num>
  <w:num w:numId="20">
    <w:abstractNumId w:val="19"/>
  </w:num>
  <w:num w:numId="21">
    <w:abstractNumId w:val="7"/>
  </w:num>
  <w:num w:numId="22">
    <w:abstractNumId w:val="16"/>
  </w:num>
  <w:num w:numId="23">
    <w:abstractNumId w:val="28"/>
  </w:num>
  <w:num w:numId="24">
    <w:abstractNumId w:val="6"/>
  </w:num>
  <w:num w:numId="25">
    <w:abstractNumId w:val="26"/>
  </w:num>
  <w:num w:numId="26">
    <w:abstractNumId w:val="33"/>
  </w:num>
  <w:num w:numId="27">
    <w:abstractNumId w:val="15"/>
  </w:num>
  <w:num w:numId="28">
    <w:abstractNumId w:val="18"/>
  </w:num>
  <w:num w:numId="29">
    <w:abstractNumId w:val="11"/>
  </w:num>
  <w:num w:numId="30">
    <w:abstractNumId w:val="14"/>
  </w:num>
  <w:num w:numId="31">
    <w:abstractNumId w:val="10"/>
  </w:num>
  <w:num w:numId="32">
    <w:abstractNumId w:val="20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461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387"/>
    <w:rsid w:val="00CF64CC"/>
    <w:rsid w:val="00D00C12"/>
    <w:rsid w:val="00D01157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9DD6-E23E-4990-90A1-1E3ED4A9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2013-01-05T21:12:00Z</cp:lastPrinted>
  <dcterms:created xsi:type="dcterms:W3CDTF">2013-01-05T21:36:00Z</dcterms:created>
  <dcterms:modified xsi:type="dcterms:W3CDTF">2013-01-25T20:37:00Z</dcterms:modified>
</cp:coreProperties>
</file>