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224346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E25DFA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Comprehensive Health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94439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944393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224346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D87A41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87A41" w:rsidRPr="00D5423D" w:rsidRDefault="00D87A4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A41" w:rsidRPr="00D87A41" w:rsidRDefault="00D87A41" w:rsidP="00D87A4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87A41">
              <w:rPr>
                <w:rFonts w:asciiTheme="minorHAnsi" w:hAnsiTheme="minorHAnsi"/>
                <w:color w:val="000000"/>
                <w:sz w:val="20"/>
                <w:szCs w:val="20"/>
              </w:rPr>
              <w:t>Analyze factors that influence healthy eating behaviors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87A41" w:rsidRPr="00D5423D" w:rsidRDefault="00D87A41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CH09-GR.7-S.2-GLE.1</w:t>
            </w:r>
          </w:p>
        </w:tc>
      </w:tr>
      <w:tr w:rsidR="00D87A41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87A41" w:rsidRPr="00D5423D" w:rsidRDefault="00D87A4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A41" w:rsidRPr="00D87A41" w:rsidRDefault="00D87A41" w:rsidP="00D87A4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87A41">
              <w:rPr>
                <w:rFonts w:asciiTheme="minorHAnsi" w:hAnsiTheme="minorHAnsi"/>
                <w:bCs/>
                <w:sz w:val="20"/>
                <w:szCs w:val="20"/>
              </w:rPr>
              <w:t>Demonstrate the ability to make healthy food choices in a variety of settings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87A41" w:rsidRDefault="00D87A4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CH09-GR.7-S.2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</w:tr>
      <w:tr w:rsidR="00D87A41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87A41" w:rsidRPr="00D5423D" w:rsidRDefault="00D87A4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A41" w:rsidRPr="00D87A41" w:rsidRDefault="00D87A41" w:rsidP="00D87A4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87A41">
              <w:rPr>
                <w:rFonts w:asciiTheme="minorHAnsi" w:hAnsiTheme="minorHAnsi"/>
                <w:color w:val="000000"/>
                <w:sz w:val="20"/>
                <w:szCs w:val="20"/>
              </w:rPr>
              <w:t>Compare and contrast healthy and unhealthy relationships (family, peer, and dating)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87A41" w:rsidRDefault="00D87A4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CH09-GR.7-S.2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D87A41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87A41" w:rsidRPr="00D5423D" w:rsidRDefault="00D87A4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A41" w:rsidRPr="00D87A41" w:rsidRDefault="00D87A41" w:rsidP="00D87A4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87A41">
              <w:rPr>
                <w:rFonts w:asciiTheme="minorHAnsi" w:hAnsiTheme="minorHAnsi"/>
                <w:color w:val="000000"/>
                <w:sz w:val="20"/>
                <w:szCs w:val="20"/>
              </w:rPr>
              <w:t>Analyze the internal and external factors that influence sexual decision-making and activity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87A41" w:rsidRDefault="00D87A4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CH09-GR.7-S.2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D87A41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87A41" w:rsidRPr="00D5423D" w:rsidRDefault="00D87A4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A41" w:rsidRPr="00D87A41" w:rsidRDefault="00D87A41" w:rsidP="00D87A4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87A41">
              <w:rPr>
                <w:rFonts w:asciiTheme="minorHAnsi" w:hAnsiTheme="minorHAnsi"/>
                <w:color w:val="000000"/>
                <w:sz w:val="20"/>
                <w:szCs w:val="20"/>
              </w:rPr>
              <w:t>Define sexually transmitted diseases (STDs), including human immunodeficiency virus (HIV) and acquired immune deficiency syndrome (AIDS)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87A41" w:rsidRPr="00D5423D" w:rsidRDefault="00D87A4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CH09-GR.7-S.2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D87A41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87A41" w:rsidRPr="00D5423D" w:rsidRDefault="00D87A4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A41" w:rsidRPr="00D87A41" w:rsidRDefault="00D87A41" w:rsidP="00D87A4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87A41">
              <w:rPr>
                <w:rFonts w:asciiTheme="minorHAnsi" w:hAnsiTheme="minorHAnsi"/>
                <w:bCs/>
                <w:sz w:val="20"/>
                <w:szCs w:val="20"/>
              </w:rPr>
              <w:t>Demonstrate effective communication skills to express feelings appropriately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87A41" w:rsidRPr="00D5423D" w:rsidRDefault="00D87A4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CH09-GR.7-S.3-GLE.1</w:t>
            </w:r>
          </w:p>
        </w:tc>
      </w:tr>
      <w:tr w:rsidR="00D87A41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87A41" w:rsidRPr="00D5423D" w:rsidRDefault="00D87A4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A41" w:rsidRPr="00D87A41" w:rsidRDefault="00D87A41" w:rsidP="00D87A4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87A41">
              <w:rPr>
                <w:rFonts w:asciiTheme="minorHAnsi" w:hAnsiTheme="minorHAnsi"/>
                <w:bCs/>
                <w:sz w:val="20"/>
                <w:szCs w:val="20"/>
              </w:rPr>
              <w:t>Develop self-management skills to prevent and manage stress</w:t>
            </w:r>
            <w:r w:rsidRPr="00D87A4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87A41" w:rsidRDefault="00D87A4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CH09-GR.7-S.3-GLE.2</w:t>
            </w:r>
          </w:p>
        </w:tc>
      </w:tr>
      <w:tr w:rsidR="00D87A41" w:rsidRPr="00D5423D" w:rsidTr="00224346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87A41" w:rsidRPr="00D5423D" w:rsidRDefault="00D87A4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A41" w:rsidRPr="00D87A41" w:rsidRDefault="00D87A41" w:rsidP="00D87A4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87A4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Analyze the consequences of using alcohol, tobacco and other drugs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87A41" w:rsidRPr="00D5423D" w:rsidRDefault="00D87A4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CH09-GR.7-S.4-GLE.1</w:t>
            </w:r>
          </w:p>
        </w:tc>
      </w:tr>
      <w:tr w:rsidR="00D87A41" w:rsidRPr="00D5423D" w:rsidTr="00224346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D87A41" w:rsidRPr="00D5423D" w:rsidRDefault="00D87A41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7A41" w:rsidRPr="00D87A41" w:rsidRDefault="00D87A41" w:rsidP="00D87A4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87A41">
              <w:rPr>
                <w:rFonts w:asciiTheme="minorHAnsi" w:hAnsiTheme="minorHAnsi"/>
                <w:bCs/>
                <w:sz w:val="20"/>
                <w:szCs w:val="20"/>
              </w:rPr>
              <w:t>Demonstrate safety procedures for a variety of situations</w:t>
            </w:r>
            <w:r w:rsidRPr="00D87A4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D87A41" w:rsidRPr="00D5423D" w:rsidRDefault="00D87A41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CH09-GR.7-S.4-GLE.2</w:t>
            </w:r>
          </w:p>
        </w:tc>
      </w:tr>
      <w:tr w:rsidR="00D763A1" w:rsidRPr="00D5423D" w:rsidTr="005F451B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E25DFA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 w:rsidRPr="00E25DFA">
              <w:rPr>
                <w:noProof/>
                <w:sz w:val="20"/>
                <w:szCs w:val="20"/>
              </w:rPr>
              <w:t xml:space="preserve">The Colorado Academic Standards for Health describes what learners should know and be able to do as they </w:t>
            </w:r>
            <w:r>
              <w:rPr>
                <w:noProof/>
                <w:sz w:val="20"/>
                <w:szCs w:val="20"/>
              </w:rPr>
              <w:t xml:space="preserve">develop proficiency in health. </w:t>
            </w:r>
            <w:r w:rsidRPr="00E25DFA">
              <w:rPr>
                <w:noProof/>
                <w:sz w:val="20"/>
                <w:szCs w:val="20"/>
              </w:rPr>
              <w:t>The utilization of knowledge and skills to enhance physical, mental, emotional and social well-being will be supported in each unit through the standard areas of Physical and Personal Wellness, Emotional and Social Wellness and Prevention and Risk Management.</w:t>
            </w:r>
          </w:p>
        </w:tc>
      </w:tr>
      <w:tr w:rsidR="0093017C" w:rsidRPr="00D5423D" w:rsidTr="00224346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3710B" w:rsidRPr="00D5423D" w:rsidTr="00224346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48" w:type="dxa"/>
            <w:gridSpan w:val="2"/>
          </w:tcPr>
          <w:p w:rsidR="0013710B" w:rsidRPr="00D5423D" w:rsidRDefault="0013710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4A5F6D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7F2871" w:rsidRPr="00A86B29" w:rsidRDefault="007F2871" w:rsidP="004A5F6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4A5F6D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4A5F6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4A5F6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4A5F6D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7F2871" w:rsidRPr="00E53439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7F2871" w:rsidRPr="00D5423D" w:rsidRDefault="007F2871" w:rsidP="004A5F6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7F2871" w:rsidRPr="00D5423D" w:rsidTr="004A5F6D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7F2871" w:rsidRPr="00FC1F65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7F2871" w:rsidRPr="00D5423D" w:rsidTr="004A5F6D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7F2871" w:rsidRPr="00D5423D" w:rsidRDefault="007F2871" w:rsidP="004A5F6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4A5F6D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4A5F6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4A5F6D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4A5F6D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2871" w:rsidRPr="00D5423D" w:rsidTr="004A5F6D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7F2871" w:rsidP="004A5F6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7C8" w:rsidRDefault="009327C8" w:rsidP="00F36A58">
      <w:r>
        <w:separator/>
      </w:r>
    </w:p>
  </w:endnote>
  <w:endnote w:type="continuationSeparator" w:id="0">
    <w:p w:rsidR="009327C8" w:rsidRDefault="009327C8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224346" w:rsidP="00A86B29">
    <w:pPr>
      <w:rPr>
        <w:sz w:val="16"/>
        <w:szCs w:val="16"/>
      </w:rPr>
    </w:pPr>
    <w:r>
      <w:rPr>
        <w:sz w:val="16"/>
        <w:szCs w:val="16"/>
      </w:rPr>
      <w:t>7</w:t>
    </w:r>
    <w:r w:rsidRPr="00224346">
      <w:rPr>
        <w:sz w:val="16"/>
        <w:szCs w:val="16"/>
        <w:vertAlign w:val="superscript"/>
      </w:rPr>
      <w:t>th</w:t>
    </w:r>
    <w:r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014F90">
      <w:rPr>
        <w:sz w:val="16"/>
        <w:szCs w:val="16"/>
      </w:rPr>
      <w:t>Comprehensive Health</w:t>
    </w:r>
    <w:r w:rsidR="00016F99" w:rsidRPr="001A50CB">
      <w:rPr>
        <w:sz w:val="16"/>
        <w:szCs w:val="16"/>
      </w:rPr>
      <w:ptab w:relativeTo="margin" w:alignment="center" w:leader="none"/>
    </w:r>
    <w:r w:rsidR="006C18C7" w:rsidRPr="006C18C7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AA51F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AA51F4" w:rsidRPr="001A50CB">
          <w:rPr>
            <w:sz w:val="16"/>
            <w:szCs w:val="16"/>
          </w:rPr>
          <w:fldChar w:fldCharType="separate"/>
        </w:r>
        <w:r w:rsidR="006C18C7">
          <w:rPr>
            <w:noProof/>
            <w:sz w:val="16"/>
            <w:szCs w:val="16"/>
          </w:rPr>
          <w:t>3</w:t>
        </w:r>
        <w:r w:rsidR="00AA51F4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AA51F4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AA51F4" w:rsidRPr="001A50CB">
          <w:rPr>
            <w:sz w:val="16"/>
            <w:szCs w:val="16"/>
          </w:rPr>
          <w:fldChar w:fldCharType="separate"/>
        </w:r>
        <w:r w:rsidR="006C18C7">
          <w:rPr>
            <w:noProof/>
            <w:sz w:val="16"/>
            <w:szCs w:val="16"/>
          </w:rPr>
          <w:t>4</w:t>
        </w:r>
        <w:r w:rsidR="00AA51F4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7C8" w:rsidRDefault="009327C8" w:rsidP="00F36A58">
      <w:r>
        <w:separator/>
      </w:r>
    </w:p>
  </w:footnote>
  <w:footnote w:type="continuationSeparator" w:id="0">
    <w:p w:rsidR="009327C8" w:rsidRDefault="009327C8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93" w:rsidRPr="00D5423D" w:rsidRDefault="00944393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944393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For </w:t>
    </w:r>
    <w:r>
      <w:rPr>
        <w:rFonts w:asciiTheme="minorHAnsi" w:hAnsiTheme="minorHAnsi"/>
        <w:b/>
        <w:sz w:val="20"/>
        <w:szCs w:val="20"/>
      </w:rPr>
      <w:t>7</w:t>
    </w:r>
    <w:r w:rsidRPr="00224346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014F90">
      <w:rPr>
        <w:rFonts w:asciiTheme="minorHAnsi" w:hAnsiTheme="minorHAnsi"/>
        <w:b/>
        <w:sz w:val="20"/>
        <w:szCs w:val="20"/>
      </w:rPr>
      <w:t>Comprehensive Health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224346">
      <w:rPr>
        <w:rFonts w:asciiTheme="minorHAnsi" w:hAnsiTheme="minorHAnsi"/>
        <w:b/>
        <w:sz w:val="20"/>
        <w:szCs w:val="20"/>
      </w:rPr>
      <w:t>7</w:t>
    </w:r>
    <w:r w:rsidR="00224346" w:rsidRPr="00224346">
      <w:rPr>
        <w:rFonts w:asciiTheme="minorHAnsi" w:hAnsiTheme="minorHAnsi"/>
        <w:b/>
        <w:sz w:val="20"/>
        <w:szCs w:val="20"/>
        <w:vertAlign w:val="superscript"/>
      </w:rPr>
      <w:t>th</w:t>
    </w:r>
    <w:r w:rsidR="00224346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014F90">
      <w:rPr>
        <w:rFonts w:asciiTheme="minorHAnsi" w:hAnsiTheme="minorHAnsi"/>
        <w:b/>
        <w:sz w:val="20"/>
        <w:szCs w:val="20"/>
      </w:rPr>
      <w:t>Comprehensive Health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A7E3C"/>
    <w:multiLevelType w:val="hybridMultilevel"/>
    <w:tmpl w:val="2DCA2084"/>
    <w:lvl w:ilvl="0" w:tplc="AF88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2830C5"/>
    <w:multiLevelType w:val="hybridMultilevel"/>
    <w:tmpl w:val="E05A9210"/>
    <w:lvl w:ilvl="0" w:tplc="AF88A6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1"/>
  </w:num>
  <w:num w:numId="4">
    <w:abstractNumId w:val="5"/>
  </w:num>
  <w:num w:numId="5">
    <w:abstractNumId w:val="26"/>
  </w:num>
  <w:num w:numId="6">
    <w:abstractNumId w:val="11"/>
  </w:num>
  <w:num w:numId="7">
    <w:abstractNumId w:val="0"/>
  </w:num>
  <w:num w:numId="8">
    <w:abstractNumId w:val="8"/>
  </w:num>
  <w:num w:numId="9">
    <w:abstractNumId w:val="2"/>
  </w:num>
  <w:num w:numId="10">
    <w:abstractNumId w:val="3"/>
  </w:num>
  <w:num w:numId="11">
    <w:abstractNumId w:val="22"/>
  </w:num>
  <w:num w:numId="12">
    <w:abstractNumId w:val="20"/>
  </w:num>
  <w:num w:numId="13">
    <w:abstractNumId w:val="12"/>
  </w:num>
  <w:num w:numId="14">
    <w:abstractNumId w:val="27"/>
  </w:num>
  <w:num w:numId="15">
    <w:abstractNumId w:val="16"/>
  </w:num>
  <w:num w:numId="16">
    <w:abstractNumId w:val="1"/>
  </w:num>
  <w:num w:numId="17">
    <w:abstractNumId w:val="24"/>
  </w:num>
  <w:num w:numId="18">
    <w:abstractNumId w:val="19"/>
  </w:num>
  <w:num w:numId="19">
    <w:abstractNumId w:val="4"/>
  </w:num>
  <w:num w:numId="20">
    <w:abstractNumId w:val="18"/>
  </w:num>
  <w:num w:numId="21">
    <w:abstractNumId w:val="7"/>
  </w:num>
  <w:num w:numId="22">
    <w:abstractNumId w:val="15"/>
  </w:num>
  <w:num w:numId="23">
    <w:abstractNumId w:val="25"/>
  </w:num>
  <w:num w:numId="24">
    <w:abstractNumId w:val="6"/>
  </w:num>
  <w:num w:numId="25">
    <w:abstractNumId w:val="23"/>
  </w:num>
  <w:num w:numId="26">
    <w:abstractNumId w:val="30"/>
  </w:num>
  <w:num w:numId="27">
    <w:abstractNumId w:val="14"/>
  </w:num>
  <w:num w:numId="28">
    <w:abstractNumId w:val="17"/>
  </w:num>
  <w:num w:numId="29">
    <w:abstractNumId w:val="10"/>
  </w:num>
  <w:num w:numId="30">
    <w:abstractNumId w:val="1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F99"/>
    <w:rsid w:val="000470FE"/>
    <w:rsid w:val="0005119A"/>
    <w:rsid w:val="000529DD"/>
    <w:rsid w:val="00065DD3"/>
    <w:rsid w:val="000728AC"/>
    <w:rsid w:val="00077D8F"/>
    <w:rsid w:val="000910A8"/>
    <w:rsid w:val="000B169F"/>
    <w:rsid w:val="000B2D43"/>
    <w:rsid w:val="000B3191"/>
    <w:rsid w:val="000D089A"/>
    <w:rsid w:val="000D0EAB"/>
    <w:rsid w:val="000D2207"/>
    <w:rsid w:val="000D2958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84929"/>
    <w:rsid w:val="001951E1"/>
    <w:rsid w:val="001A50CB"/>
    <w:rsid w:val="001B5F07"/>
    <w:rsid w:val="001C53AD"/>
    <w:rsid w:val="001D01C0"/>
    <w:rsid w:val="001F5B7D"/>
    <w:rsid w:val="0020176D"/>
    <w:rsid w:val="00224346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3AFB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77B3"/>
    <w:rsid w:val="003F2D8C"/>
    <w:rsid w:val="003F7610"/>
    <w:rsid w:val="00434551"/>
    <w:rsid w:val="00435C7A"/>
    <w:rsid w:val="00445A09"/>
    <w:rsid w:val="00455ED5"/>
    <w:rsid w:val="00456D71"/>
    <w:rsid w:val="00467EB2"/>
    <w:rsid w:val="00471A4D"/>
    <w:rsid w:val="00473219"/>
    <w:rsid w:val="00482D07"/>
    <w:rsid w:val="00482F27"/>
    <w:rsid w:val="00485823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2719"/>
    <w:rsid w:val="00556168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E3265"/>
    <w:rsid w:val="005F451B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77466"/>
    <w:rsid w:val="00695537"/>
    <w:rsid w:val="00695A9C"/>
    <w:rsid w:val="006A50C7"/>
    <w:rsid w:val="006C18C7"/>
    <w:rsid w:val="006C75EE"/>
    <w:rsid w:val="006D329C"/>
    <w:rsid w:val="006E0EC1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3A16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17D8F"/>
    <w:rsid w:val="0093017C"/>
    <w:rsid w:val="009327C8"/>
    <w:rsid w:val="00936C29"/>
    <w:rsid w:val="009428EE"/>
    <w:rsid w:val="00943504"/>
    <w:rsid w:val="00944393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51F4"/>
    <w:rsid w:val="00AB1D95"/>
    <w:rsid w:val="00AB79DC"/>
    <w:rsid w:val="00AC433C"/>
    <w:rsid w:val="00AD5B2E"/>
    <w:rsid w:val="00AE0209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0B68"/>
    <w:rsid w:val="00BB6826"/>
    <w:rsid w:val="00BD25DB"/>
    <w:rsid w:val="00BE00EE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A7990"/>
    <w:rsid w:val="00CA7F3C"/>
    <w:rsid w:val="00CC5299"/>
    <w:rsid w:val="00CC69BD"/>
    <w:rsid w:val="00CF002C"/>
    <w:rsid w:val="00CF6387"/>
    <w:rsid w:val="00CF64CC"/>
    <w:rsid w:val="00D00C12"/>
    <w:rsid w:val="00D04E4A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87A41"/>
    <w:rsid w:val="00DA39B8"/>
    <w:rsid w:val="00DA4810"/>
    <w:rsid w:val="00DA4C7F"/>
    <w:rsid w:val="00DA58A3"/>
    <w:rsid w:val="00DB2E11"/>
    <w:rsid w:val="00DC7A01"/>
    <w:rsid w:val="00DD007A"/>
    <w:rsid w:val="00DD4FA2"/>
    <w:rsid w:val="00DF3791"/>
    <w:rsid w:val="00DF60E5"/>
    <w:rsid w:val="00E00F9E"/>
    <w:rsid w:val="00E25DFA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C433B-60E9-4B20-B83F-2340FBE9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7</cp:revision>
  <cp:lastPrinted>2013-01-05T21:12:00Z</cp:lastPrinted>
  <dcterms:created xsi:type="dcterms:W3CDTF">2013-01-05T20:46:00Z</dcterms:created>
  <dcterms:modified xsi:type="dcterms:W3CDTF">2013-01-25T20:30:00Z</dcterms:modified>
</cp:coreProperties>
</file>