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1929D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44393"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94439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1929DA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929DA" w:rsidRPr="00D5423D" w:rsidRDefault="001929D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9DA" w:rsidRPr="001929DA" w:rsidRDefault="001929DA" w:rsidP="001929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29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Demonstrate the ability to engage in healthy eating behaviors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929DA" w:rsidRPr="00D5423D" w:rsidRDefault="001929DA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CH09-GR.5-S.2-GLE.1</w:t>
            </w:r>
          </w:p>
        </w:tc>
      </w:tr>
      <w:tr w:rsidR="001929DA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929DA" w:rsidRPr="00D5423D" w:rsidRDefault="001929D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9DA" w:rsidRPr="001929DA" w:rsidRDefault="001929DA" w:rsidP="001929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29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Explain the structure, function, and major parts of the human reproductive system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929DA" w:rsidRDefault="001929D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1929DA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929DA" w:rsidRPr="00D5423D" w:rsidRDefault="001929D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9DA" w:rsidRPr="001929DA" w:rsidRDefault="001929DA" w:rsidP="001929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29DA">
              <w:rPr>
                <w:rFonts w:asciiTheme="minorHAnsi" w:hAnsiTheme="minorHAnsi"/>
                <w:color w:val="000000"/>
                <w:sz w:val="20"/>
                <w:szCs w:val="20"/>
              </w:rPr>
              <w:t>Describe the physical, social, and emotional changes occurring at puberty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929DA" w:rsidRDefault="001929D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929DA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929DA" w:rsidRPr="00D5423D" w:rsidRDefault="001929D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9DA" w:rsidRPr="001929DA" w:rsidRDefault="001929DA" w:rsidP="001929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29DA">
              <w:rPr>
                <w:rFonts w:asciiTheme="minorHAnsi" w:hAnsiTheme="minorHAnsi"/>
                <w:bCs/>
                <w:sz w:val="20"/>
                <w:szCs w:val="20"/>
              </w:rPr>
              <w:t>Demonstrate interpersonal communication skills needed to discuss personal health problems to establish and maintain personal health and wellness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929DA" w:rsidRDefault="001929D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1929DA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929DA" w:rsidRPr="00D5423D" w:rsidRDefault="001929D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9DA" w:rsidRPr="001929DA" w:rsidRDefault="001929DA" w:rsidP="001929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29DA">
              <w:rPr>
                <w:rFonts w:asciiTheme="minorHAnsi" w:hAnsiTheme="minorHAnsi"/>
                <w:bCs/>
                <w:sz w:val="20"/>
                <w:szCs w:val="20"/>
              </w:rPr>
              <w:t>Comprehend concepts, and identify strategies to prevent the transmission of disease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929DA" w:rsidRDefault="001929D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1929DA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929DA" w:rsidRPr="00D5423D" w:rsidRDefault="001929D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9DA" w:rsidRPr="001929DA" w:rsidRDefault="001929DA" w:rsidP="001929D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29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Analyze internal and external factors that influence mental and emotional health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1929DA" w:rsidRPr="00D5423D" w:rsidRDefault="001929D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CH09-GR.5-S.3-GLE.1</w:t>
            </w:r>
          </w:p>
        </w:tc>
      </w:tr>
      <w:tr w:rsidR="001929DA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929DA" w:rsidRPr="00D5423D" w:rsidRDefault="001929D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9DA" w:rsidRPr="001929DA" w:rsidRDefault="001929DA" w:rsidP="001929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29DA">
              <w:rPr>
                <w:rFonts w:asciiTheme="minorHAnsi" w:hAnsiTheme="minorHAnsi"/>
                <w:bCs/>
                <w:sz w:val="20"/>
                <w:szCs w:val="20"/>
              </w:rPr>
              <w:t>Access valid information about the effects of tobacco use and exposure to second-hand smoke, and prescription and over-the-counter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929DA" w:rsidRPr="00D5423D" w:rsidRDefault="001929D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CH09-GR.5-S.4-GLE.1</w:t>
            </w:r>
          </w:p>
        </w:tc>
      </w:tr>
      <w:tr w:rsidR="001929DA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929DA" w:rsidRPr="00D5423D" w:rsidRDefault="001929D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9DA" w:rsidRPr="001929DA" w:rsidRDefault="001929DA" w:rsidP="001929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29DA">
              <w:rPr>
                <w:rFonts w:asciiTheme="minorHAnsi" w:hAnsiTheme="minorHAnsi"/>
                <w:bCs/>
                <w:sz w:val="20"/>
                <w:szCs w:val="20"/>
              </w:rPr>
              <w:t>Demonstrate pro-social behaviors that reduce the likelihood of physical fighting, violence, and bullying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929DA" w:rsidRDefault="001929D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CH09-GR.5-S.4-GLE.2</w:t>
            </w:r>
          </w:p>
        </w:tc>
      </w:tr>
      <w:tr w:rsidR="001929DA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929DA" w:rsidRPr="00D5423D" w:rsidRDefault="001929D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9DA" w:rsidRPr="001929DA" w:rsidRDefault="001929DA" w:rsidP="001929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29DA">
              <w:rPr>
                <w:rFonts w:asciiTheme="minorHAnsi" w:hAnsiTheme="minorHAnsi"/>
                <w:bCs/>
                <w:sz w:val="20"/>
                <w:szCs w:val="20"/>
              </w:rPr>
              <w:t>Demonstrate basic first aid and safety procedures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1929DA" w:rsidRDefault="001929D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CH09-GR.5-S.4-GLE.3</w:t>
            </w:r>
          </w:p>
        </w:tc>
      </w:tr>
      <w:tr w:rsidR="00D763A1" w:rsidRPr="00D5423D" w:rsidTr="005F451B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E25DF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5A" w:rsidRDefault="005C195A" w:rsidP="00F36A58">
      <w:r>
        <w:separator/>
      </w:r>
    </w:p>
  </w:endnote>
  <w:endnote w:type="continuationSeparator" w:id="0">
    <w:p w:rsidR="005C195A" w:rsidRDefault="005C195A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1929DA" w:rsidP="00A86B29">
    <w:pPr>
      <w:rPr>
        <w:sz w:val="16"/>
        <w:szCs w:val="16"/>
      </w:rPr>
    </w:pPr>
    <w:r>
      <w:rPr>
        <w:sz w:val="16"/>
        <w:szCs w:val="16"/>
      </w:rPr>
      <w:t>5</w:t>
    </w:r>
    <w:r w:rsidR="00224346" w:rsidRPr="00224346">
      <w:rPr>
        <w:sz w:val="16"/>
        <w:szCs w:val="16"/>
        <w:vertAlign w:val="superscript"/>
      </w:rPr>
      <w:t>th</w:t>
    </w:r>
    <w:r w:rsidR="00224346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014F90">
      <w:rPr>
        <w:sz w:val="16"/>
        <w:szCs w:val="16"/>
      </w:rPr>
      <w:t>Comprehensive Health</w:t>
    </w:r>
    <w:r w:rsidR="00016F99" w:rsidRPr="001A50CB">
      <w:rPr>
        <w:sz w:val="16"/>
        <w:szCs w:val="16"/>
      </w:rPr>
      <w:ptab w:relativeTo="margin" w:alignment="center" w:leader="none"/>
    </w:r>
    <w:r w:rsidR="008323AB" w:rsidRPr="008323AB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AA51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AA51F4" w:rsidRPr="001A50CB">
          <w:rPr>
            <w:sz w:val="16"/>
            <w:szCs w:val="16"/>
          </w:rPr>
          <w:fldChar w:fldCharType="separate"/>
        </w:r>
        <w:r w:rsidR="008323AB">
          <w:rPr>
            <w:noProof/>
            <w:sz w:val="16"/>
            <w:szCs w:val="16"/>
          </w:rPr>
          <w:t>3</w:t>
        </w:r>
        <w:r w:rsidR="00AA51F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AA51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AA51F4" w:rsidRPr="001A50CB">
          <w:rPr>
            <w:sz w:val="16"/>
            <w:szCs w:val="16"/>
          </w:rPr>
          <w:fldChar w:fldCharType="separate"/>
        </w:r>
        <w:r w:rsidR="008323AB">
          <w:rPr>
            <w:noProof/>
            <w:sz w:val="16"/>
            <w:szCs w:val="16"/>
          </w:rPr>
          <w:t>4</w:t>
        </w:r>
        <w:r w:rsidR="00AA51F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5A" w:rsidRDefault="005C195A" w:rsidP="00F36A58">
      <w:r>
        <w:separator/>
      </w:r>
    </w:p>
  </w:footnote>
  <w:footnote w:type="continuationSeparator" w:id="0">
    <w:p w:rsidR="005C195A" w:rsidRDefault="005C195A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1929DA">
      <w:rPr>
        <w:rFonts w:asciiTheme="minorHAnsi" w:hAnsiTheme="minorHAnsi"/>
        <w:b/>
        <w:sz w:val="20"/>
        <w:szCs w:val="20"/>
      </w:rPr>
      <w:t>5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1929DA">
      <w:rPr>
        <w:rFonts w:asciiTheme="minorHAnsi" w:hAnsiTheme="minorHAnsi"/>
        <w:b/>
        <w:sz w:val="20"/>
        <w:szCs w:val="20"/>
      </w:rPr>
      <w:t>5</w:t>
    </w:r>
    <w:r w:rsidR="00224346" w:rsidRPr="00224346">
      <w:rPr>
        <w:rFonts w:asciiTheme="minorHAnsi" w:hAnsiTheme="minorHAnsi"/>
        <w:b/>
        <w:sz w:val="20"/>
        <w:szCs w:val="20"/>
        <w:vertAlign w:val="superscript"/>
      </w:rPr>
      <w:t>th</w:t>
    </w:r>
    <w:r w:rsidR="0022434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2520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D7996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929DD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6BA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E97F0E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F04"/>
    <w:multiLevelType w:val="hybridMultilevel"/>
    <w:tmpl w:val="7390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4"/>
  </w:num>
  <w:num w:numId="3">
    <w:abstractNumId w:val="25"/>
  </w:num>
  <w:num w:numId="4">
    <w:abstractNumId w:val="7"/>
  </w:num>
  <w:num w:numId="5">
    <w:abstractNumId w:val="31"/>
  </w:num>
  <w:num w:numId="6">
    <w:abstractNumId w:val="14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26"/>
  </w:num>
  <w:num w:numId="12">
    <w:abstractNumId w:val="24"/>
  </w:num>
  <w:num w:numId="13">
    <w:abstractNumId w:val="15"/>
  </w:num>
  <w:num w:numId="14">
    <w:abstractNumId w:val="32"/>
  </w:num>
  <w:num w:numId="15">
    <w:abstractNumId w:val="20"/>
  </w:num>
  <w:num w:numId="16">
    <w:abstractNumId w:val="1"/>
  </w:num>
  <w:num w:numId="17">
    <w:abstractNumId w:val="29"/>
  </w:num>
  <w:num w:numId="18">
    <w:abstractNumId w:val="23"/>
  </w:num>
  <w:num w:numId="19">
    <w:abstractNumId w:val="6"/>
  </w:num>
  <w:num w:numId="20">
    <w:abstractNumId w:val="22"/>
  </w:num>
  <w:num w:numId="21">
    <w:abstractNumId w:val="9"/>
  </w:num>
  <w:num w:numId="22">
    <w:abstractNumId w:val="19"/>
  </w:num>
  <w:num w:numId="23">
    <w:abstractNumId w:val="30"/>
  </w:num>
  <w:num w:numId="24">
    <w:abstractNumId w:val="8"/>
  </w:num>
  <w:num w:numId="25">
    <w:abstractNumId w:val="28"/>
  </w:num>
  <w:num w:numId="26">
    <w:abstractNumId w:val="35"/>
  </w:num>
  <w:num w:numId="27">
    <w:abstractNumId w:val="18"/>
  </w:num>
  <w:num w:numId="28">
    <w:abstractNumId w:val="21"/>
  </w:num>
  <w:num w:numId="29">
    <w:abstractNumId w:val="13"/>
  </w:num>
  <w:num w:numId="30">
    <w:abstractNumId w:val="16"/>
  </w:num>
  <w:num w:numId="31">
    <w:abstractNumId w:val="12"/>
  </w:num>
  <w:num w:numId="32">
    <w:abstractNumId w:val="11"/>
  </w:num>
  <w:num w:numId="33">
    <w:abstractNumId w:val="17"/>
  </w:num>
  <w:num w:numId="34">
    <w:abstractNumId w:val="2"/>
  </w:num>
  <w:num w:numId="35">
    <w:abstractNumId w:val="3"/>
  </w:num>
  <w:num w:numId="36">
    <w:abstractNumId w:val="2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25CF2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0821"/>
    <w:rsid w:val="001646D2"/>
    <w:rsid w:val="00167860"/>
    <w:rsid w:val="001749E8"/>
    <w:rsid w:val="00184929"/>
    <w:rsid w:val="001929DA"/>
    <w:rsid w:val="001951E1"/>
    <w:rsid w:val="001A50CB"/>
    <w:rsid w:val="001B5F07"/>
    <w:rsid w:val="001C53AD"/>
    <w:rsid w:val="001D01C0"/>
    <w:rsid w:val="001F5B7D"/>
    <w:rsid w:val="0020176D"/>
    <w:rsid w:val="00224346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195A"/>
    <w:rsid w:val="005C35AC"/>
    <w:rsid w:val="005D1FB6"/>
    <w:rsid w:val="005D2687"/>
    <w:rsid w:val="005D5D73"/>
    <w:rsid w:val="005E3265"/>
    <w:rsid w:val="005F451B"/>
    <w:rsid w:val="005F6EFE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23AB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7D8F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51F4"/>
    <w:rsid w:val="00AB04BC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0B68"/>
    <w:rsid w:val="00BB6826"/>
    <w:rsid w:val="00BD25DB"/>
    <w:rsid w:val="00BE00EE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387"/>
    <w:rsid w:val="00CF64CC"/>
    <w:rsid w:val="00D00C12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0A3E-5F4B-40DC-8357-75671617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2013-01-05T21:12:00Z</cp:lastPrinted>
  <dcterms:created xsi:type="dcterms:W3CDTF">2013-01-05T21:43:00Z</dcterms:created>
  <dcterms:modified xsi:type="dcterms:W3CDTF">2013-01-25T20:24:00Z</dcterms:modified>
</cp:coreProperties>
</file>