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C" w:rsidRDefault="00DF78FC">
      <w:r>
        <w:rPr>
          <w:noProof/>
        </w:rPr>
        <w:drawing>
          <wp:inline distT="0" distB="0" distL="0" distR="0">
            <wp:extent cx="6859301" cy="89845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861123" cy="8986898"/>
                    </a:xfrm>
                    <a:prstGeom prst="rect">
                      <a:avLst/>
                    </a:prstGeom>
                  </pic:spPr>
                </pic:pic>
              </a:graphicData>
            </a:graphic>
          </wp:inline>
        </w:drawing>
      </w:r>
    </w:p>
    <w:p w:rsidR="00D557FE" w:rsidRPr="00DF78FC" w:rsidRDefault="00DF78FC">
      <w:pPr>
        <w:rPr>
          <w:sz w:val="32"/>
          <w:szCs w:val="32"/>
        </w:rPr>
      </w:pPr>
      <w:r w:rsidRPr="00DF78FC">
        <w:rPr>
          <w:sz w:val="32"/>
          <w:szCs w:val="32"/>
        </w:rPr>
        <w:lastRenderedPageBreak/>
        <w:t>Colorado Charter School Sample Closure Framework</w:t>
      </w:r>
    </w:p>
    <w:p w:rsidR="00DF78FC" w:rsidRDefault="00DF78FC">
      <w:r>
        <w:t>January 2011</w:t>
      </w:r>
    </w:p>
    <w:p w:rsidR="00DF78FC" w:rsidRDefault="00DF78FC">
      <w:r>
        <w:t>Background</w:t>
      </w:r>
    </w:p>
    <w:p w:rsidR="00DF78FC" w:rsidRPr="00DF78FC" w:rsidRDefault="00DF78FC" w:rsidP="00DF78FC">
      <w:pPr>
        <w:ind w:left="1440" w:right="1440"/>
        <w:rPr>
          <w:i/>
        </w:rPr>
      </w:pPr>
      <w:r w:rsidRPr="00DF78FC">
        <w:rPr>
          <w:i/>
        </w:rPr>
        <w:t xml:space="preserve">This Sample Closure Framework provides a Colorado-specific guide to charter school closure, complementing the Colorado Charter School Standard Application, Checklist, and Review Rubric, A Resource for Developing Charter School Contracts, and Colorado Sample Contract Language and Attachments. All of these documents are a product of a collaborative initiative of the Colorado Department of Education, the Colorado League of Charter Schools, and the Colorado Charter School Institute, and are available at </w:t>
      </w:r>
      <w:hyperlink r:id="rId8" w:history="1">
        <w:r w:rsidRPr="00DF78FC">
          <w:rPr>
            <w:rStyle w:val="Hyperlink"/>
            <w:i/>
          </w:rPr>
          <w:t>www.charterschoolquality.org</w:t>
        </w:r>
      </w:hyperlink>
      <w:r w:rsidRPr="00DF78FC">
        <w:rPr>
          <w:i/>
        </w:rPr>
        <w:t xml:space="preserve">. </w:t>
      </w:r>
    </w:p>
    <w:p w:rsidR="00DF78FC" w:rsidRPr="00DF78FC" w:rsidRDefault="00DF78FC" w:rsidP="00DF78FC">
      <w:pPr>
        <w:ind w:left="1440" w:right="1440"/>
        <w:rPr>
          <w:i/>
        </w:rPr>
      </w:pPr>
      <w:r w:rsidRPr="00DF78FC">
        <w:rPr>
          <w:i/>
        </w:rPr>
        <w:t>This Framework benefits from review by authorizers and charter schools. Additional feedback from authorizers and schools will be gathered over time to improve this document to ensure it continues to reflect best authorizing practices in Colorado.</w:t>
      </w:r>
    </w:p>
    <w:p w:rsidR="00DF78FC" w:rsidRPr="00DF78FC" w:rsidRDefault="00DF78FC" w:rsidP="00DF78FC">
      <w:pPr>
        <w:ind w:left="1440" w:right="1440"/>
        <w:rPr>
          <w:i/>
        </w:rPr>
      </w:pPr>
      <w:r w:rsidRPr="00DF78FC">
        <w:rPr>
          <w:i/>
        </w:rPr>
        <w:t>This work is part of a larger four-year project entitled, “Building Charter School Quality: Strengthening Performance Management among Schools, Authorizers, State Charter Support Organizations and Funders,” which was supported by a National Activities grant from the U.S. Department of Education.</w:t>
      </w:r>
    </w:p>
    <w:p w:rsidR="00DF78FC" w:rsidRDefault="00DF78FC">
      <w:r>
        <w:br w:type="page"/>
      </w:r>
    </w:p>
    <w:p w:rsidR="00DF78FC" w:rsidRPr="00DF78FC" w:rsidRDefault="00DF78FC" w:rsidP="00DF78FC">
      <w:pPr>
        <w:rPr>
          <w:sz w:val="32"/>
          <w:szCs w:val="32"/>
        </w:rPr>
      </w:pPr>
      <w:r w:rsidRPr="00DF78FC">
        <w:rPr>
          <w:sz w:val="32"/>
          <w:szCs w:val="32"/>
        </w:rPr>
        <w:lastRenderedPageBreak/>
        <w:t>Table of Contents</w:t>
      </w:r>
    </w:p>
    <w:p w:rsidR="00DF78FC" w:rsidRDefault="00DF78FC" w:rsidP="00DF78FC">
      <w:proofErr w:type="gramStart"/>
      <w:r>
        <w:t>Introduction.</w:t>
      </w:r>
      <w:proofErr w:type="gramEnd"/>
      <w:r>
        <w:t xml:space="preserve"> . . . . . . . . . . . . . . . . . . . . . .</w:t>
      </w:r>
      <w:r w:rsidRPr="00DF78FC">
        <w:t xml:space="preserve"> </w:t>
      </w:r>
      <w:r>
        <w:t>. . . . . . . . . . . . . . . . . . . . . . 4</w:t>
      </w:r>
    </w:p>
    <w:p w:rsidR="00DF78FC" w:rsidRDefault="00DF78FC" w:rsidP="00DF78FC">
      <w:r>
        <w:t>Background. . . . . . . . . . . . . . . . . . . . . . . . . . . . . .</w:t>
      </w:r>
      <w:r w:rsidRPr="00DF78FC">
        <w:t xml:space="preserve"> </w:t>
      </w:r>
      <w:r>
        <w:t>. . . . . . . .</w:t>
      </w:r>
      <w:r w:rsidRPr="00DF78FC">
        <w:t xml:space="preserve"> </w:t>
      </w:r>
      <w:r>
        <w:t>. . . . . . . . 5</w:t>
      </w:r>
    </w:p>
    <w:p w:rsidR="00DF78FC" w:rsidRDefault="00DF78FC" w:rsidP="00DF78FC">
      <w:r>
        <w:t>Notification and Initial Steps. . . . . . . . . . . . . . . .</w:t>
      </w:r>
      <w:r w:rsidRPr="00DF78FC">
        <w:t xml:space="preserve"> </w:t>
      </w:r>
      <w:r>
        <w:t>. . . . . . . .</w:t>
      </w:r>
      <w:r w:rsidRPr="00DF78FC">
        <w:t xml:space="preserve"> </w:t>
      </w:r>
      <w:r>
        <w:t>. . . . . . . . 7</w:t>
      </w:r>
    </w:p>
    <w:p w:rsidR="00DF78FC" w:rsidRDefault="00DF78FC" w:rsidP="00DF78FC">
      <w:r>
        <w:t>Develop/Monitor Implementation of the Closure Plan . . . . . . . . . . 8</w:t>
      </w:r>
    </w:p>
    <w:p w:rsidR="00DF78FC" w:rsidRDefault="00DF78FC" w:rsidP="00DF78FC">
      <w:r>
        <w:t>Finalize School Affairs: Governance and Operations. . . . . . . . . . . . . 9</w:t>
      </w:r>
    </w:p>
    <w:p w:rsidR="00DF78FC" w:rsidRDefault="00DF78FC" w:rsidP="00DF78FC">
      <w:r>
        <w:t>Finalize School Affairs: Finance. . . . . . . . . . . . . . . . . . . . . . . . . . . . . 11</w:t>
      </w:r>
    </w:p>
    <w:p w:rsidR="00DF78FC" w:rsidRDefault="00DF78FC" w:rsidP="00DF78FC">
      <w:r>
        <w:t>Finalize School Affairs: Reporting. . . . . . . . . . . . . . . . . . . . . . . . . . . 13</w:t>
      </w:r>
    </w:p>
    <w:p w:rsidR="00DF78FC" w:rsidRDefault="00DF78FC" w:rsidP="00DF78FC">
      <w:proofErr w:type="gramStart"/>
      <w:r>
        <w:t>Dissolution.</w:t>
      </w:r>
      <w:proofErr w:type="gramEnd"/>
      <w:r>
        <w:t xml:space="preserve"> . . . . . . . . . . . . . . . . . . . . . . . . . . . . . . . . . . . . . . . . . . . . 14</w:t>
      </w:r>
    </w:p>
    <w:p w:rsidR="00DF78FC" w:rsidRDefault="00DF78FC" w:rsidP="00DF78FC">
      <w:r>
        <w:br w:type="page"/>
      </w:r>
    </w:p>
    <w:p w:rsidR="00DF78FC" w:rsidRPr="00DF78FC" w:rsidRDefault="00DF78FC" w:rsidP="00DF78FC">
      <w:pPr>
        <w:rPr>
          <w:sz w:val="32"/>
          <w:szCs w:val="32"/>
        </w:rPr>
      </w:pPr>
      <w:r w:rsidRPr="00DF78FC">
        <w:rPr>
          <w:sz w:val="32"/>
          <w:szCs w:val="32"/>
        </w:rPr>
        <w:lastRenderedPageBreak/>
        <w:t>Introduction</w:t>
      </w:r>
    </w:p>
    <w:p w:rsidR="00DF78FC" w:rsidRDefault="00DF78FC" w:rsidP="00DF78FC">
      <w:r>
        <w:t>Closing a charter school can present many challenges, given the data that must be compiled and analyzed, public meetings that must be held, and the political considerations that must be addressed before a charter school chooses to voluntarily close or before the authorizer votes to not renew or to revoke the charter school contract.</w:t>
      </w:r>
    </w:p>
    <w:p w:rsidR="00DF78FC" w:rsidRDefault="00DF78FC" w:rsidP="00DF78FC">
      <w:pPr>
        <w:sectPr w:rsidR="00DF78FC" w:rsidSect="00DF78FC">
          <w:footerReference w:type="default" r:id="rId9"/>
          <w:pgSz w:w="12240" w:h="15840"/>
          <w:pgMar w:top="720" w:right="720" w:bottom="720" w:left="720" w:header="720" w:footer="720" w:gutter="0"/>
          <w:cols w:space="720"/>
          <w:docGrid w:linePitch="360"/>
        </w:sectPr>
      </w:pPr>
    </w:p>
    <w:p w:rsidR="00DF78FC" w:rsidRDefault="00DF78FC" w:rsidP="00DF78FC">
      <w:r>
        <w:lastRenderedPageBreak/>
        <w:t>Given the challenges, a carefully developed, detailed school closure plan is a high priority. An orderly closure process providing for continuity of instruction until the closure date, identifying new school options for students, and meeting the school’s financial, legal, and operational obligations is in the best interest of all parties. This Colorado-specific checklist of tasks in a template format was developed to assist authorizers and charter schools with the closure process.</w:t>
      </w:r>
    </w:p>
    <w:p w:rsidR="00DF78FC" w:rsidRDefault="00DF78FC" w:rsidP="00DF78FC"/>
    <w:p w:rsidR="00DF78FC" w:rsidRDefault="00DF78FC" w:rsidP="00DF78FC"/>
    <w:p w:rsidR="00DF78FC" w:rsidRDefault="00DF78FC" w:rsidP="00DF78FC"/>
    <w:p w:rsidR="00DF78FC" w:rsidRDefault="00DF78FC" w:rsidP="00DF78FC"/>
    <w:p w:rsidR="00DF78FC" w:rsidRDefault="00DF78FC" w:rsidP="00DF78FC"/>
    <w:p w:rsidR="00DF78FC" w:rsidRDefault="00DF78FC" w:rsidP="00DF78FC"/>
    <w:p w:rsidR="00DF78FC" w:rsidRDefault="00DF78FC" w:rsidP="00DF78FC"/>
    <w:p w:rsidR="00DF78FC" w:rsidRDefault="00DF78FC" w:rsidP="00DF78FC"/>
    <w:p w:rsidR="00DF78FC" w:rsidRDefault="00DF78FC" w:rsidP="00DF78FC"/>
    <w:p w:rsidR="00DF78FC" w:rsidRDefault="00DF78FC" w:rsidP="00DF78FC">
      <w:r>
        <w:lastRenderedPageBreak/>
        <w:t>This document draws heavily on several sources:</w:t>
      </w:r>
    </w:p>
    <w:p w:rsidR="00DF78FC" w:rsidRDefault="00DF78FC" w:rsidP="00DF78FC">
      <w:r>
        <w:t xml:space="preserve">1. </w:t>
      </w:r>
      <w:r w:rsidRPr="00DF78FC">
        <w:rPr>
          <w:i/>
        </w:rPr>
        <w:t>Accountability in Action: A Comprehensive Guide to Charter School Closure</w:t>
      </w:r>
      <w:r>
        <w:t xml:space="preserve">. </w:t>
      </w:r>
      <w:proofErr w:type="gramStart"/>
      <w:r>
        <w:t xml:space="preserve">Edited by Kim </w:t>
      </w:r>
      <w:proofErr w:type="spellStart"/>
      <w:r>
        <w:t>Wechtenhiser</w:t>
      </w:r>
      <w:proofErr w:type="spellEnd"/>
      <w:r>
        <w:t>, Andrew Wade, and Margaret Lin. National Association of Charter School Authorizers (2010).</w:t>
      </w:r>
      <w:proofErr w:type="gramEnd"/>
    </w:p>
    <w:p w:rsidR="00DF78FC" w:rsidRDefault="00DF78FC" w:rsidP="00DF78FC">
      <w:r>
        <w:t>2. Colorado Charter School Institute Closure Project Plan (2010).</w:t>
      </w:r>
    </w:p>
    <w:p w:rsidR="00DF78FC" w:rsidRDefault="00DF78FC" w:rsidP="00DF78FC">
      <w:r>
        <w:t xml:space="preserve">3. </w:t>
      </w:r>
      <w:r w:rsidRPr="00DF78FC">
        <w:rPr>
          <w:i/>
        </w:rPr>
        <w:t>Charter Renewal</w:t>
      </w:r>
      <w:r>
        <w:t>. Charter Schools Institute, The State University of New York (</w:t>
      </w:r>
      <w:proofErr w:type="gramStart"/>
      <w:r>
        <w:t>SUNY )</w:t>
      </w:r>
      <w:proofErr w:type="gramEnd"/>
      <w:r>
        <w:t xml:space="preserve">. </w:t>
      </w:r>
    </w:p>
    <w:p w:rsidR="00DF78FC" w:rsidRDefault="00DF78FC" w:rsidP="00DF78FC">
      <w:r>
        <w:t xml:space="preserve">4. </w:t>
      </w:r>
      <w:r w:rsidRPr="00DF78FC">
        <w:rPr>
          <w:i/>
        </w:rPr>
        <w:t>Pre-Opening Checklist and Closing Checklist</w:t>
      </w:r>
      <w:r>
        <w:t xml:space="preserve">. </w:t>
      </w:r>
      <w:proofErr w:type="gramStart"/>
      <w:r>
        <w:t>Office of Education Innovation, Office of the Mayor, City of Indianapolis.</w:t>
      </w:r>
      <w:proofErr w:type="gramEnd"/>
    </w:p>
    <w:p w:rsidR="00DF78FC" w:rsidRDefault="00DF78FC" w:rsidP="00DF78FC">
      <w:r>
        <w:t xml:space="preserve">5. </w:t>
      </w:r>
      <w:r w:rsidRPr="00DF78FC">
        <w:rPr>
          <w:i/>
        </w:rPr>
        <w:t>2010-2011 Charter Renewal Guidelines</w:t>
      </w:r>
      <w:r>
        <w:t xml:space="preserve">. </w:t>
      </w:r>
      <w:proofErr w:type="gramStart"/>
      <w:r>
        <w:t>District of Columbia Public Charter School Board.</w:t>
      </w:r>
      <w:proofErr w:type="gramEnd"/>
    </w:p>
    <w:p w:rsidR="00DF78FC" w:rsidRDefault="00DF78FC" w:rsidP="00DF78FC">
      <w:r>
        <w:t>Colorado charter school authorizers were helpful in reviewing this document to enhance usability and completeness. Additional feedback from authorizers and charter schools will be gathered over time to improve this document to ensure it continues to reflect best Colorado authorizing practices.</w:t>
      </w:r>
    </w:p>
    <w:p w:rsidR="00DF78FC" w:rsidRDefault="00DF78FC" w:rsidP="00DF78FC">
      <w:pPr>
        <w:sectPr w:rsidR="00DF78FC" w:rsidSect="00DF78FC">
          <w:type w:val="continuous"/>
          <w:pgSz w:w="12240" w:h="15840"/>
          <w:pgMar w:top="720" w:right="720" w:bottom="720" w:left="720" w:header="720" w:footer="720" w:gutter="0"/>
          <w:cols w:num="2" w:space="720"/>
          <w:docGrid w:linePitch="360"/>
        </w:sectPr>
      </w:pPr>
    </w:p>
    <w:p w:rsidR="00DF78FC" w:rsidRDefault="00DF78FC" w:rsidP="00DF78FC">
      <w:r>
        <w:lastRenderedPageBreak/>
        <w:br w:type="page"/>
      </w:r>
    </w:p>
    <w:p w:rsidR="00DF78FC" w:rsidRPr="00517CEF" w:rsidRDefault="00DF78FC" w:rsidP="00DF78FC">
      <w:pPr>
        <w:rPr>
          <w:sz w:val="32"/>
          <w:szCs w:val="32"/>
        </w:rPr>
      </w:pPr>
      <w:r w:rsidRPr="00517CEF">
        <w:rPr>
          <w:sz w:val="32"/>
          <w:szCs w:val="32"/>
        </w:rPr>
        <w:lastRenderedPageBreak/>
        <w:t>Background</w:t>
      </w:r>
    </w:p>
    <w:p w:rsidR="00DF78FC" w:rsidRDefault="00DF78FC" w:rsidP="00DF78FC">
      <w:r>
        <w:t>Whenever a charter school closes, there are many tasks that must be completed; however, the tasks associated with the winding up of business will be different for each authorizer and charter school, reflecting the circumstances surrounding the closure.</w:t>
      </w:r>
    </w:p>
    <w:p w:rsidR="00517CEF" w:rsidRDefault="00517CEF" w:rsidP="00517CEF">
      <w:pPr>
        <w:sectPr w:rsidR="00517CEF" w:rsidSect="00DF78FC">
          <w:type w:val="continuous"/>
          <w:pgSz w:w="12240" w:h="15840"/>
          <w:pgMar w:top="720" w:right="720" w:bottom="720" w:left="720" w:header="720" w:footer="720" w:gutter="0"/>
          <w:cols w:space="720"/>
          <w:docGrid w:linePitch="360"/>
        </w:sectPr>
      </w:pPr>
    </w:p>
    <w:p w:rsidR="00517CEF" w:rsidRDefault="00517CEF" w:rsidP="00517CEF">
      <w:r>
        <w:lastRenderedPageBreak/>
        <w:t>These circumstances include the following:</w:t>
      </w:r>
    </w:p>
    <w:p w:rsidR="00517CEF" w:rsidRDefault="00517CEF" w:rsidP="00517CEF">
      <w:pPr>
        <w:pStyle w:val="ListParagraph"/>
        <w:numPr>
          <w:ilvl w:val="0"/>
          <w:numId w:val="2"/>
        </w:numPr>
      </w:pPr>
      <w:r>
        <w:t>Timing of closure – during or at the end of a school year.</w:t>
      </w:r>
    </w:p>
    <w:p w:rsidR="00517CEF" w:rsidRDefault="00517CEF" w:rsidP="00517CEF">
      <w:pPr>
        <w:pStyle w:val="ListParagraph"/>
        <w:numPr>
          <w:ilvl w:val="0"/>
          <w:numId w:val="2"/>
        </w:numPr>
      </w:pPr>
      <w:r>
        <w:t>Reasons for closure – for example, financial mismanagement, student performance, or lack of enrollment.</w:t>
      </w:r>
    </w:p>
    <w:p w:rsidR="00517CEF" w:rsidRDefault="00517CEF" w:rsidP="00517CEF">
      <w:pPr>
        <w:pStyle w:val="ListParagraph"/>
        <w:numPr>
          <w:ilvl w:val="0"/>
          <w:numId w:val="2"/>
        </w:numPr>
      </w:pPr>
      <w:r>
        <w:t>Charter school capacity – the extent to which the charter school can accomplish the tasks associated with closure.</w:t>
      </w:r>
    </w:p>
    <w:p w:rsidR="00517CEF" w:rsidRDefault="00517CEF" w:rsidP="00517CEF">
      <w:pPr>
        <w:pStyle w:val="ListParagraph"/>
        <w:numPr>
          <w:ilvl w:val="0"/>
          <w:numId w:val="2"/>
        </w:numPr>
      </w:pPr>
      <w:r>
        <w:t>Relationship of the parties – can the authorizer and the school work together cooperatively to close the school?</w:t>
      </w:r>
    </w:p>
    <w:p w:rsidR="00517CEF" w:rsidRDefault="00517CEF" w:rsidP="00517CEF">
      <w:pPr>
        <w:pStyle w:val="ListParagraph"/>
        <w:numPr>
          <w:ilvl w:val="0"/>
          <w:numId w:val="2"/>
        </w:numPr>
      </w:pPr>
      <w:r>
        <w:t>Expectation of closure – whether the authorizer and charter school expected and planned for the closure.</w:t>
      </w:r>
    </w:p>
    <w:p w:rsidR="00517CEF" w:rsidRDefault="00517CEF" w:rsidP="00517CEF">
      <w:pPr>
        <w:pStyle w:val="ListParagraph"/>
        <w:numPr>
          <w:ilvl w:val="0"/>
          <w:numId w:val="2"/>
        </w:numPr>
      </w:pPr>
      <w:r>
        <w:t>Appeals and legal action – the time period before a final decision is reached on closure.</w:t>
      </w:r>
    </w:p>
    <w:p w:rsidR="00517CEF" w:rsidRDefault="00517CEF" w:rsidP="00517CEF">
      <w:pPr>
        <w:pStyle w:val="ListParagraph"/>
        <w:numPr>
          <w:ilvl w:val="0"/>
          <w:numId w:val="2"/>
        </w:numPr>
      </w:pPr>
      <w:r>
        <w:t>Student reassignment – the availability of space, school options, and impact on school districts that will be receiving students.</w:t>
      </w:r>
    </w:p>
    <w:p w:rsidR="00517CEF" w:rsidRDefault="00517CEF" w:rsidP="00517CEF">
      <w:r>
        <w:t>The circumstances outlined above will be affected by whether or not the closure is voluntary. Voluntary closure typically occur when either the school does not seek renewal of its charter or when the school recognizes that it is no longer academically or financially viable. Involuntary closure may occur when a charter renewal application is denied, but may also be precipitated by charter revocation due to a financial crisis or persistent low academic achievement. In such circumstances, the school and authorizer may have genuine disagreements about the school’s performance. In other cases a charter school may believe that renewal is pro forma, ignoring the accountability-for-autonomy agreement that is the foundation of the charter school contract. In these circumstances, closure is unexpected in addition to being involuntary.</w:t>
      </w:r>
    </w:p>
    <w:p w:rsidR="00517CEF" w:rsidRDefault="00517CEF" w:rsidP="00517CEF">
      <w:r>
        <w:lastRenderedPageBreak/>
        <w:t>In rare circumstances, an involuntary closure may be preceded by an authorizer requesting that the Commissioner of Education invoke the Emergency Powers Act (C.R.S. 22-30.5-701 et seq.) In this case, closure is usually related to financial mismanagement, a threat to district or school property, and/or student safety. An involuntary closure, and especially one where the Emergency Powers Act has been invoked, is likely to present the authorizer with many more difficulties than a voluntary closure.</w:t>
      </w:r>
    </w:p>
    <w:p w:rsidR="00517CEF" w:rsidRDefault="00517CEF" w:rsidP="00517CEF">
      <w:r>
        <w:t xml:space="preserve">When the charter school closure is involuntary, an appeal of the decision to the State Board of Education is likely. The appeal process may add up to 90 days before a final decision on closure is reached (30 days to file an appeal and 60 days for the State Board to hear the appeal and make its findings). In rare cases, a second appeal could precede closure. This could result in an additional 90 days before a final decision (30 days for the local board to reconsider its decision and make a final decision, 30 days to file an appeal, and 30 days for the State Board to make a decision) (C.R.S. 22-30.5-108). In any case, an authorizer will need to have contingency plans to address the various scenarios that may occur. </w:t>
      </w:r>
    </w:p>
    <w:p w:rsidR="00DF78FC" w:rsidRDefault="00517CEF" w:rsidP="00517CEF">
      <w:r>
        <w:t>Regardless of how the process unfolds, the authorizer’s staff should meet with the charter school board and principal immediately after the initial closure decision to determine who will send letters to the school districts that are materially affected and to the school’s parents notifying them of the decision. Ideally, all parties will agree on the content of the letters. Additional letters should be sent to parents and school districts updating them about the timing and outcome of any appeals.</w:t>
      </w:r>
    </w:p>
    <w:p w:rsidR="00517CEF" w:rsidRDefault="00517CEF" w:rsidP="00517CEF"/>
    <w:p w:rsidR="00517CEF" w:rsidRDefault="00517CEF" w:rsidP="00DF78FC">
      <w:pPr>
        <w:sectPr w:rsidR="00517CEF" w:rsidSect="00517CEF">
          <w:type w:val="continuous"/>
          <w:pgSz w:w="12240" w:h="15840"/>
          <w:pgMar w:top="720" w:right="720" w:bottom="720" w:left="720" w:header="720" w:footer="720" w:gutter="0"/>
          <w:cols w:num="2" w:space="720"/>
          <w:docGrid w:linePitch="360"/>
        </w:sectPr>
      </w:pPr>
    </w:p>
    <w:p w:rsidR="00CE7505" w:rsidRDefault="00CE7505" w:rsidP="00CE7505">
      <w:r>
        <w:lastRenderedPageBreak/>
        <w:t>Whether or not closure is scheduled during or after the school year is a key factor in developing the closure plan. An end-of-year closure is almost always in students’ best academic and social interests; in addition, it simplifies the financial issues associated with the closure. In the event that the school is unable to operate until the end of the school year, the authorizer will need to consider whether its best interest is served by continuing to operate a school in the charter school facility until a smooth transition is possible.</w:t>
      </w:r>
    </w:p>
    <w:p w:rsidR="00CE7505" w:rsidRDefault="00CE7505" w:rsidP="00CE7505">
      <w:r>
        <w:t>Regardless of the specifics of the closure plan, there are three primary goals to be accomplished in the winding up of the school’s affairs:</w:t>
      </w:r>
    </w:p>
    <w:p w:rsidR="00CE7505" w:rsidRDefault="00CE7505" w:rsidP="00CE7505">
      <w:pPr>
        <w:pStyle w:val="ListParagraph"/>
        <w:numPr>
          <w:ilvl w:val="0"/>
          <w:numId w:val="4"/>
        </w:numPr>
      </w:pPr>
      <w:r>
        <w:t>Providing educational services in accordance with the charter contract until the end of the school year, or the agreed upon date when instruction will stop.</w:t>
      </w:r>
    </w:p>
    <w:p w:rsidR="00CE7505" w:rsidRDefault="00CE7505" w:rsidP="00CE7505">
      <w:pPr>
        <w:pStyle w:val="ListParagraph"/>
        <w:numPr>
          <w:ilvl w:val="0"/>
          <w:numId w:val="4"/>
        </w:numPr>
      </w:pPr>
      <w:r>
        <w:t>Reassigning students to schools that meet their educational needs.</w:t>
      </w:r>
    </w:p>
    <w:p w:rsidR="00CE7505" w:rsidRDefault="00CE7505" w:rsidP="00CE7505">
      <w:pPr>
        <w:pStyle w:val="ListParagraph"/>
        <w:numPr>
          <w:ilvl w:val="0"/>
          <w:numId w:val="4"/>
        </w:numPr>
      </w:pPr>
      <w:r>
        <w:t>Addressing the school’s financial, legal and reporting obligations.</w:t>
      </w:r>
    </w:p>
    <w:p w:rsidR="00CE7505" w:rsidRDefault="00CE7505" w:rsidP="00CE7505">
      <w:r>
        <w:lastRenderedPageBreak/>
        <w:t>These goals should be given the highest priority during the closure process.</w:t>
      </w:r>
    </w:p>
    <w:p w:rsidR="00517CEF" w:rsidRDefault="00CE7505" w:rsidP="00CE7505">
      <w:r>
        <w:t>Based on the circumstances surrounding the closure, not all tasks in this framework may apply. The authorizer and charter school should meet prior to starting closure proceedings and agree which tasks will be necessary and how the authorizer wants to superintend the closure. During this meeting, responsible parties and completion dates should be agreed upon to ensure a transparent and smooth closure. The closure process has many tasks, which are illustrated in the chart below: 1) notification to affected school districts and families; 2) developing and monitoring the closure plan; 3) winding up the school’s affairs in governance and operations, finance, and reporting; and 4) dissolution. The template that follows includes the basic tasks that will usually need to be addressed to close a school; the format allows for the insertion of responsible parties and dates of completion.</w:t>
      </w:r>
    </w:p>
    <w:p w:rsidR="00CE7505" w:rsidRDefault="00CE7505" w:rsidP="00CE7505">
      <w:pPr>
        <w:sectPr w:rsidR="00CE7505" w:rsidSect="00CE7505">
          <w:type w:val="continuous"/>
          <w:pgSz w:w="12240" w:h="15840"/>
          <w:pgMar w:top="720" w:right="720" w:bottom="720" w:left="720" w:header="720" w:footer="720" w:gutter="0"/>
          <w:cols w:num="2" w:space="720"/>
          <w:docGrid w:linePitch="360"/>
        </w:sectPr>
      </w:pPr>
    </w:p>
    <w:p w:rsidR="00CE7505" w:rsidRDefault="00CE7505" w:rsidP="00CE7505">
      <w:pPr>
        <w:pBdr>
          <w:bottom w:val="single" w:sz="12" w:space="1" w:color="auto"/>
        </w:pBdr>
      </w:pPr>
    </w:p>
    <w:p w:rsidR="00CE7505" w:rsidRDefault="00CE7505" w:rsidP="00CE7505">
      <w:pPr>
        <w:rPr>
          <w:sz w:val="32"/>
          <w:szCs w:val="32"/>
        </w:rPr>
      </w:pPr>
      <w:r w:rsidRPr="00CE7505">
        <w:rPr>
          <w:sz w:val="32"/>
          <w:szCs w:val="32"/>
        </w:rPr>
        <w:t>A Conceptual Timeline for Closure</w:t>
      </w:r>
    </w:p>
    <w:p w:rsidR="0050168D" w:rsidRDefault="0050168D" w:rsidP="00CE7505">
      <w:r>
        <w:rPr>
          <w:noProof/>
        </w:rPr>
        <w:drawing>
          <wp:inline distT="0" distB="0" distL="0" distR="0">
            <wp:extent cx="6796438" cy="34555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801655" cy="3458235"/>
                    </a:xfrm>
                    <a:prstGeom prst="rect">
                      <a:avLst/>
                    </a:prstGeom>
                  </pic:spPr>
                </pic:pic>
              </a:graphicData>
            </a:graphic>
          </wp:inline>
        </w:drawing>
      </w:r>
      <w:r>
        <w:br w:type="page"/>
      </w:r>
    </w:p>
    <w:p w:rsidR="00CE7505" w:rsidRDefault="0050168D" w:rsidP="0050168D">
      <w:r w:rsidRPr="0050168D">
        <w:rPr>
          <w:sz w:val="32"/>
          <w:szCs w:val="32"/>
        </w:rPr>
        <w:lastRenderedPageBreak/>
        <w:t>Notification and Initial Steps</w:t>
      </w:r>
      <w:r>
        <w:br/>
        <w:t xml:space="preserve">The following checklists can be downloaded at </w:t>
      </w:r>
      <w:hyperlink r:id="rId11" w:history="1">
        <w:r w:rsidRPr="00D573DC">
          <w:rPr>
            <w:rStyle w:val="Hyperlink"/>
          </w:rPr>
          <w:t>www.charterschoolquality.org</w:t>
        </w:r>
      </w:hyperlink>
      <w:r>
        <w:t xml:space="preserve"> &gt; Publications &amp; Tools &gt; Authorizers.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gridCol w:w="1318"/>
        <w:gridCol w:w="1280"/>
        <w:gridCol w:w="1073"/>
      </w:tblGrid>
      <w:tr w:rsidR="003323D8" w:rsidTr="0084663C">
        <w:trPr>
          <w:cnfStyle w:val="100000000000"/>
        </w:trPr>
        <w:tc>
          <w:tcPr>
            <w:cnfStyle w:val="001000000000"/>
            <w:tcW w:w="7848" w:type="dxa"/>
            <w:shd w:val="clear" w:color="auto" w:fill="1F497D" w:themeFill="text2"/>
          </w:tcPr>
          <w:p w:rsidR="0050168D" w:rsidRDefault="006A0B47" w:rsidP="006A0B47">
            <w:pPr>
              <w:jc w:val="center"/>
            </w:pPr>
            <w:r>
              <w:t>Desc</w:t>
            </w:r>
            <w:r w:rsidRPr="006A0B47">
              <w:t>ription of Required Actions</w:t>
            </w:r>
          </w:p>
        </w:tc>
        <w:tc>
          <w:tcPr>
            <w:tcW w:w="990" w:type="dxa"/>
            <w:shd w:val="clear" w:color="auto" w:fill="1F497D" w:themeFill="text2"/>
          </w:tcPr>
          <w:p w:rsidR="0050168D" w:rsidRDefault="006A0B47" w:rsidP="006A0B47">
            <w:pPr>
              <w:jc w:val="center"/>
              <w:cnfStyle w:val="100000000000"/>
            </w:pPr>
            <w:r>
              <w:t>Responsible</w:t>
            </w:r>
            <w:r>
              <w:br/>
              <w:t>Party</w:t>
            </w:r>
          </w:p>
        </w:tc>
        <w:tc>
          <w:tcPr>
            <w:tcW w:w="1080" w:type="dxa"/>
            <w:shd w:val="clear" w:color="auto" w:fill="1F497D" w:themeFill="text2"/>
          </w:tcPr>
          <w:p w:rsidR="0050168D" w:rsidRDefault="006A0B47" w:rsidP="006A0B47">
            <w:pPr>
              <w:jc w:val="center"/>
              <w:cnfStyle w:val="100000000000"/>
            </w:pPr>
            <w:r>
              <w:t>Completion</w:t>
            </w:r>
            <w:r>
              <w:br/>
              <w:t>Date</w:t>
            </w:r>
          </w:p>
        </w:tc>
        <w:tc>
          <w:tcPr>
            <w:tcW w:w="1098" w:type="dxa"/>
            <w:shd w:val="clear" w:color="auto" w:fill="1F497D" w:themeFill="text2"/>
          </w:tcPr>
          <w:p w:rsidR="0050168D" w:rsidRDefault="006A0B47" w:rsidP="006A0B47">
            <w:pPr>
              <w:jc w:val="center"/>
              <w:cnfStyle w:val="100000000000"/>
            </w:pPr>
            <w:r w:rsidRPr="006A0B47">
              <w:t>Status</w:t>
            </w:r>
          </w:p>
        </w:tc>
      </w:tr>
      <w:tr w:rsidR="003323D8" w:rsidTr="006A0B47">
        <w:trPr>
          <w:cnfStyle w:val="000000100000"/>
        </w:trPr>
        <w:tc>
          <w:tcPr>
            <w:cnfStyle w:val="001000000000"/>
            <w:tcW w:w="7848" w:type="dxa"/>
          </w:tcPr>
          <w:p w:rsidR="006A0B47" w:rsidRPr="00EC6405" w:rsidRDefault="006A0B47" w:rsidP="006A0B47">
            <w:pPr>
              <w:rPr>
                <w:sz w:val="20"/>
              </w:rPr>
            </w:pPr>
            <w:r w:rsidRPr="00EC6405">
              <w:rPr>
                <w:sz w:val="20"/>
              </w:rPr>
              <w:t>Notify Parents / Guardians of Closure Decision</w:t>
            </w:r>
          </w:p>
          <w:p w:rsidR="006A0B47" w:rsidRPr="00740BC6" w:rsidRDefault="006A0B47" w:rsidP="006A0B47">
            <w:pPr>
              <w:rPr>
                <w:b w:val="0"/>
                <w:sz w:val="18"/>
                <w:szCs w:val="20"/>
              </w:rPr>
            </w:pPr>
            <w:r w:rsidRPr="00740BC6">
              <w:rPr>
                <w:b w:val="0"/>
                <w:sz w:val="18"/>
                <w:szCs w:val="20"/>
              </w:rPr>
              <w:t>Within one day of the authorizer’s decision to close the charter school, authorizer staff and charter staff/board collaborate to ensure that parents / guardians are notified regarding the closure decision. Such notification includes:</w:t>
            </w:r>
          </w:p>
          <w:p w:rsidR="006A0B47" w:rsidRPr="00740BC6" w:rsidRDefault="006A0B47" w:rsidP="006A0B47">
            <w:pPr>
              <w:pStyle w:val="ListParagraph"/>
              <w:numPr>
                <w:ilvl w:val="0"/>
                <w:numId w:val="6"/>
              </w:numPr>
              <w:ind w:left="360"/>
              <w:rPr>
                <w:b w:val="0"/>
                <w:sz w:val="18"/>
                <w:szCs w:val="20"/>
              </w:rPr>
            </w:pPr>
            <w:r w:rsidRPr="00740BC6">
              <w:rPr>
                <w:b w:val="0"/>
                <w:sz w:val="18"/>
                <w:szCs w:val="20"/>
              </w:rPr>
              <w:t>If applicable, an explanation of the process for an appeal to the Colorado State Board of Education and possible litigation including the implications for families.</w:t>
            </w:r>
          </w:p>
          <w:p w:rsidR="006A0B47" w:rsidRPr="00740BC6" w:rsidRDefault="006A0B47" w:rsidP="006A0B47">
            <w:pPr>
              <w:pStyle w:val="ListParagraph"/>
              <w:numPr>
                <w:ilvl w:val="0"/>
                <w:numId w:val="6"/>
              </w:numPr>
              <w:ind w:left="360"/>
              <w:rPr>
                <w:b w:val="0"/>
                <w:sz w:val="18"/>
                <w:szCs w:val="20"/>
              </w:rPr>
            </w:pPr>
            <w:r w:rsidRPr="00740BC6">
              <w:rPr>
                <w:b w:val="0"/>
                <w:sz w:val="18"/>
                <w:szCs w:val="20"/>
              </w:rPr>
              <w:t>Assurance that instruction will continue through the end of the school year or the date when instruction will cease.</w:t>
            </w:r>
          </w:p>
          <w:p w:rsidR="006A0B47" w:rsidRPr="00740BC6" w:rsidRDefault="006A0B47" w:rsidP="006A0B47">
            <w:pPr>
              <w:pStyle w:val="ListParagraph"/>
              <w:numPr>
                <w:ilvl w:val="0"/>
                <w:numId w:val="6"/>
              </w:numPr>
              <w:ind w:left="360"/>
              <w:rPr>
                <w:b w:val="0"/>
                <w:sz w:val="18"/>
                <w:szCs w:val="20"/>
              </w:rPr>
            </w:pPr>
            <w:r w:rsidRPr="00740BC6">
              <w:rPr>
                <w:b w:val="0"/>
                <w:sz w:val="18"/>
                <w:szCs w:val="20"/>
              </w:rPr>
              <w:t>Assurance that after a final decision is reached, parents/students will be assisted in the reassignment process.</w:t>
            </w:r>
          </w:p>
          <w:p w:rsidR="006A0B47" w:rsidRPr="00740BC6" w:rsidRDefault="006A0B47" w:rsidP="006A0B47">
            <w:pPr>
              <w:pStyle w:val="ListParagraph"/>
              <w:numPr>
                <w:ilvl w:val="0"/>
                <w:numId w:val="6"/>
              </w:numPr>
              <w:ind w:left="360"/>
              <w:rPr>
                <w:b w:val="0"/>
                <w:sz w:val="18"/>
                <w:szCs w:val="20"/>
              </w:rPr>
            </w:pPr>
            <w:r w:rsidRPr="00740BC6">
              <w:rPr>
                <w:b w:val="0"/>
                <w:sz w:val="18"/>
                <w:szCs w:val="20"/>
              </w:rPr>
              <w:t>FAQ about the charter closure process.</w:t>
            </w:r>
          </w:p>
          <w:p w:rsidR="0050168D" w:rsidRPr="00740BC6" w:rsidRDefault="006A0B47" w:rsidP="006A0B47">
            <w:pPr>
              <w:pStyle w:val="ListParagraph"/>
              <w:numPr>
                <w:ilvl w:val="0"/>
                <w:numId w:val="6"/>
              </w:numPr>
              <w:ind w:left="360"/>
              <w:rPr>
                <w:b w:val="0"/>
                <w:sz w:val="18"/>
              </w:rPr>
            </w:pPr>
            <w:r w:rsidRPr="00740BC6">
              <w:rPr>
                <w:b w:val="0"/>
                <w:sz w:val="18"/>
                <w:szCs w:val="20"/>
              </w:rPr>
              <w:t>Contact information for parents/guardians with questions.</w:t>
            </w:r>
          </w:p>
        </w:tc>
        <w:tc>
          <w:tcPr>
            <w:tcW w:w="990" w:type="dxa"/>
          </w:tcPr>
          <w:p w:rsidR="0050168D" w:rsidRDefault="0050168D" w:rsidP="00CE7505">
            <w:pPr>
              <w:cnfStyle w:val="000000100000"/>
            </w:pPr>
          </w:p>
        </w:tc>
        <w:tc>
          <w:tcPr>
            <w:tcW w:w="1080" w:type="dxa"/>
          </w:tcPr>
          <w:p w:rsidR="0050168D" w:rsidRDefault="0050168D" w:rsidP="00CE7505">
            <w:pPr>
              <w:cnfStyle w:val="000000100000"/>
            </w:pPr>
          </w:p>
        </w:tc>
        <w:tc>
          <w:tcPr>
            <w:tcW w:w="1098" w:type="dxa"/>
          </w:tcPr>
          <w:p w:rsidR="0050168D" w:rsidRDefault="0050168D" w:rsidP="00CE7505">
            <w:pPr>
              <w:cnfStyle w:val="000000100000"/>
            </w:pPr>
          </w:p>
        </w:tc>
      </w:tr>
      <w:tr w:rsidR="003323D8" w:rsidTr="006A0B47">
        <w:tc>
          <w:tcPr>
            <w:cnfStyle w:val="001000000000"/>
            <w:tcW w:w="7848" w:type="dxa"/>
            <w:shd w:val="clear" w:color="auto" w:fill="F2F2F2" w:themeFill="background1" w:themeFillShade="F2"/>
          </w:tcPr>
          <w:p w:rsidR="003323D8" w:rsidRPr="00EC6405" w:rsidRDefault="003323D8" w:rsidP="003323D8">
            <w:pPr>
              <w:rPr>
                <w:sz w:val="20"/>
              </w:rPr>
            </w:pPr>
            <w:r w:rsidRPr="00EC6405">
              <w:rPr>
                <w:sz w:val="20"/>
              </w:rPr>
              <w:t>Notify School Districts Materially Impacted</w:t>
            </w:r>
          </w:p>
          <w:p w:rsidR="003323D8" w:rsidRPr="00740BC6" w:rsidRDefault="003323D8" w:rsidP="003323D8">
            <w:pPr>
              <w:rPr>
                <w:b w:val="0"/>
                <w:sz w:val="18"/>
                <w:szCs w:val="20"/>
              </w:rPr>
            </w:pPr>
            <w:r w:rsidRPr="00740BC6">
              <w:rPr>
                <w:b w:val="0"/>
                <w:sz w:val="18"/>
                <w:szCs w:val="20"/>
              </w:rPr>
              <w:t>Within two days of the authorizer’s decision to close the charter school, notify districts materially impacted by the closure decision, including:</w:t>
            </w:r>
          </w:p>
          <w:p w:rsidR="003323D8" w:rsidRPr="00740BC6" w:rsidRDefault="003323D8" w:rsidP="003323D8">
            <w:pPr>
              <w:pStyle w:val="ListParagraph"/>
              <w:numPr>
                <w:ilvl w:val="0"/>
                <w:numId w:val="8"/>
              </w:numPr>
              <w:ind w:left="360"/>
              <w:rPr>
                <w:b w:val="0"/>
                <w:sz w:val="18"/>
                <w:szCs w:val="20"/>
              </w:rPr>
            </w:pPr>
            <w:r w:rsidRPr="00740BC6">
              <w:rPr>
                <w:b w:val="0"/>
                <w:sz w:val="18"/>
                <w:szCs w:val="20"/>
              </w:rPr>
              <w:t>Possible appeals and timeline for final decision.</w:t>
            </w:r>
          </w:p>
          <w:p w:rsidR="003323D8" w:rsidRPr="00740BC6" w:rsidRDefault="003323D8" w:rsidP="003323D8">
            <w:pPr>
              <w:pStyle w:val="ListParagraph"/>
              <w:numPr>
                <w:ilvl w:val="0"/>
                <w:numId w:val="8"/>
              </w:numPr>
              <w:ind w:left="360"/>
              <w:rPr>
                <w:b w:val="0"/>
                <w:sz w:val="18"/>
                <w:szCs w:val="20"/>
              </w:rPr>
            </w:pPr>
            <w:r w:rsidRPr="00740BC6">
              <w:rPr>
                <w:b w:val="0"/>
                <w:sz w:val="18"/>
                <w:szCs w:val="20"/>
              </w:rPr>
              <w:t>Copy of the letter sent to parents.</w:t>
            </w:r>
          </w:p>
          <w:p w:rsidR="003323D8" w:rsidRPr="00740BC6" w:rsidRDefault="003323D8" w:rsidP="003323D8">
            <w:pPr>
              <w:pStyle w:val="ListParagraph"/>
              <w:numPr>
                <w:ilvl w:val="0"/>
                <w:numId w:val="8"/>
              </w:numPr>
              <w:ind w:left="360"/>
              <w:rPr>
                <w:b w:val="0"/>
                <w:sz w:val="18"/>
                <w:szCs w:val="20"/>
              </w:rPr>
            </w:pPr>
            <w:r w:rsidRPr="00740BC6">
              <w:rPr>
                <w:b w:val="0"/>
                <w:sz w:val="18"/>
                <w:szCs w:val="20"/>
              </w:rPr>
              <w:t>Closure FAQ.</w:t>
            </w:r>
          </w:p>
          <w:p w:rsidR="003323D8" w:rsidRPr="00740BC6" w:rsidRDefault="003323D8" w:rsidP="003323D8">
            <w:pPr>
              <w:pStyle w:val="ListParagraph"/>
              <w:numPr>
                <w:ilvl w:val="0"/>
                <w:numId w:val="8"/>
              </w:numPr>
              <w:ind w:left="360"/>
              <w:rPr>
                <w:b w:val="0"/>
                <w:sz w:val="18"/>
                <w:szCs w:val="20"/>
              </w:rPr>
            </w:pPr>
            <w:r w:rsidRPr="00740BC6">
              <w:rPr>
                <w:b w:val="0"/>
                <w:sz w:val="18"/>
                <w:szCs w:val="20"/>
              </w:rPr>
              <w:t>Information about the plan being developed to ensure an orderly closure process</w:t>
            </w:r>
            <w:proofErr w:type="gramStart"/>
            <w:r w:rsidRPr="00740BC6">
              <w:rPr>
                <w:b w:val="0"/>
                <w:sz w:val="18"/>
                <w:szCs w:val="20"/>
              </w:rPr>
              <w:t>..</w:t>
            </w:r>
            <w:proofErr w:type="gramEnd"/>
          </w:p>
          <w:p w:rsidR="0050168D" w:rsidRPr="00740BC6" w:rsidRDefault="003323D8" w:rsidP="003323D8">
            <w:pPr>
              <w:pStyle w:val="ListParagraph"/>
              <w:numPr>
                <w:ilvl w:val="0"/>
                <w:numId w:val="8"/>
              </w:numPr>
              <w:ind w:left="360"/>
              <w:rPr>
                <w:b w:val="0"/>
                <w:sz w:val="18"/>
              </w:rPr>
            </w:pPr>
            <w:r w:rsidRPr="00740BC6">
              <w:rPr>
                <w:b w:val="0"/>
                <w:sz w:val="18"/>
                <w:szCs w:val="20"/>
              </w:rPr>
              <w:t>Contact information for questions.</w:t>
            </w:r>
          </w:p>
        </w:tc>
        <w:tc>
          <w:tcPr>
            <w:tcW w:w="990" w:type="dxa"/>
            <w:shd w:val="clear" w:color="auto" w:fill="F2F2F2" w:themeFill="background1" w:themeFillShade="F2"/>
          </w:tcPr>
          <w:p w:rsidR="0050168D" w:rsidRDefault="0050168D" w:rsidP="00CE7505">
            <w:pPr>
              <w:cnfStyle w:val="000000000000"/>
            </w:pPr>
          </w:p>
        </w:tc>
        <w:tc>
          <w:tcPr>
            <w:tcW w:w="1080" w:type="dxa"/>
            <w:shd w:val="clear" w:color="auto" w:fill="F2F2F2" w:themeFill="background1" w:themeFillShade="F2"/>
          </w:tcPr>
          <w:p w:rsidR="0050168D" w:rsidRDefault="0050168D" w:rsidP="00CE7505">
            <w:pPr>
              <w:cnfStyle w:val="000000000000"/>
            </w:pPr>
          </w:p>
        </w:tc>
        <w:tc>
          <w:tcPr>
            <w:tcW w:w="1098" w:type="dxa"/>
            <w:shd w:val="clear" w:color="auto" w:fill="F2F2F2" w:themeFill="background1" w:themeFillShade="F2"/>
          </w:tcPr>
          <w:p w:rsidR="0050168D" w:rsidRDefault="0050168D" w:rsidP="00CE7505">
            <w:pPr>
              <w:cnfStyle w:val="000000000000"/>
            </w:pPr>
          </w:p>
        </w:tc>
      </w:tr>
      <w:tr w:rsidR="003323D8" w:rsidTr="006A0B47">
        <w:trPr>
          <w:cnfStyle w:val="000000100000"/>
        </w:trPr>
        <w:tc>
          <w:tcPr>
            <w:cnfStyle w:val="001000000000"/>
            <w:tcW w:w="7848" w:type="dxa"/>
          </w:tcPr>
          <w:p w:rsidR="003323D8" w:rsidRPr="00EC6405" w:rsidRDefault="003323D8" w:rsidP="003323D8">
            <w:pPr>
              <w:rPr>
                <w:sz w:val="20"/>
              </w:rPr>
            </w:pPr>
            <w:r w:rsidRPr="00EC6405">
              <w:rPr>
                <w:sz w:val="20"/>
              </w:rPr>
              <w:t>Review Budget</w:t>
            </w:r>
          </w:p>
          <w:p w:rsidR="003323D8" w:rsidRPr="00740BC6" w:rsidRDefault="003323D8" w:rsidP="003323D8">
            <w:pPr>
              <w:pStyle w:val="ListParagraph"/>
              <w:numPr>
                <w:ilvl w:val="0"/>
                <w:numId w:val="10"/>
              </w:numPr>
              <w:ind w:left="360"/>
              <w:rPr>
                <w:b w:val="0"/>
                <w:sz w:val="18"/>
                <w:szCs w:val="20"/>
              </w:rPr>
            </w:pPr>
            <w:r w:rsidRPr="00740BC6">
              <w:rPr>
                <w:b w:val="0"/>
                <w:sz w:val="18"/>
                <w:szCs w:val="20"/>
              </w:rPr>
              <w:t>Review budget to ensure that funds are sufficient to operate the school through the end of the school year, if applicable.</w:t>
            </w:r>
          </w:p>
          <w:p w:rsidR="003323D8" w:rsidRPr="00740BC6" w:rsidRDefault="003323D8" w:rsidP="003323D8">
            <w:pPr>
              <w:pStyle w:val="ListParagraph"/>
              <w:numPr>
                <w:ilvl w:val="0"/>
                <w:numId w:val="10"/>
              </w:numPr>
              <w:ind w:left="360"/>
              <w:rPr>
                <w:b w:val="0"/>
                <w:sz w:val="18"/>
                <w:szCs w:val="20"/>
              </w:rPr>
            </w:pPr>
            <w:r w:rsidRPr="00740BC6">
              <w:rPr>
                <w:b w:val="0"/>
                <w:sz w:val="18"/>
                <w:szCs w:val="20"/>
              </w:rPr>
              <w:t>Emphasize the legal requirement to limit expenditures to only those in the approved budget, while delaying approved expenditures that might no longer be necessary until a revised budget is approved.</w:t>
            </w:r>
          </w:p>
          <w:p w:rsidR="003323D8" w:rsidRPr="00740BC6" w:rsidRDefault="003323D8" w:rsidP="003323D8">
            <w:pPr>
              <w:pStyle w:val="ListParagraph"/>
              <w:numPr>
                <w:ilvl w:val="0"/>
                <w:numId w:val="10"/>
              </w:numPr>
              <w:ind w:left="360"/>
              <w:rPr>
                <w:b w:val="0"/>
                <w:sz w:val="18"/>
                <w:szCs w:val="20"/>
              </w:rPr>
            </w:pPr>
            <w:r w:rsidRPr="00740BC6">
              <w:rPr>
                <w:b w:val="0"/>
                <w:sz w:val="18"/>
                <w:szCs w:val="20"/>
              </w:rPr>
              <w:t xml:space="preserve">Acknowledge that there are unique expenditures associated with closure for both the authorizer and school and that the parties will meet to identify these expenditures and funding sources. </w:t>
            </w:r>
          </w:p>
          <w:p w:rsidR="0050168D" w:rsidRPr="00740BC6" w:rsidRDefault="003323D8" w:rsidP="003323D8">
            <w:pPr>
              <w:pStyle w:val="ListParagraph"/>
              <w:numPr>
                <w:ilvl w:val="0"/>
                <w:numId w:val="10"/>
              </w:numPr>
              <w:ind w:left="360"/>
              <w:rPr>
                <w:b w:val="0"/>
                <w:sz w:val="18"/>
              </w:rPr>
            </w:pPr>
            <w:r w:rsidRPr="00740BC6">
              <w:rPr>
                <w:b w:val="0"/>
                <w:sz w:val="18"/>
                <w:szCs w:val="20"/>
              </w:rPr>
              <w:t>Ensure that the school continues to collect revenues included in the school’s budget, if applicable.</w:t>
            </w:r>
          </w:p>
        </w:tc>
        <w:tc>
          <w:tcPr>
            <w:tcW w:w="990" w:type="dxa"/>
          </w:tcPr>
          <w:p w:rsidR="0050168D" w:rsidRDefault="0050168D" w:rsidP="00CE7505">
            <w:pPr>
              <w:cnfStyle w:val="000000100000"/>
            </w:pPr>
          </w:p>
        </w:tc>
        <w:tc>
          <w:tcPr>
            <w:tcW w:w="1080" w:type="dxa"/>
          </w:tcPr>
          <w:p w:rsidR="0050168D" w:rsidRDefault="0050168D" w:rsidP="00CE7505">
            <w:pPr>
              <w:cnfStyle w:val="000000100000"/>
            </w:pPr>
          </w:p>
        </w:tc>
        <w:tc>
          <w:tcPr>
            <w:tcW w:w="1098" w:type="dxa"/>
          </w:tcPr>
          <w:p w:rsidR="0050168D" w:rsidRDefault="0050168D" w:rsidP="00CE7505">
            <w:pPr>
              <w:cnfStyle w:val="000000100000"/>
            </w:pPr>
          </w:p>
        </w:tc>
      </w:tr>
      <w:tr w:rsidR="003323D8" w:rsidTr="006A0B47">
        <w:tc>
          <w:tcPr>
            <w:cnfStyle w:val="001000000000"/>
            <w:tcW w:w="7848" w:type="dxa"/>
            <w:shd w:val="clear" w:color="auto" w:fill="F2F2F2" w:themeFill="background1" w:themeFillShade="F2"/>
          </w:tcPr>
          <w:p w:rsidR="003323D8" w:rsidRPr="00EC6405" w:rsidRDefault="003323D8" w:rsidP="003323D8">
            <w:pPr>
              <w:rPr>
                <w:sz w:val="20"/>
              </w:rPr>
            </w:pPr>
            <w:r w:rsidRPr="00EC6405">
              <w:rPr>
                <w:sz w:val="20"/>
              </w:rPr>
              <w:t>Meet with Charter School Faculty and Staff</w:t>
            </w:r>
          </w:p>
          <w:p w:rsidR="003323D8" w:rsidRPr="00740BC6" w:rsidRDefault="003323D8" w:rsidP="003323D8">
            <w:pPr>
              <w:rPr>
                <w:b w:val="0"/>
                <w:sz w:val="18"/>
                <w:szCs w:val="20"/>
              </w:rPr>
            </w:pPr>
            <w:r w:rsidRPr="00740BC6">
              <w:rPr>
                <w:b w:val="0"/>
                <w:sz w:val="18"/>
                <w:szCs w:val="20"/>
              </w:rPr>
              <w:t>Principal and charter board chair meet with the faculty and staff to:</w:t>
            </w:r>
          </w:p>
          <w:p w:rsidR="003323D8" w:rsidRPr="00740BC6" w:rsidRDefault="003323D8" w:rsidP="003323D8">
            <w:pPr>
              <w:pStyle w:val="ListParagraph"/>
              <w:numPr>
                <w:ilvl w:val="0"/>
                <w:numId w:val="12"/>
              </w:numPr>
              <w:rPr>
                <w:b w:val="0"/>
                <w:sz w:val="18"/>
                <w:szCs w:val="20"/>
              </w:rPr>
            </w:pPr>
            <w:r w:rsidRPr="00740BC6">
              <w:rPr>
                <w:b w:val="0"/>
                <w:sz w:val="18"/>
                <w:szCs w:val="20"/>
              </w:rPr>
              <w:t>Discuss reasons for closure, the status of appeals/legal action and likely timeline for a final decision.</w:t>
            </w:r>
          </w:p>
          <w:p w:rsidR="003323D8" w:rsidRPr="00740BC6" w:rsidRDefault="003323D8" w:rsidP="003323D8">
            <w:pPr>
              <w:pStyle w:val="ListParagraph"/>
              <w:numPr>
                <w:ilvl w:val="0"/>
                <w:numId w:val="12"/>
              </w:numPr>
              <w:rPr>
                <w:b w:val="0"/>
                <w:sz w:val="18"/>
                <w:szCs w:val="20"/>
              </w:rPr>
            </w:pPr>
            <w:r w:rsidRPr="00740BC6">
              <w:rPr>
                <w:b w:val="0"/>
                <w:sz w:val="18"/>
                <w:szCs w:val="20"/>
              </w:rPr>
              <w:t>Emphasize importance of maintaining continuity of instruction through the end of the school year.</w:t>
            </w:r>
          </w:p>
          <w:p w:rsidR="003323D8" w:rsidRPr="00740BC6" w:rsidRDefault="003323D8" w:rsidP="003323D8">
            <w:pPr>
              <w:pStyle w:val="ListParagraph"/>
              <w:numPr>
                <w:ilvl w:val="0"/>
                <w:numId w:val="12"/>
              </w:numPr>
              <w:rPr>
                <w:b w:val="0"/>
                <w:sz w:val="18"/>
                <w:szCs w:val="20"/>
              </w:rPr>
            </w:pPr>
            <w:r w:rsidRPr="00740BC6">
              <w:rPr>
                <w:b w:val="0"/>
                <w:sz w:val="18"/>
                <w:szCs w:val="20"/>
              </w:rPr>
              <w:t>Discuss plans for helping students find new schools.</w:t>
            </w:r>
          </w:p>
          <w:p w:rsidR="003323D8" w:rsidRPr="00740BC6" w:rsidRDefault="003323D8" w:rsidP="003323D8">
            <w:pPr>
              <w:pStyle w:val="ListParagraph"/>
              <w:numPr>
                <w:ilvl w:val="0"/>
                <w:numId w:val="12"/>
              </w:numPr>
              <w:rPr>
                <w:b w:val="0"/>
                <w:sz w:val="18"/>
                <w:szCs w:val="20"/>
              </w:rPr>
            </w:pPr>
            <w:r w:rsidRPr="00740BC6">
              <w:rPr>
                <w:b w:val="0"/>
                <w:sz w:val="18"/>
                <w:szCs w:val="20"/>
              </w:rPr>
              <w:t>Identify date when last salary check will be issued, when benefits terminate, and last day of work.</w:t>
            </w:r>
          </w:p>
          <w:p w:rsidR="0050168D" w:rsidRPr="00740BC6" w:rsidRDefault="003323D8" w:rsidP="003323D8">
            <w:pPr>
              <w:pStyle w:val="ListParagraph"/>
              <w:numPr>
                <w:ilvl w:val="0"/>
                <w:numId w:val="12"/>
              </w:numPr>
              <w:rPr>
                <w:b w:val="0"/>
                <w:sz w:val="18"/>
              </w:rPr>
            </w:pPr>
            <w:r w:rsidRPr="00740BC6">
              <w:rPr>
                <w:b w:val="0"/>
                <w:sz w:val="18"/>
                <w:szCs w:val="20"/>
              </w:rPr>
              <w:t xml:space="preserve">Describe assistance, if </w:t>
            </w:r>
            <w:proofErr w:type="gramStart"/>
            <w:r w:rsidRPr="00740BC6">
              <w:rPr>
                <w:b w:val="0"/>
                <w:sz w:val="18"/>
                <w:szCs w:val="20"/>
              </w:rPr>
              <w:t>any, that</w:t>
            </w:r>
            <w:proofErr w:type="gramEnd"/>
            <w:r w:rsidRPr="00740BC6">
              <w:rPr>
                <w:b w:val="0"/>
                <w:sz w:val="18"/>
                <w:szCs w:val="20"/>
              </w:rPr>
              <w:t xml:space="preserve"> will be provided to faculty and staff to find new positions.</w:t>
            </w:r>
          </w:p>
        </w:tc>
        <w:tc>
          <w:tcPr>
            <w:tcW w:w="990" w:type="dxa"/>
            <w:shd w:val="clear" w:color="auto" w:fill="F2F2F2" w:themeFill="background1" w:themeFillShade="F2"/>
          </w:tcPr>
          <w:p w:rsidR="0050168D" w:rsidRDefault="0050168D" w:rsidP="00CE7505">
            <w:pPr>
              <w:cnfStyle w:val="000000000000"/>
            </w:pPr>
          </w:p>
        </w:tc>
        <w:tc>
          <w:tcPr>
            <w:tcW w:w="1080" w:type="dxa"/>
            <w:shd w:val="clear" w:color="auto" w:fill="F2F2F2" w:themeFill="background1" w:themeFillShade="F2"/>
          </w:tcPr>
          <w:p w:rsidR="0050168D" w:rsidRDefault="0050168D" w:rsidP="00CE7505">
            <w:pPr>
              <w:cnfStyle w:val="000000000000"/>
            </w:pPr>
          </w:p>
        </w:tc>
        <w:tc>
          <w:tcPr>
            <w:tcW w:w="1098" w:type="dxa"/>
            <w:shd w:val="clear" w:color="auto" w:fill="F2F2F2" w:themeFill="background1" w:themeFillShade="F2"/>
          </w:tcPr>
          <w:p w:rsidR="0050168D" w:rsidRDefault="0050168D" w:rsidP="00CE7505">
            <w:pPr>
              <w:cnfStyle w:val="000000000000"/>
            </w:pPr>
          </w:p>
        </w:tc>
      </w:tr>
      <w:tr w:rsidR="003323D8" w:rsidTr="006A0B47">
        <w:trPr>
          <w:cnfStyle w:val="000000100000"/>
        </w:trPr>
        <w:tc>
          <w:tcPr>
            <w:cnfStyle w:val="001000000000"/>
            <w:tcW w:w="7848" w:type="dxa"/>
          </w:tcPr>
          <w:p w:rsidR="003323D8" w:rsidRPr="00EC6405" w:rsidRDefault="003323D8" w:rsidP="003323D8">
            <w:pPr>
              <w:rPr>
                <w:sz w:val="20"/>
              </w:rPr>
            </w:pPr>
            <w:r w:rsidRPr="00EC6405">
              <w:rPr>
                <w:sz w:val="20"/>
              </w:rPr>
              <w:t>Send Additional and Final Notifications</w:t>
            </w:r>
          </w:p>
          <w:p w:rsidR="003323D8" w:rsidRPr="00740BC6" w:rsidRDefault="003323D8" w:rsidP="003323D8">
            <w:pPr>
              <w:rPr>
                <w:b w:val="0"/>
                <w:sz w:val="18"/>
                <w:szCs w:val="20"/>
              </w:rPr>
            </w:pPr>
            <w:r w:rsidRPr="00740BC6">
              <w:rPr>
                <w:b w:val="0"/>
                <w:sz w:val="18"/>
                <w:szCs w:val="20"/>
              </w:rPr>
              <w:t>Notify parents and affected school districts in writing after key events (e.g., denial of an appeal) and when the closure decision is final. In the letter to parents after the closure decision is final, include:</w:t>
            </w:r>
          </w:p>
          <w:p w:rsidR="003323D8" w:rsidRPr="00740BC6" w:rsidRDefault="003323D8" w:rsidP="003323D8">
            <w:pPr>
              <w:pStyle w:val="ListParagraph"/>
              <w:numPr>
                <w:ilvl w:val="0"/>
                <w:numId w:val="14"/>
              </w:numPr>
              <w:rPr>
                <w:b w:val="0"/>
                <w:sz w:val="18"/>
                <w:szCs w:val="20"/>
              </w:rPr>
            </w:pPr>
            <w:r w:rsidRPr="00740BC6">
              <w:rPr>
                <w:b w:val="0"/>
                <w:sz w:val="18"/>
                <w:szCs w:val="20"/>
              </w:rPr>
              <w:t>The last day of instruction.</w:t>
            </w:r>
          </w:p>
          <w:p w:rsidR="003323D8" w:rsidRPr="00740BC6" w:rsidRDefault="003323D8" w:rsidP="003323D8">
            <w:pPr>
              <w:pStyle w:val="ListParagraph"/>
              <w:numPr>
                <w:ilvl w:val="0"/>
                <w:numId w:val="14"/>
              </w:numPr>
              <w:rPr>
                <w:b w:val="0"/>
                <w:sz w:val="18"/>
                <w:szCs w:val="20"/>
              </w:rPr>
            </w:pPr>
            <w:r w:rsidRPr="00740BC6">
              <w:rPr>
                <w:b w:val="0"/>
                <w:sz w:val="18"/>
                <w:szCs w:val="20"/>
              </w:rPr>
              <w:t>Any end-of-the-year activities that are planned to make the transition easier for parents and students.</w:t>
            </w:r>
          </w:p>
          <w:p w:rsidR="0050168D" w:rsidRPr="00740BC6" w:rsidRDefault="003323D8" w:rsidP="003323D8">
            <w:pPr>
              <w:pStyle w:val="ListParagraph"/>
              <w:numPr>
                <w:ilvl w:val="0"/>
                <w:numId w:val="14"/>
              </w:numPr>
              <w:rPr>
                <w:b w:val="0"/>
                <w:sz w:val="18"/>
              </w:rPr>
            </w:pPr>
            <w:r w:rsidRPr="00740BC6">
              <w:rPr>
                <w:b w:val="0"/>
                <w:sz w:val="18"/>
                <w:szCs w:val="20"/>
              </w:rPr>
              <w:t>Assistance that will be provided to families in identifying new schools. This may include a list of school options, choice fairs, individual meetings with families, and prospective school visitations.</w:t>
            </w:r>
          </w:p>
        </w:tc>
        <w:tc>
          <w:tcPr>
            <w:tcW w:w="990" w:type="dxa"/>
          </w:tcPr>
          <w:p w:rsidR="0050168D" w:rsidRDefault="0050168D" w:rsidP="00CE7505">
            <w:pPr>
              <w:cnfStyle w:val="000000100000"/>
            </w:pPr>
          </w:p>
        </w:tc>
        <w:tc>
          <w:tcPr>
            <w:tcW w:w="1080" w:type="dxa"/>
          </w:tcPr>
          <w:p w:rsidR="0050168D" w:rsidRDefault="0050168D" w:rsidP="00CE7505">
            <w:pPr>
              <w:cnfStyle w:val="000000100000"/>
            </w:pPr>
          </w:p>
        </w:tc>
        <w:tc>
          <w:tcPr>
            <w:tcW w:w="1098" w:type="dxa"/>
          </w:tcPr>
          <w:p w:rsidR="0050168D" w:rsidRDefault="0050168D" w:rsidP="00CE7505">
            <w:pPr>
              <w:cnfStyle w:val="000000100000"/>
            </w:pPr>
          </w:p>
        </w:tc>
      </w:tr>
    </w:tbl>
    <w:p w:rsidR="00740BC6" w:rsidRDefault="00740BC6" w:rsidP="00CE7505">
      <w:r>
        <w:br w:type="page"/>
      </w:r>
    </w:p>
    <w:p w:rsidR="0050168D" w:rsidRPr="00EC6405" w:rsidRDefault="00EC6405" w:rsidP="00CE7505">
      <w:pPr>
        <w:rPr>
          <w:sz w:val="32"/>
          <w:szCs w:val="32"/>
        </w:rPr>
      </w:pPr>
      <w:r w:rsidRPr="00EC6405">
        <w:rPr>
          <w:sz w:val="32"/>
          <w:szCs w:val="32"/>
        </w:rPr>
        <w:lastRenderedPageBreak/>
        <w:t>Develop/Monitor Implementation of the Closure Plan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gridCol w:w="1318"/>
        <w:gridCol w:w="1280"/>
        <w:gridCol w:w="1073"/>
      </w:tblGrid>
      <w:tr w:rsidR="00EC6405" w:rsidTr="0084663C">
        <w:trPr>
          <w:cnfStyle w:val="100000000000"/>
        </w:trPr>
        <w:tc>
          <w:tcPr>
            <w:cnfStyle w:val="001000000000"/>
            <w:tcW w:w="7345" w:type="dxa"/>
            <w:shd w:val="clear" w:color="auto" w:fill="4F6228" w:themeFill="accent3" w:themeFillShade="80"/>
          </w:tcPr>
          <w:p w:rsidR="00EC6405" w:rsidRDefault="00EC6405" w:rsidP="00392E8B">
            <w:pPr>
              <w:jc w:val="center"/>
            </w:pPr>
            <w:r>
              <w:t>Desc</w:t>
            </w:r>
            <w:r w:rsidRPr="006A0B47">
              <w:t>ription of Required Actions</w:t>
            </w:r>
          </w:p>
        </w:tc>
        <w:tc>
          <w:tcPr>
            <w:tcW w:w="1318" w:type="dxa"/>
            <w:shd w:val="clear" w:color="auto" w:fill="4F6228" w:themeFill="accent3" w:themeFillShade="80"/>
          </w:tcPr>
          <w:p w:rsidR="00EC6405" w:rsidRDefault="00EC6405" w:rsidP="00392E8B">
            <w:pPr>
              <w:jc w:val="center"/>
              <w:cnfStyle w:val="100000000000"/>
            </w:pPr>
            <w:r>
              <w:t>Responsible</w:t>
            </w:r>
            <w:r>
              <w:br/>
              <w:t>Party</w:t>
            </w:r>
          </w:p>
        </w:tc>
        <w:tc>
          <w:tcPr>
            <w:tcW w:w="1280" w:type="dxa"/>
            <w:shd w:val="clear" w:color="auto" w:fill="4F6228" w:themeFill="accent3" w:themeFillShade="80"/>
          </w:tcPr>
          <w:p w:rsidR="00EC6405" w:rsidRDefault="00EC6405" w:rsidP="00392E8B">
            <w:pPr>
              <w:jc w:val="center"/>
              <w:cnfStyle w:val="100000000000"/>
            </w:pPr>
            <w:r>
              <w:t>Completion</w:t>
            </w:r>
            <w:r>
              <w:br/>
              <w:t>Date</w:t>
            </w:r>
          </w:p>
        </w:tc>
        <w:tc>
          <w:tcPr>
            <w:tcW w:w="1073" w:type="dxa"/>
            <w:shd w:val="clear" w:color="auto" w:fill="4F6228" w:themeFill="accent3" w:themeFillShade="80"/>
          </w:tcPr>
          <w:p w:rsidR="00EC6405" w:rsidRDefault="00EC6405" w:rsidP="00392E8B">
            <w:pPr>
              <w:jc w:val="center"/>
              <w:cnfStyle w:val="100000000000"/>
            </w:pPr>
            <w:r w:rsidRPr="006A0B47">
              <w:t>Status</w:t>
            </w:r>
          </w:p>
        </w:tc>
      </w:tr>
      <w:tr w:rsidR="00EC6405" w:rsidTr="00EC6405">
        <w:trPr>
          <w:cnfStyle w:val="000000100000"/>
        </w:trPr>
        <w:tc>
          <w:tcPr>
            <w:cnfStyle w:val="001000000000"/>
            <w:tcW w:w="7345" w:type="dxa"/>
          </w:tcPr>
          <w:p w:rsidR="00EC6405" w:rsidRPr="00EC6405" w:rsidRDefault="00EC6405" w:rsidP="00EC6405">
            <w:pPr>
              <w:rPr>
                <w:sz w:val="20"/>
                <w:szCs w:val="20"/>
              </w:rPr>
            </w:pPr>
            <w:r w:rsidRPr="00EC6405">
              <w:rPr>
                <w:sz w:val="20"/>
                <w:szCs w:val="20"/>
              </w:rPr>
              <w:t>Establish Transition Team, Develop Closure Plan, and Assign Roles</w:t>
            </w:r>
          </w:p>
          <w:p w:rsidR="00EC6405" w:rsidRPr="00EC6405" w:rsidRDefault="00EC6405" w:rsidP="00EC6405">
            <w:pPr>
              <w:rPr>
                <w:b w:val="0"/>
                <w:sz w:val="18"/>
              </w:rPr>
            </w:pPr>
            <w:r w:rsidRPr="00EC6405">
              <w:rPr>
                <w:b w:val="0"/>
                <w:sz w:val="18"/>
              </w:rPr>
              <w:t>Transition team includes:</w:t>
            </w:r>
          </w:p>
          <w:p w:rsidR="00EC6405" w:rsidRPr="00EC6405" w:rsidRDefault="00EC6405" w:rsidP="00EC6405">
            <w:pPr>
              <w:pStyle w:val="ListParagraph"/>
              <w:numPr>
                <w:ilvl w:val="0"/>
                <w:numId w:val="16"/>
              </w:numPr>
              <w:rPr>
                <w:b w:val="0"/>
                <w:sz w:val="18"/>
              </w:rPr>
            </w:pPr>
            <w:r w:rsidRPr="00EC6405">
              <w:rPr>
                <w:b w:val="0"/>
                <w:sz w:val="18"/>
              </w:rPr>
              <w:t>Lead person from authorizer staff.</w:t>
            </w:r>
          </w:p>
          <w:p w:rsidR="00EC6405" w:rsidRPr="00EC6405" w:rsidRDefault="00EC6405" w:rsidP="00EC6405">
            <w:pPr>
              <w:pStyle w:val="ListParagraph"/>
              <w:numPr>
                <w:ilvl w:val="0"/>
                <w:numId w:val="16"/>
              </w:numPr>
              <w:rPr>
                <w:b w:val="0"/>
                <w:sz w:val="18"/>
              </w:rPr>
            </w:pPr>
            <w:r w:rsidRPr="00EC6405">
              <w:rPr>
                <w:b w:val="0"/>
                <w:sz w:val="18"/>
              </w:rPr>
              <w:t>Charter school board chair.</w:t>
            </w:r>
          </w:p>
          <w:p w:rsidR="00EC6405" w:rsidRPr="00EC6405" w:rsidRDefault="00EC6405" w:rsidP="00EC6405">
            <w:pPr>
              <w:pStyle w:val="ListParagraph"/>
              <w:numPr>
                <w:ilvl w:val="0"/>
                <w:numId w:val="16"/>
              </w:numPr>
              <w:rPr>
                <w:b w:val="0"/>
                <w:sz w:val="18"/>
              </w:rPr>
            </w:pPr>
            <w:r w:rsidRPr="00EC6405">
              <w:rPr>
                <w:b w:val="0"/>
                <w:sz w:val="18"/>
              </w:rPr>
              <w:t>Lead administrator from the charter school.</w:t>
            </w:r>
          </w:p>
          <w:p w:rsidR="00EC6405" w:rsidRPr="00EC6405" w:rsidRDefault="00EC6405" w:rsidP="00EC6405">
            <w:pPr>
              <w:pStyle w:val="ListParagraph"/>
              <w:numPr>
                <w:ilvl w:val="0"/>
                <w:numId w:val="16"/>
              </w:numPr>
              <w:rPr>
                <w:b w:val="0"/>
                <w:sz w:val="18"/>
              </w:rPr>
            </w:pPr>
            <w:r w:rsidRPr="00EC6405">
              <w:rPr>
                <w:b w:val="0"/>
                <w:sz w:val="18"/>
              </w:rPr>
              <w:t>Lead finance person from the charter school.</w:t>
            </w:r>
          </w:p>
          <w:p w:rsidR="00EC6405" w:rsidRPr="00EC6405" w:rsidRDefault="00EC6405" w:rsidP="00EC6405">
            <w:pPr>
              <w:rPr>
                <w:sz w:val="18"/>
              </w:rPr>
            </w:pPr>
            <w:r w:rsidRPr="00EC6405">
              <w:rPr>
                <w:b w:val="0"/>
                <w:sz w:val="18"/>
              </w:rPr>
              <w:t>Develop plan, exchange contact information and assign roles.</w:t>
            </w:r>
          </w:p>
        </w:tc>
        <w:tc>
          <w:tcPr>
            <w:tcW w:w="1318" w:type="dxa"/>
          </w:tcPr>
          <w:p w:rsidR="00EC6405" w:rsidRDefault="00EC6405" w:rsidP="00FD5FE9">
            <w:pPr>
              <w:cnfStyle w:val="000000100000"/>
            </w:pPr>
          </w:p>
        </w:tc>
        <w:tc>
          <w:tcPr>
            <w:tcW w:w="1280" w:type="dxa"/>
          </w:tcPr>
          <w:p w:rsidR="00EC6405" w:rsidRDefault="00EC6405" w:rsidP="00FD5FE9">
            <w:pPr>
              <w:cnfStyle w:val="000000100000"/>
            </w:pPr>
          </w:p>
        </w:tc>
        <w:tc>
          <w:tcPr>
            <w:tcW w:w="1073" w:type="dxa"/>
          </w:tcPr>
          <w:p w:rsidR="00EC6405" w:rsidRDefault="00EC6405" w:rsidP="00FD5FE9">
            <w:pPr>
              <w:cnfStyle w:val="000000100000"/>
            </w:pPr>
          </w:p>
        </w:tc>
      </w:tr>
      <w:tr w:rsidR="00EC6405" w:rsidTr="00EC6405">
        <w:tc>
          <w:tcPr>
            <w:cnfStyle w:val="001000000000"/>
            <w:tcW w:w="7345" w:type="dxa"/>
            <w:shd w:val="clear" w:color="auto" w:fill="F2F2F2" w:themeFill="background1" w:themeFillShade="F2"/>
          </w:tcPr>
          <w:p w:rsidR="00EC6405" w:rsidRPr="00EC6405" w:rsidRDefault="00EC6405" w:rsidP="00EC6405">
            <w:pPr>
              <w:rPr>
                <w:sz w:val="20"/>
                <w:szCs w:val="20"/>
              </w:rPr>
            </w:pPr>
            <w:r w:rsidRPr="00EC6405">
              <w:rPr>
                <w:sz w:val="20"/>
                <w:szCs w:val="20"/>
              </w:rPr>
              <w:t>Establish a Schedule for Meetings and Interim Status Reports</w:t>
            </w:r>
          </w:p>
          <w:p w:rsidR="00EC6405" w:rsidRPr="00EC6405" w:rsidRDefault="00EC6405" w:rsidP="00EC6405">
            <w:pPr>
              <w:rPr>
                <w:b w:val="0"/>
                <w:sz w:val="18"/>
              </w:rPr>
            </w:pPr>
            <w:r w:rsidRPr="00EC6405">
              <w:rPr>
                <w:b w:val="0"/>
                <w:sz w:val="18"/>
              </w:rPr>
              <w:t>Agree on a meeting schedule to review progress and interim, written status reports to include:</w:t>
            </w:r>
          </w:p>
          <w:p w:rsidR="00EC6405" w:rsidRPr="00EC6405" w:rsidRDefault="00EC6405" w:rsidP="00EC6405">
            <w:pPr>
              <w:pStyle w:val="ListParagraph"/>
              <w:numPr>
                <w:ilvl w:val="0"/>
                <w:numId w:val="18"/>
              </w:numPr>
              <w:ind w:left="360"/>
              <w:rPr>
                <w:b w:val="0"/>
                <w:sz w:val="18"/>
              </w:rPr>
            </w:pPr>
            <w:r w:rsidRPr="00EC6405">
              <w:rPr>
                <w:b w:val="0"/>
                <w:sz w:val="18"/>
              </w:rPr>
              <w:t>Reassignment of students.</w:t>
            </w:r>
          </w:p>
          <w:p w:rsidR="00EC6405" w:rsidRPr="00EC6405" w:rsidRDefault="00EC6405" w:rsidP="00EC6405">
            <w:pPr>
              <w:pStyle w:val="ListParagraph"/>
              <w:numPr>
                <w:ilvl w:val="0"/>
                <w:numId w:val="18"/>
              </w:numPr>
              <w:ind w:left="360"/>
              <w:rPr>
                <w:b w:val="0"/>
                <w:sz w:val="18"/>
              </w:rPr>
            </w:pPr>
            <w:r w:rsidRPr="00EC6405">
              <w:rPr>
                <w:b w:val="0"/>
                <w:sz w:val="18"/>
              </w:rPr>
              <w:t>Return or distribution of assets.</w:t>
            </w:r>
          </w:p>
          <w:p w:rsidR="00EC6405" w:rsidRPr="00EC6405" w:rsidRDefault="00EC6405" w:rsidP="00EC6405">
            <w:pPr>
              <w:pStyle w:val="ListParagraph"/>
              <w:numPr>
                <w:ilvl w:val="0"/>
                <w:numId w:val="18"/>
              </w:numPr>
              <w:ind w:left="360"/>
              <w:rPr>
                <w:b w:val="0"/>
                <w:sz w:val="18"/>
              </w:rPr>
            </w:pPr>
            <w:r w:rsidRPr="00EC6405">
              <w:rPr>
                <w:b w:val="0"/>
                <w:sz w:val="18"/>
              </w:rPr>
              <w:t>Transfer of student records.</w:t>
            </w:r>
          </w:p>
          <w:p w:rsidR="00EC6405" w:rsidRPr="00EC6405" w:rsidRDefault="00EC6405" w:rsidP="00EC6405">
            <w:pPr>
              <w:pStyle w:val="ListParagraph"/>
              <w:numPr>
                <w:ilvl w:val="0"/>
                <w:numId w:val="18"/>
              </w:numPr>
              <w:ind w:left="360"/>
              <w:rPr>
                <w:b w:val="0"/>
                <w:sz w:val="18"/>
              </w:rPr>
            </w:pPr>
            <w:r w:rsidRPr="00EC6405">
              <w:rPr>
                <w:b w:val="0"/>
                <w:sz w:val="18"/>
              </w:rPr>
              <w:t>Notification to entities doing business with the school.</w:t>
            </w:r>
          </w:p>
          <w:p w:rsidR="00EC6405" w:rsidRDefault="00EC6405" w:rsidP="00EC6405">
            <w:pPr>
              <w:pStyle w:val="ListParagraph"/>
              <w:numPr>
                <w:ilvl w:val="0"/>
                <w:numId w:val="18"/>
              </w:numPr>
              <w:ind w:left="360"/>
              <w:rPr>
                <w:b w:val="0"/>
                <w:sz w:val="18"/>
              </w:rPr>
            </w:pPr>
            <w:r w:rsidRPr="00EC6405">
              <w:rPr>
                <w:b w:val="0"/>
                <w:sz w:val="18"/>
              </w:rPr>
              <w:t>The status of the school’s finances.</w:t>
            </w:r>
          </w:p>
          <w:p w:rsidR="00EC6405" w:rsidRPr="00EC6405" w:rsidRDefault="00EC6405" w:rsidP="00EC6405">
            <w:pPr>
              <w:pStyle w:val="ListParagraph"/>
              <w:numPr>
                <w:ilvl w:val="0"/>
                <w:numId w:val="18"/>
              </w:numPr>
              <w:ind w:left="360"/>
              <w:rPr>
                <w:b w:val="0"/>
                <w:sz w:val="18"/>
              </w:rPr>
            </w:pPr>
            <w:r w:rsidRPr="00EC6405">
              <w:rPr>
                <w:b w:val="0"/>
                <w:sz w:val="18"/>
              </w:rPr>
              <w:t>Submission of all required reports and data to the authorizer and/or state.</w:t>
            </w:r>
          </w:p>
        </w:tc>
        <w:tc>
          <w:tcPr>
            <w:tcW w:w="1318" w:type="dxa"/>
            <w:shd w:val="clear" w:color="auto" w:fill="F2F2F2" w:themeFill="background1" w:themeFillShade="F2"/>
          </w:tcPr>
          <w:p w:rsidR="00EC6405" w:rsidRDefault="00EC6405" w:rsidP="00FD5FE9">
            <w:pPr>
              <w:cnfStyle w:val="000000000000"/>
            </w:pPr>
          </w:p>
        </w:tc>
        <w:tc>
          <w:tcPr>
            <w:tcW w:w="1280" w:type="dxa"/>
            <w:shd w:val="clear" w:color="auto" w:fill="F2F2F2" w:themeFill="background1" w:themeFillShade="F2"/>
          </w:tcPr>
          <w:p w:rsidR="00EC6405" w:rsidRDefault="00EC6405" w:rsidP="00FD5FE9">
            <w:pPr>
              <w:cnfStyle w:val="000000000000"/>
            </w:pPr>
          </w:p>
        </w:tc>
        <w:tc>
          <w:tcPr>
            <w:tcW w:w="1073" w:type="dxa"/>
            <w:shd w:val="clear" w:color="auto" w:fill="F2F2F2" w:themeFill="background1" w:themeFillShade="F2"/>
          </w:tcPr>
          <w:p w:rsidR="00EC6405" w:rsidRDefault="00EC6405" w:rsidP="00FD5FE9">
            <w:pPr>
              <w:cnfStyle w:val="000000000000"/>
            </w:pPr>
          </w:p>
        </w:tc>
      </w:tr>
      <w:tr w:rsidR="00EC6405" w:rsidTr="00EC6405">
        <w:trPr>
          <w:cnfStyle w:val="000000100000"/>
        </w:trPr>
        <w:tc>
          <w:tcPr>
            <w:cnfStyle w:val="001000000000"/>
            <w:tcW w:w="7345" w:type="dxa"/>
          </w:tcPr>
          <w:p w:rsidR="00EC6405" w:rsidRPr="00EC6405" w:rsidRDefault="00EC6405" w:rsidP="00EC6405">
            <w:pPr>
              <w:rPr>
                <w:sz w:val="20"/>
                <w:szCs w:val="20"/>
              </w:rPr>
            </w:pPr>
            <w:r w:rsidRPr="00EC6405">
              <w:rPr>
                <w:sz w:val="20"/>
                <w:szCs w:val="20"/>
              </w:rPr>
              <w:t>Submit Final Report</w:t>
            </w:r>
          </w:p>
          <w:p w:rsidR="00EC6405" w:rsidRPr="00EC6405" w:rsidRDefault="00EC6405" w:rsidP="00EC6405">
            <w:pPr>
              <w:rPr>
                <w:b w:val="0"/>
                <w:sz w:val="18"/>
              </w:rPr>
            </w:pPr>
            <w:r w:rsidRPr="00EC6405">
              <w:rPr>
                <w:b w:val="0"/>
                <w:sz w:val="18"/>
              </w:rPr>
              <w:t>Submit a final report to the authorizer detailing completion of the closure plan.</w:t>
            </w:r>
          </w:p>
        </w:tc>
        <w:tc>
          <w:tcPr>
            <w:tcW w:w="1318" w:type="dxa"/>
          </w:tcPr>
          <w:p w:rsidR="00EC6405" w:rsidRDefault="00EC6405" w:rsidP="00FD5FE9">
            <w:pPr>
              <w:cnfStyle w:val="000000100000"/>
            </w:pPr>
          </w:p>
        </w:tc>
        <w:tc>
          <w:tcPr>
            <w:tcW w:w="1280" w:type="dxa"/>
          </w:tcPr>
          <w:p w:rsidR="00EC6405" w:rsidRDefault="00EC6405" w:rsidP="00FD5FE9">
            <w:pPr>
              <w:cnfStyle w:val="000000100000"/>
            </w:pPr>
          </w:p>
        </w:tc>
        <w:tc>
          <w:tcPr>
            <w:tcW w:w="1073" w:type="dxa"/>
          </w:tcPr>
          <w:p w:rsidR="00EC6405" w:rsidRDefault="00EC6405" w:rsidP="00FD5FE9">
            <w:pPr>
              <w:cnfStyle w:val="000000100000"/>
            </w:pPr>
          </w:p>
        </w:tc>
      </w:tr>
    </w:tbl>
    <w:p w:rsidR="00392E8B" w:rsidRDefault="00392E8B" w:rsidP="00CE7505">
      <w:r>
        <w:br w:type="page"/>
      </w:r>
    </w:p>
    <w:p w:rsidR="00EC6405" w:rsidRPr="00727D44" w:rsidRDefault="00727D44" w:rsidP="00CE7505">
      <w:pPr>
        <w:rPr>
          <w:sz w:val="32"/>
          <w:szCs w:val="32"/>
        </w:rPr>
      </w:pPr>
      <w:r w:rsidRPr="00727D44">
        <w:rPr>
          <w:sz w:val="32"/>
          <w:szCs w:val="32"/>
        </w:rPr>
        <w:lastRenderedPageBreak/>
        <w:t>Finalize School Affairs: Governance and Operations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6"/>
        <w:gridCol w:w="1318"/>
        <w:gridCol w:w="1280"/>
        <w:gridCol w:w="1072"/>
      </w:tblGrid>
      <w:tr w:rsidR="00392E8B" w:rsidTr="0084663C">
        <w:trPr>
          <w:cnfStyle w:val="100000000000"/>
        </w:trPr>
        <w:tc>
          <w:tcPr>
            <w:cnfStyle w:val="001000000000"/>
            <w:tcW w:w="7848" w:type="dxa"/>
            <w:shd w:val="clear" w:color="auto" w:fill="C00000"/>
          </w:tcPr>
          <w:p w:rsidR="00392E8B" w:rsidRDefault="00392E8B" w:rsidP="00FD5FE9">
            <w:pPr>
              <w:jc w:val="center"/>
            </w:pPr>
            <w:r>
              <w:t>Desc</w:t>
            </w:r>
            <w:r w:rsidRPr="006A0B47">
              <w:t>ription of Required Actions</w:t>
            </w:r>
          </w:p>
        </w:tc>
        <w:tc>
          <w:tcPr>
            <w:tcW w:w="990" w:type="dxa"/>
            <w:shd w:val="clear" w:color="auto" w:fill="C00000"/>
          </w:tcPr>
          <w:p w:rsidR="00392E8B" w:rsidRDefault="00392E8B" w:rsidP="00FD5FE9">
            <w:pPr>
              <w:jc w:val="center"/>
              <w:cnfStyle w:val="100000000000"/>
            </w:pPr>
            <w:r>
              <w:t>Responsible</w:t>
            </w:r>
            <w:r>
              <w:br/>
              <w:t>Party</w:t>
            </w:r>
          </w:p>
        </w:tc>
        <w:tc>
          <w:tcPr>
            <w:tcW w:w="1080" w:type="dxa"/>
            <w:shd w:val="clear" w:color="auto" w:fill="C00000"/>
          </w:tcPr>
          <w:p w:rsidR="00392E8B" w:rsidRDefault="00392E8B" w:rsidP="00FD5FE9">
            <w:pPr>
              <w:jc w:val="center"/>
              <w:cnfStyle w:val="100000000000"/>
            </w:pPr>
            <w:r>
              <w:t>Completion</w:t>
            </w:r>
            <w:r>
              <w:br/>
              <w:t>Date</w:t>
            </w:r>
          </w:p>
        </w:tc>
        <w:tc>
          <w:tcPr>
            <w:tcW w:w="1098" w:type="dxa"/>
            <w:shd w:val="clear" w:color="auto" w:fill="C00000"/>
          </w:tcPr>
          <w:p w:rsidR="00392E8B" w:rsidRDefault="00392E8B" w:rsidP="00FD5FE9">
            <w:pPr>
              <w:jc w:val="center"/>
              <w:cnfStyle w:val="100000000000"/>
            </w:pPr>
            <w:r w:rsidRPr="006A0B47">
              <w:t>Status</w:t>
            </w:r>
          </w:p>
        </w:tc>
      </w:tr>
      <w:tr w:rsidR="00392E8B" w:rsidTr="00FD5FE9">
        <w:trPr>
          <w:cnfStyle w:val="000000100000"/>
        </w:trPr>
        <w:tc>
          <w:tcPr>
            <w:cnfStyle w:val="001000000000"/>
            <w:tcW w:w="7848" w:type="dxa"/>
          </w:tcPr>
          <w:p w:rsidR="00727D44" w:rsidRPr="0034350F" w:rsidRDefault="00727D44" w:rsidP="00727D44">
            <w:pPr>
              <w:rPr>
                <w:sz w:val="20"/>
                <w:szCs w:val="20"/>
              </w:rPr>
            </w:pPr>
            <w:r w:rsidRPr="0034350F">
              <w:rPr>
                <w:sz w:val="20"/>
                <w:szCs w:val="20"/>
              </w:rPr>
              <w:t>Maintain Identifiable Location</w:t>
            </w:r>
          </w:p>
          <w:p w:rsidR="00392E8B" w:rsidRPr="00392E8B" w:rsidRDefault="00727D44" w:rsidP="00727D44">
            <w:pPr>
              <w:rPr>
                <w:sz w:val="18"/>
              </w:rPr>
            </w:pPr>
            <w:r w:rsidRPr="00727D44">
              <w:rPr>
                <w:b w:val="0"/>
                <w:sz w:val="18"/>
              </w:rPr>
              <w:t>Maintain the school’s current location through the winding up of its affairs or relocate its business</w:t>
            </w:r>
            <w:r>
              <w:rPr>
                <w:b w:val="0"/>
                <w:sz w:val="18"/>
              </w:rPr>
              <w:t xml:space="preserve"> </w:t>
            </w:r>
            <w:r w:rsidRPr="00727D44">
              <w:rPr>
                <w:b w:val="0"/>
                <w:sz w:val="18"/>
              </w:rPr>
              <w:t>records and remaining assets to a location with operational telephone service that has voice</w:t>
            </w:r>
            <w:r>
              <w:rPr>
                <w:b w:val="0"/>
                <w:sz w:val="18"/>
              </w:rPr>
              <w:t xml:space="preserve"> </w:t>
            </w:r>
            <w:r w:rsidRPr="00727D44">
              <w:rPr>
                <w:b w:val="0"/>
                <w:sz w:val="18"/>
              </w:rPr>
              <w:t>message capability.</w:t>
            </w:r>
          </w:p>
        </w:tc>
        <w:tc>
          <w:tcPr>
            <w:tcW w:w="990" w:type="dxa"/>
          </w:tcPr>
          <w:p w:rsidR="00392E8B" w:rsidRDefault="00392E8B" w:rsidP="00FD5FE9">
            <w:pPr>
              <w:cnfStyle w:val="000000100000"/>
            </w:pPr>
          </w:p>
        </w:tc>
        <w:tc>
          <w:tcPr>
            <w:tcW w:w="1080" w:type="dxa"/>
          </w:tcPr>
          <w:p w:rsidR="00392E8B" w:rsidRDefault="00392E8B" w:rsidP="00FD5FE9">
            <w:pPr>
              <w:cnfStyle w:val="000000100000"/>
            </w:pPr>
          </w:p>
        </w:tc>
        <w:tc>
          <w:tcPr>
            <w:tcW w:w="1098" w:type="dxa"/>
          </w:tcPr>
          <w:p w:rsidR="00392E8B" w:rsidRDefault="00392E8B" w:rsidP="00FD5FE9">
            <w:pPr>
              <w:cnfStyle w:val="000000100000"/>
            </w:pPr>
          </w:p>
        </w:tc>
      </w:tr>
      <w:tr w:rsidR="00392E8B" w:rsidTr="00FD5FE9">
        <w:tc>
          <w:tcPr>
            <w:cnfStyle w:val="001000000000"/>
            <w:tcW w:w="7848" w:type="dxa"/>
            <w:shd w:val="clear" w:color="auto" w:fill="F2F2F2" w:themeFill="background1" w:themeFillShade="F2"/>
          </w:tcPr>
          <w:p w:rsidR="00727D44" w:rsidRPr="0034350F" w:rsidRDefault="00727D44" w:rsidP="00727D44">
            <w:pPr>
              <w:rPr>
                <w:sz w:val="20"/>
                <w:szCs w:val="20"/>
              </w:rPr>
            </w:pPr>
            <w:r w:rsidRPr="0034350F">
              <w:rPr>
                <w:sz w:val="20"/>
                <w:szCs w:val="20"/>
              </w:rPr>
              <w:t>Notify Commercial Lenders / Bond Holders</w:t>
            </w:r>
          </w:p>
          <w:p w:rsidR="00392E8B" w:rsidRPr="00392E8B" w:rsidRDefault="00727D44" w:rsidP="00727D44">
            <w:pPr>
              <w:rPr>
                <w:sz w:val="18"/>
              </w:rPr>
            </w:pPr>
            <w:r w:rsidRPr="00727D44">
              <w:rPr>
                <w:b w:val="0"/>
                <w:sz w:val="18"/>
              </w:rPr>
              <w:t>Within 10 days after the final decision on the charter school closure and after all appeals have</w:t>
            </w:r>
            <w:r>
              <w:rPr>
                <w:b w:val="0"/>
                <w:sz w:val="18"/>
              </w:rPr>
              <w:t xml:space="preserve"> </w:t>
            </w:r>
            <w:r w:rsidRPr="00727D44">
              <w:rPr>
                <w:b w:val="0"/>
                <w:sz w:val="18"/>
              </w:rPr>
              <w:t>been exhausted, notify banks, bond holders, etc., of the school’s closure and a likely date as</w:t>
            </w:r>
            <w:r>
              <w:rPr>
                <w:b w:val="0"/>
                <w:sz w:val="18"/>
              </w:rPr>
              <w:t xml:space="preserve"> </w:t>
            </w:r>
            <w:r w:rsidRPr="00727D44">
              <w:rPr>
                <w:b w:val="0"/>
                <w:sz w:val="18"/>
              </w:rPr>
              <w:t>to when an event of default will occur as well as the projected date of the last payment by the</w:t>
            </w:r>
            <w:r>
              <w:rPr>
                <w:b w:val="0"/>
                <w:sz w:val="18"/>
              </w:rPr>
              <w:t xml:space="preserve"> </w:t>
            </w:r>
            <w:r w:rsidRPr="00727D44">
              <w:rPr>
                <w:b w:val="0"/>
                <w:sz w:val="18"/>
              </w:rPr>
              <w:t>school toward its debt.</w:t>
            </w:r>
          </w:p>
        </w:tc>
        <w:tc>
          <w:tcPr>
            <w:tcW w:w="990" w:type="dxa"/>
            <w:shd w:val="clear" w:color="auto" w:fill="F2F2F2" w:themeFill="background1" w:themeFillShade="F2"/>
          </w:tcPr>
          <w:p w:rsidR="00392E8B" w:rsidRDefault="00392E8B" w:rsidP="00FD5FE9">
            <w:pPr>
              <w:cnfStyle w:val="000000000000"/>
            </w:pPr>
          </w:p>
        </w:tc>
        <w:tc>
          <w:tcPr>
            <w:tcW w:w="1080" w:type="dxa"/>
            <w:shd w:val="clear" w:color="auto" w:fill="F2F2F2" w:themeFill="background1" w:themeFillShade="F2"/>
          </w:tcPr>
          <w:p w:rsidR="00392E8B" w:rsidRDefault="00392E8B" w:rsidP="00FD5FE9">
            <w:pPr>
              <w:cnfStyle w:val="000000000000"/>
            </w:pPr>
          </w:p>
        </w:tc>
        <w:tc>
          <w:tcPr>
            <w:tcW w:w="1098" w:type="dxa"/>
            <w:shd w:val="clear" w:color="auto" w:fill="F2F2F2" w:themeFill="background1" w:themeFillShade="F2"/>
          </w:tcPr>
          <w:p w:rsidR="00392E8B" w:rsidRDefault="00392E8B" w:rsidP="00FD5FE9">
            <w:pPr>
              <w:cnfStyle w:val="000000000000"/>
            </w:pPr>
          </w:p>
        </w:tc>
      </w:tr>
      <w:tr w:rsidR="00392E8B" w:rsidTr="00FD5FE9">
        <w:trPr>
          <w:cnfStyle w:val="000000100000"/>
        </w:trPr>
        <w:tc>
          <w:tcPr>
            <w:cnfStyle w:val="001000000000"/>
            <w:tcW w:w="7848" w:type="dxa"/>
          </w:tcPr>
          <w:p w:rsidR="00727D44" w:rsidRPr="0034350F" w:rsidRDefault="00727D44" w:rsidP="00727D44">
            <w:pPr>
              <w:tabs>
                <w:tab w:val="left" w:pos="1959"/>
              </w:tabs>
              <w:rPr>
                <w:sz w:val="20"/>
                <w:szCs w:val="20"/>
              </w:rPr>
            </w:pPr>
            <w:r w:rsidRPr="0034350F">
              <w:rPr>
                <w:sz w:val="20"/>
                <w:szCs w:val="20"/>
              </w:rPr>
              <w:t>Terminate EMO /CMO Agreement (if applicable)</w:t>
            </w:r>
          </w:p>
          <w:p w:rsidR="00727D44" w:rsidRPr="00727D44" w:rsidRDefault="00727D44" w:rsidP="00727D44">
            <w:pPr>
              <w:tabs>
                <w:tab w:val="left" w:pos="1959"/>
              </w:tabs>
              <w:rPr>
                <w:b w:val="0"/>
                <w:sz w:val="18"/>
              </w:rPr>
            </w:pPr>
            <w:r w:rsidRPr="00727D44">
              <w:rPr>
                <w:b w:val="0"/>
                <w:sz w:val="18"/>
              </w:rPr>
              <w:t>Review the management agreement and take steps needed to terminate the agreement at the</w:t>
            </w:r>
            <w:r>
              <w:rPr>
                <w:b w:val="0"/>
                <w:sz w:val="18"/>
              </w:rPr>
              <w:t xml:space="preserve"> </w:t>
            </w:r>
            <w:r w:rsidRPr="00727D44">
              <w:rPr>
                <w:b w:val="0"/>
                <w:sz w:val="18"/>
              </w:rPr>
              <w:t>end of the school year or when the charter contract expires.</w:t>
            </w:r>
          </w:p>
          <w:p w:rsidR="00727D44" w:rsidRPr="00727D44" w:rsidRDefault="00727D44" w:rsidP="00727D44">
            <w:pPr>
              <w:pStyle w:val="ListParagraph"/>
              <w:numPr>
                <w:ilvl w:val="0"/>
                <w:numId w:val="20"/>
              </w:numPr>
              <w:tabs>
                <w:tab w:val="left" w:pos="1959"/>
              </w:tabs>
              <w:rPr>
                <w:b w:val="0"/>
                <w:sz w:val="18"/>
              </w:rPr>
            </w:pPr>
            <w:r w:rsidRPr="00727D44">
              <w:rPr>
                <w:b w:val="0"/>
                <w:sz w:val="18"/>
              </w:rPr>
              <w:t>The management company should be asked for a final invoice and accounting, including an accounting of any retained school funds and the status of grant funds.</w:t>
            </w:r>
          </w:p>
          <w:p w:rsidR="00727D44" w:rsidRDefault="00727D44" w:rsidP="00727D44">
            <w:pPr>
              <w:pStyle w:val="ListParagraph"/>
              <w:numPr>
                <w:ilvl w:val="0"/>
                <w:numId w:val="20"/>
              </w:numPr>
              <w:tabs>
                <w:tab w:val="left" w:pos="1959"/>
              </w:tabs>
              <w:rPr>
                <w:b w:val="0"/>
                <w:sz w:val="18"/>
              </w:rPr>
            </w:pPr>
            <w:r w:rsidRPr="00727D44">
              <w:rPr>
                <w:b w:val="0"/>
                <w:sz w:val="18"/>
              </w:rPr>
              <w:t>The school and the management company should agree upon how the company will continue to provide educational services until the last day of instruction.</w:t>
            </w:r>
          </w:p>
          <w:p w:rsidR="00392E8B" w:rsidRPr="00727D44" w:rsidRDefault="00727D44" w:rsidP="00727D44">
            <w:pPr>
              <w:pStyle w:val="ListParagraph"/>
              <w:numPr>
                <w:ilvl w:val="0"/>
                <w:numId w:val="20"/>
              </w:numPr>
              <w:tabs>
                <w:tab w:val="left" w:pos="1959"/>
              </w:tabs>
              <w:rPr>
                <w:b w:val="0"/>
                <w:sz w:val="18"/>
              </w:rPr>
            </w:pPr>
            <w:r w:rsidRPr="00727D44">
              <w:rPr>
                <w:b w:val="0"/>
                <w:sz w:val="18"/>
              </w:rPr>
              <w:t>The school and the management company agree when other services including business services will end.</w:t>
            </w:r>
          </w:p>
        </w:tc>
        <w:tc>
          <w:tcPr>
            <w:tcW w:w="990" w:type="dxa"/>
          </w:tcPr>
          <w:p w:rsidR="00392E8B" w:rsidRDefault="00392E8B" w:rsidP="00FD5FE9">
            <w:pPr>
              <w:cnfStyle w:val="000000100000"/>
            </w:pPr>
          </w:p>
        </w:tc>
        <w:tc>
          <w:tcPr>
            <w:tcW w:w="1080" w:type="dxa"/>
          </w:tcPr>
          <w:p w:rsidR="00392E8B" w:rsidRDefault="00392E8B" w:rsidP="00FD5FE9">
            <w:pPr>
              <w:cnfStyle w:val="000000100000"/>
            </w:pPr>
          </w:p>
        </w:tc>
        <w:tc>
          <w:tcPr>
            <w:tcW w:w="1098" w:type="dxa"/>
          </w:tcPr>
          <w:p w:rsidR="00392E8B" w:rsidRDefault="00392E8B" w:rsidP="00FD5FE9">
            <w:pPr>
              <w:cnfStyle w:val="000000100000"/>
            </w:pPr>
          </w:p>
        </w:tc>
      </w:tr>
      <w:tr w:rsidR="00392E8B" w:rsidTr="00FD5FE9">
        <w:tc>
          <w:tcPr>
            <w:cnfStyle w:val="001000000000"/>
            <w:tcW w:w="7848" w:type="dxa"/>
            <w:shd w:val="clear" w:color="auto" w:fill="F2F2F2" w:themeFill="background1" w:themeFillShade="F2"/>
          </w:tcPr>
          <w:p w:rsidR="00727D44" w:rsidRPr="0034350F" w:rsidRDefault="00727D44" w:rsidP="00727D44">
            <w:pPr>
              <w:tabs>
                <w:tab w:val="left" w:pos="2813"/>
              </w:tabs>
              <w:rPr>
                <w:sz w:val="20"/>
                <w:szCs w:val="20"/>
              </w:rPr>
            </w:pPr>
            <w:r w:rsidRPr="0034350F">
              <w:rPr>
                <w:sz w:val="20"/>
                <w:szCs w:val="20"/>
              </w:rPr>
              <w:t>Protect School Assets</w:t>
            </w:r>
          </w:p>
          <w:p w:rsidR="00727D44" w:rsidRPr="00727D44" w:rsidRDefault="00727D44" w:rsidP="00727D44">
            <w:pPr>
              <w:tabs>
                <w:tab w:val="left" w:pos="2813"/>
              </w:tabs>
              <w:rPr>
                <w:b w:val="0"/>
                <w:sz w:val="18"/>
              </w:rPr>
            </w:pPr>
            <w:r w:rsidRPr="00727D44">
              <w:rPr>
                <w:b w:val="0"/>
                <w:sz w:val="18"/>
              </w:rPr>
              <w:t>Protect the school’s assets and any assets in the school that belong to others against theft,</w:t>
            </w:r>
            <w:r>
              <w:rPr>
                <w:b w:val="0"/>
                <w:sz w:val="18"/>
              </w:rPr>
              <w:t xml:space="preserve"> </w:t>
            </w:r>
            <w:r w:rsidRPr="00727D44">
              <w:rPr>
                <w:b w:val="0"/>
                <w:sz w:val="18"/>
              </w:rPr>
              <w:t>misappropriation and deterioration.</w:t>
            </w:r>
          </w:p>
          <w:p w:rsidR="00727D44" w:rsidRPr="00727D44" w:rsidRDefault="00727D44" w:rsidP="00727D44">
            <w:pPr>
              <w:pStyle w:val="ListParagraph"/>
              <w:numPr>
                <w:ilvl w:val="0"/>
                <w:numId w:val="22"/>
              </w:numPr>
              <w:tabs>
                <w:tab w:val="left" w:pos="2813"/>
              </w:tabs>
              <w:rPr>
                <w:b w:val="0"/>
                <w:sz w:val="18"/>
              </w:rPr>
            </w:pPr>
            <w:r w:rsidRPr="00727D44">
              <w:rPr>
                <w:b w:val="0"/>
                <w:sz w:val="18"/>
              </w:rPr>
              <w:t>Maintain existing insurance coverage on assets, including facility and vehicles, until the disposal of such assets in accordance with the closure plan.</w:t>
            </w:r>
          </w:p>
          <w:p w:rsidR="00727D44" w:rsidRDefault="00727D44" w:rsidP="00727D44">
            <w:pPr>
              <w:pStyle w:val="ListParagraph"/>
              <w:numPr>
                <w:ilvl w:val="0"/>
                <w:numId w:val="22"/>
              </w:numPr>
              <w:tabs>
                <w:tab w:val="left" w:pos="2813"/>
              </w:tabs>
              <w:rPr>
                <w:b w:val="0"/>
                <w:sz w:val="18"/>
              </w:rPr>
            </w:pPr>
            <w:r w:rsidRPr="00727D44">
              <w:rPr>
                <w:b w:val="0"/>
                <w:sz w:val="18"/>
              </w:rPr>
              <w:t>Negotiate school facility insurance with entities that may take possession of school facility – lenders, mortgagors, bond holders, etc.</w:t>
            </w:r>
          </w:p>
          <w:p w:rsidR="00392E8B" w:rsidRPr="00727D44" w:rsidRDefault="00727D44" w:rsidP="00727D44">
            <w:pPr>
              <w:pStyle w:val="ListParagraph"/>
              <w:numPr>
                <w:ilvl w:val="0"/>
                <w:numId w:val="22"/>
              </w:numPr>
              <w:tabs>
                <w:tab w:val="left" w:pos="2813"/>
              </w:tabs>
              <w:rPr>
                <w:b w:val="0"/>
                <w:sz w:val="18"/>
              </w:rPr>
            </w:pPr>
            <w:r w:rsidRPr="00727D44">
              <w:rPr>
                <w:b w:val="0"/>
                <w:sz w:val="18"/>
              </w:rPr>
              <w:t>Obtain or maintain appropriate security services. Action may include moving assets to secure storage after closure or loss of facility.</w:t>
            </w:r>
          </w:p>
        </w:tc>
        <w:tc>
          <w:tcPr>
            <w:tcW w:w="990" w:type="dxa"/>
            <w:shd w:val="clear" w:color="auto" w:fill="F2F2F2" w:themeFill="background1" w:themeFillShade="F2"/>
          </w:tcPr>
          <w:p w:rsidR="00392E8B" w:rsidRDefault="00392E8B" w:rsidP="00FD5FE9">
            <w:pPr>
              <w:cnfStyle w:val="000000000000"/>
            </w:pPr>
          </w:p>
        </w:tc>
        <w:tc>
          <w:tcPr>
            <w:tcW w:w="1080" w:type="dxa"/>
            <w:shd w:val="clear" w:color="auto" w:fill="F2F2F2" w:themeFill="background1" w:themeFillShade="F2"/>
          </w:tcPr>
          <w:p w:rsidR="00392E8B" w:rsidRDefault="00392E8B" w:rsidP="00FD5FE9">
            <w:pPr>
              <w:cnfStyle w:val="000000000000"/>
            </w:pPr>
          </w:p>
        </w:tc>
        <w:tc>
          <w:tcPr>
            <w:tcW w:w="1098" w:type="dxa"/>
            <w:shd w:val="clear" w:color="auto" w:fill="F2F2F2" w:themeFill="background1" w:themeFillShade="F2"/>
          </w:tcPr>
          <w:p w:rsidR="00392E8B" w:rsidRDefault="00392E8B" w:rsidP="00FD5FE9">
            <w:pPr>
              <w:cnfStyle w:val="000000000000"/>
            </w:pPr>
          </w:p>
        </w:tc>
      </w:tr>
      <w:tr w:rsidR="00392E8B" w:rsidTr="00FD5FE9">
        <w:trPr>
          <w:cnfStyle w:val="000000100000"/>
        </w:trPr>
        <w:tc>
          <w:tcPr>
            <w:cnfStyle w:val="001000000000"/>
            <w:tcW w:w="7848" w:type="dxa"/>
          </w:tcPr>
          <w:p w:rsidR="00727D44" w:rsidRPr="0034350F" w:rsidRDefault="00727D44" w:rsidP="00727D44">
            <w:pPr>
              <w:rPr>
                <w:sz w:val="20"/>
                <w:szCs w:val="20"/>
              </w:rPr>
            </w:pPr>
            <w:r w:rsidRPr="0034350F">
              <w:rPr>
                <w:sz w:val="20"/>
                <w:szCs w:val="20"/>
              </w:rPr>
              <w:t>Maintain Corporate Records</w:t>
            </w:r>
          </w:p>
          <w:p w:rsidR="00727D44" w:rsidRPr="00727D44" w:rsidRDefault="00727D44" w:rsidP="00727D44">
            <w:pPr>
              <w:rPr>
                <w:b w:val="0"/>
                <w:sz w:val="18"/>
              </w:rPr>
            </w:pPr>
            <w:r w:rsidRPr="00727D44">
              <w:rPr>
                <w:b w:val="0"/>
                <w:sz w:val="18"/>
              </w:rPr>
              <w:t>Maintain all corporate records related to:</w:t>
            </w:r>
          </w:p>
          <w:p w:rsidR="00727D44" w:rsidRPr="00727D44" w:rsidRDefault="00727D44" w:rsidP="00727D44">
            <w:pPr>
              <w:pStyle w:val="ListParagraph"/>
              <w:numPr>
                <w:ilvl w:val="0"/>
                <w:numId w:val="24"/>
              </w:numPr>
              <w:rPr>
                <w:b w:val="0"/>
                <w:sz w:val="18"/>
              </w:rPr>
            </w:pPr>
            <w:r w:rsidRPr="00727D44">
              <w:rPr>
                <w:b w:val="0"/>
                <w:sz w:val="18"/>
              </w:rPr>
              <w:t>Loans, bonds, mortgages and other financing.</w:t>
            </w:r>
          </w:p>
          <w:p w:rsidR="00727D44" w:rsidRPr="00727D44" w:rsidRDefault="00727D44" w:rsidP="00727D44">
            <w:pPr>
              <w:pStyle w:val="ListParagraph"/>
              <w:numPr>
                <w:ilvl w:val="0"/>
                <w:numId w:val="24"/>
              </w:numPr>
              <w:rPr>
                <w:b w:val="0"/>
                <w:sz w:val="18"/>
              </w:rPr>
            </w:pPr>
            <w:r w:rsidRPr="00727D44">
              <w:rPr>
                <w:b w:val="0"/>
                <w:sz w:val="18"/>
              </w:rPr>
              <w:t>Contracts.</w:t>
            </w:r>
          </w:p>
          <w:p w:rsidR="00727D44" w:rsidRPr="00727D44" w:rsidRDefault="00727D44" w:rsidP="00727D44">
            <w:pPr>
              <w:pStyle w:val="ListParagraph"/>
              <w:numPr>
                <w:ilvl w:val="0"/>
                <w:numId w:val="24"/>
              </w:numPr>
              <w:rPr>
                <w:b w:val="0"/>
                <w:sz w:val="18"/>
              </w:rPr>
            </w:pPr>
            <w:r w:rsidRPr="00727D44">
              <w:rPr>
                <w:b w:val="0"/>
                <w:sz w:val="18"/>
              </w:rPr>
              <w:t>Leases.</w:t>
            </w:r>
          </w:p>
          <w:p w:rsidR="00727D44" w:rsidRPr="00727D44" w:rsidRDefault="00727D44" w:rsidP="00727D44">
            <w:pPr>
              <w:pStyle w:val="ListParagraph"/>
              <w:numPr>
                <w:ilvl w:val="0"/>
                <w:numId w:val="24"/>
              </w:numPr>
              <w:rPr>
                <w:b w:val="0"/>
                <w:sz w:val="18"/>
              </w:rPr>
            </w:pPr>
            <w:r w:rsidRPr="00727D44">
              <w:rPr>
                <w:b w:val="0"/>
                <w:sz w:val="18"/>
              </w:rPr>
              <w:t>Assets and asset distribution.</w:t>
            </w:r>
          </w:p>
          <w:p w:rsidR="00727D44" w:rsidRPr="00727D44" w:rsidRDefault="00727D44" w:rsidP="00727D44">
            <w:pPr>
              <w:pStyle w:val="ListParagraph"/>
              <w:numPr>
                <w:ilvl w:val="0"/>
                <w:numId w:val="24"/>
              </w:numPr>
              <w:rPr>
                <w:b w:val="0"/>
                <w:sz w:val="18"/>
              </w:rPr>
            </w:pPr>
            <w:r w:rsidRPr="00727D44">
              <w:rPr>
                <w:b w:val="0"/>
                <w:sz w:val="18"/>
              </w:rPr>
              <w:t>Grants -- records relating to federal grants must be kept in accordance with 34 CFR 80.42.</w:t>
            </w:r>
          </w:p>
          <w:p w:rsidR="00727D44" w:rsidRPr="00727D44" w:rsidRDefault="00727D44" w:rsidP="00727D44">
            <w:pPr>
              <w:pStyle w:val="ListParagraph"/>
              <w:numPr>
                <w:ilvl w:val="0"/>
                <w:numId w:val="24"/>
              </w:numPr>
              <w:rPr>
                <w:b w:val="0"/>
                <w:sz w:val="18"/>
              </w:rPr>
            </w:pPr>
            <w:r w:rsidRPr="00727D44">
              <w:rPr>
                <w:b w:val="0"/>
                <w:sz w:val="18"/>
              </w:rPr>
              <w:t>Governance (minutes, bylaws, policies).</w:t>
            </w:r>
          </w:p>
          <w:p w:rsidR="00727D44" w:rsidRPr="00727D44" w:rsidRDefault="00727D44" w:rsidP="00727D44">
            <w:pPr>
              <w:pStyle w:val="ListParagraph"/>
              <w:numPr>
                <w:ilvl w:val="0"/>
                <w:numId w:val="24"/>
              </w:numPr>
              <w:rPr>
                <w:b w:val="0"/>
                <w:sz w:val="18"/>
              </w:rPr>
            </w:pPr>
            <w:r w:rsidRPr="00727D44">
              <w:rPr>
                <w:b w:val="0"/>
                <w:sz w:val="18"/>
              </w:rPr>
              <w:t>Employees (background checks, personnel files).</w:t>
            </w:r>
          </w:p>
          <w:p w:rsidR="00727D44" w:rsidRPr="00727D44" w:rsidRDefault="00727D44" w:rsidP="00727D44">
            <w:pPr>
              <w:pStyle w:val="ListParagraph"/>
              <w:numPr>
                <w:ilvl w:val="0"/>
                <w:numId w:val="24"/>
              </w:numPr>
              <w:rPr>
                <w:b w:val="0"/>
                <w:sz w:val="18"/>
              </w:rPr>
            </w:pPr>
            <w:r w:rsidRPr="00727D44">
              <w:rPr>
                <w:b w:val="0"/>
                <w:sz w:val="18"/>
              </w:rPr>
              <w:t>Accounting/audit, taxes and tax status, etc.</w:t>
            </w:r>
          </w:p>
          <w:p w:rsidR="00727D44" w:rsidRPr="00727D44" w:rsidRDefault="00727D44" w:rsidP="00727D44">
            <w:pPr>
              <w:pStyle w:val="ListParagraph"/>
              <w:numPr>
                <w:ilvl w:val="0"/>
                <w:numId w:val="24"/>
              </w:numPr>
              <w:rPr>
                <w:b w:val="0"/>
                <w:sz w:val="18"/>
              </w:rPr>
            </w:pPr>
            <w:r w:rsidRPr="00727D44">
              <w:rPr>
                <w:b w:val="0"/>
                <w:sz w:val="18"/>
              </w:rPr>
              <w:t>Personnel.</w:t>
            </w:r>
          </w:p>
          <w:p w:rsidR="00727D44" w:rsidRPr="00727D44" w:rsidRDefault="00727D44" w:rsidP="00727D44">
            <w:pPr>
              <w:pStyle w:val="ListParagraph"/>
              <w:numPr>
                <w:ilvl w:val="0"/>
                <w:numId w:val="24"/>
              </w:numPr>
              <w:rPr>
                <w:b w:val="0"/>
                <w:sz w:val="18"/>
              </w:rPr>
            </w:pPr>
            <w:proofErr w:type="gramStart"/>
            <w:r w:rsidRPr="00727D44">
              <w:rPr>
                <w:b w:val="0"/>
                <w:sz w:val="18"/>
              </w:rPr>
              <w:t>Employee benefit</w:t>
            </w:r>
            <w:proofErr w:type="gramEnd"/>
            <w:r w:rsidRPr="00727D44">
              <w:rPr>
                <w:b w:val="0"/>
                <w:sz w:val="18"/>
              </w:rPr>
              <w:t xml:space="preserve"> programs and benefits.</w:t>
            </w:r>
          </w:p>
          <w:p w:rsidR="00727D44" w:rsidRPr="00727D44" w:rsidRDefault="00727D44" w:rsidP="00727D44">
            <w:pPr>
              <w:pStyle w:val="ListParagraph"/>
              <w:numPr>
                <w:ilvl w:val="0"/>
                <w:numId w:val="24"/>
              </w:numPr>
              <w:rPr>
                <w:b w:val="0"/>
                <w:sz w:val="18"/>
              </w:rPr>
            </w:pPr>
            <w:r w:rsidRPr="00727D44">
              <w:rPr>
                <w:b w:val="0"/>
                <w:sz w:val="18"/>
              </w:rPr>
              <w:t>Any other items listed in the closure plan.</w:t>
            </w:r>
          </w:p>
          <w:p w:rsidR="00392E8B" w:rsidRPr="00392E8B" w:rsidRDefault="00727D44" w:rsidP="00727D44">
            <w:pPr>
              <w:rPr>
                <w:sz w:val="18"/>
              </w:rPr>
            </w:pPr>
            <w:r w:rsidRPr="00727D44">
              <w:rPr>
                <w:b w:val="0"/>
                <w:sz w:val="18"/>
              </w:rPr>
              <w:t>Determine where records will be stored after dissolution.</w:t>
            </w:r>
          </w:p>
        </w:tc>
        <w:tc>
          <w:tcPr>
            <w:tcW w:w="990" w:type="dxa"/>
          </w:tcPr>
          <w:p w:rsidR="00392E8B" w:rsidRDefault="00392E8B" w:rsidP="00FD5FE9">
            <w:pPr>
              <w:cnfStyle w:val="000000100000"/>
            </w:pPr>
          </w:p>
        </w:tc>
        <w:tc>
          <w:tcPr>
            <w:tcW w:w="1080" w:type="dxa"/>
          </w:tcPr>
          <w:p w:rsidR="00392E8B" w:rsidRDefault="00392E8B" w:rsidP="00FD5FE9">
            <w:pPr>
              <w:cnfStyle w:val="000000100000"/>
            </w:pPr>
          </w:p>
        </w:tc>
        <w:tc>
          <w:tcPr>
            <w:tcW w:w="1098" w:type="dxa"/>
          </w:tcPr>
          <w:p w:rsidR="00392E8B" w:rsidRDefault="00392E8B" w:rsidP="00FD5FE9">
            <w:pPr>
              <w:cnfStyle w:val="000000100000"/>
            </w:pPr>
          </w:p>
        </w:tc>
      </w:tr>
    </w:tbl>
    <w:p w:rsidR="0034350F" w:rsidRDefault="0034350F" w:rsidP="00CE7505">
      <w:r>
        <w:br w:type="page"/>
      </w:r>
    </w:p>
    <w:p w:rsidR="00392E8B" w:rsidRPr="0034350F" w:rsidRDefault="0034350F" w:rsidP="00CE7505">
      <w:pPr>
        <w:rPr>
          <w:sz w:val="32"/>
          <w:szCs w:val="32"/>
        </w:rPr>
      </w:pPr>
      <w:r w:rsidRPr="0034350F">
        <w:rPr>
          <w:sz w:val="32"/>
          <w:szCs w:val="32"/>
        </w:rPr>
        <w:lastRenderedPageBreak/>
        <w:t>Finalize School Affairs: Governance and Operations (continued)</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1318"/>
        <w:gridCol w:w="1280"/>
        <w:gridCol w:w="1074"/>
      </w:tblGrid>
      <w:tr w:rsidR="0034350F" w:rsidTr="0084663C">
        <w:trPr>
          <w:cnfStyle w:val="100000000000"/>
        </w:trPr>
        <w:tc>
          <w:tcPr>
            <w:cnfStyle w:val="001000000000"/>
            <w:tcW w:w="7344" w:type="dxa"/>
            <w:shd w:val="clear" w:color="auto" w:fill="C00000"/>
          </w:tcPr>
          <w:p w:rsidR="0034350F" w:rsidRDefault="0034350F" w:rsidP="00FD5FE9">
            <w:pPr>
              <w:jc w:val="center"/>
            </w:pPr>
            <w:r>
              <w:t>Desc</w:t>
            </w:r>
            <w:r w:rsidRPr="006A0B47">
              <w:t>ription of Required Actions</w:t>
            </w:r>
          </w:p>
        </w:tc>
        <w:tc>
          <w:tcPr>
            <w:tcW w:w="1318" w:type="dxa"/>
            <w:shd w:val="clear" w:color="auto" w:fill="C00000"/>
          </w:tcPr>
          <w:p w:rsidR="0034350F" w:rsidRDefault="0034350F" w:rsidP="00FD5FE9">
            <w:pPr>
              <w:jc w:val="center"/>
              <w:cnfStyle w:val="100000000000"/>
            </w:pPr>
            <w:r>
              <w:t>Responsible</w:t>
            </w:r>
            <w:r>
              <w:br/>
              <w:t>Party</w:t>
            </w:r>
          </w:p>
        </w:tc>
        <w:tc>
          <w:tcPr>
            <w:tcW w:w="1280" w:type="dxa"/>
            <w:shd w:val="clear" w:color="auto" w:fill="C00000"/>
          </w:tcPr>
          <w:p w:rsidR="0034350F" w:rsidRDefault="0034350F" w:rsidP="00FD5FE9">
            <w:pPr>
              <w:jc w:val="center"/>
              <w:cnfStyle w:val="100000000000"/>
            </w:pPr>
            <w:r>
              <w:t>Completion</w:t>
            </w:r>
            <w:r>
              <w:br/>
              <w:t>Date</w:t>
            </w:r>
          </w:p>
        </w:tc>
        <w:tc>
          <w:tcPr>
            <w:tcW w:w="1074" w:type="dxa"/>
            <w:shd w:val="clear" w:color="auto" w:fill="C00000"/>
          </w:tcPr>
          <w:p w:rsidR="0034350F" w:rsidRDefault="0034350F" w:rsidP="00FD5FE9">
            <w:pPr>
              <w:jc w:val="center"/>
              <w:cnfStyle w:val="100000000000"/>
            </w:pPr>
            <w:r w:rsidRPr="006A0B47">
              <w:t>Status</w:t>
            </w:r>
          </w:p>
        </w:tc>
      </w:tr>
      <w:tr w:rsidR="0034350F" w:rsidTr="0034350F">
        <w:trPr>
          <w:cnfStyle w:val="000000100000"/>
        </w:trPr>
        <w:tc>
          <w:tcPr>
            <w:cnfStyle w:val="001000000000"/>
            <w:tcW w:w="7344" w:type="dxa"/>
            <w:shd w:val="clear" w:color="auto" w:fill="F2F2F2" w:themeFill="background1" w:themeFillShade="F2"/>
          </w:tcPr>
          <w:p w:rsidR="0034350F" w:rsidRPr="0034350F" w:rsidRDefault="0034350F" w:rsidP="0034350F">
            <w:pPr>
              <w:rPr>
                <w:sz w:val="20"/>
                <w:szCs w:val="20"/>
              </w:rPr>
            </w:pPr>
            <w:r w:rsidRPr="0034350F">
              <w:rPr>
                <w:sz w:val="20"/>
                <w:szCs w:val="20"/>
              </w:rPr>
              <w:t>Notify Employees and Benefit Providers</w:t>
            </w:r>
          </w:p>
          <w:p w:rsidR="0034350F" w:rsidRPr="0034350F" w:rsidRDefault="0034350F" w:rsidP="0034350F">
            <w:pPr>
              <w:rPr>
                <w:b w:val="0"/>
                <w:sz w:val="18"/>
              </w:rPr>
            </w:pPr>
            <w:r w:rsidRPr="0034350F">
              <w:rPr>
                <w:b w:val="0"/>
                <w:sz w:val="18"/>
              </w:rPr>
              <w:t>Formally notify all employees of termination of employment at least 60 days before closure to</w:t>
            </w:r>
            <w:r>
              <w:rPr>
                <w:b w:val="0"/>
                <w:sz w:val="18"/>
              </w:rPr>
              <w:t xml:space="preserve"> </w:t>
            </w:r>
            <w:r w:rsidRPr="0034350F">
              <w:rPr>
                <w:b w:val="0"/>
                <w:sz w:val="18"/>
              </w:rPr>
              <w:t>include date of termination of all benefits in accordance with applicable law and regulations (i.e.</w:t>
            </w:r>
            <w:r>
              <w:rPr>
                <w:b w:val="0"/>
                <w:sz w:val="18"/>
              </w:rPr>
              <w:t xml:space="preserve"> </w:t>
            </w:r>
            <w:r w:rsidRPr="0034350F">
              <w:rPr>
                <w:b w:val="0"/>
                <w:sz w:val="18"/>
              </w:rPr>
              <w:t>COBRA) and eligibility for Colorado Unemployment Insurance pursuant to any regulations of the</w:t>
            </w:r>
            <w:r>
              <w:rPr>
                <w:b w:val="0"/>
                <w:sz w:val="18"/>
              </w:rPr>
              <w:t xml:space="preserve"> </w:t>
            </w:r>
            <w:r w:rsidRPr="0034350F">
              <w:rPr>
                <w:b w:val="0"/>
                <w:sz w:val="18"/>
              </w:rPr>
              <w:t>Colorado Department of Labor. Notify benefit providers of pending termination of all employees,</w:t>
            </w:r>
            <w:r>
              <w:rPr>
                <w:b w:val="0"/>
                <w:sz w:val="18"/>
              </w:rPr>
              <w:t xml:space="preserve"> </w:t>
            </w:r>
            <w:r w:rsidRPr="0034350F">
              <w:rPr>
                <w:b w:val="0"/>
                <w:sz w:val="18"/>
              </w:rPr>
              <w:t>to include:</w:t>
            </w:r>
          </w:p>
          <w:p w:rsidR="0034350F" w:rsidRPr="0034350F" w:rsidRDefault="0034350F" w:rsidP="0034350F">
            <w:pPr>
              <w:pStyle w:val="ListParagraph"/>
              <w:numPr>
                <w:ilvl w:val="0"/>
                <w:numId w:val="32"/>
              </w:numPr>
              <w:rPr>
                <w:b w:val="0"/>
                <w:sz w:val="18"/>
              </w:rPr>
            </w:pPr>
            <w:r w:rsidRPr="0034350F">
              <w:rPr>
                <w:b w:val="0"/>
                <w:sz w:val="18"/>
              </w:rPr>
              <w:t>Medical, dental, vision plans.</w:t>
            </w:r>
          </w:p>
          <w:p w:rsidR="0034350F" w:rsidRPr="0034350F" w:rsidRDefault="0034350F" w:rsidP="0034350F">
            <w:pPr>
              <w:pStyle w:val="ListParagraph"/>
              <w:numPr>
                <w:ilvl w:val="0"/>
                <w:numId w:val="32"/>
              </w:numPr>
              <w:rPr>
                <w:b w:val="0"/>
                <w:sz w:val="18"/>
              </w:rPr>
            </w:pPr>
            <w:r w:rsidRPr="0034350F">
              <w:rPr>
                <w:b w:val="0"/>
                <w:sz w:val="18"/>
              </w:rPr>
              <w:t>Life insurance.</w:t>
            </w:r>
          </w:p>
          <w:p w:rsidR="0034350F" w:rsidRPr="0034350F" w:rsidRDefault="0034350F" w:rsidP="0034350F">
            <w:pPr>
              <w:pStyle w:val="ListParagraph"/>
              <w:numPr>
                <w:ilvl w:val="0"/>
                <w:numId w:val="32"/>
              </w:numPr>
              <w:rPr>
                <w:b w:val="0"/>
                <w:sz w:val="18"/>
              </w:rPr>
            </w:pPr>
            <w:r w:rsidRPr="0034350F">
              <w:rPr>
                <w:b w:val="0"/>
                <w:sz w:val="18"/>
              </w:rPr>
              <w:t>Cafeteria plans.</w:t>
            </w:r>
          </w:p>
          <w:p w:rsidR="0034350F" w:rsidRPr="0034350F" w:rsidRDefault="0034350F" w:rsidP="0034350F">
            <w:pPr>
              <w:pStyle w:val="ListParagraph"/>
              <w:numPr>
                <w:ilvl w:val="0"/>
                <w:numId w:val="32"/>
              </w:numPr>
              <w:rPr>
                <w:b w:val="0"/>
                <w:sz w:val="18"/>
              </w:rPr>
            </w:pPr>
            <w:r w:rsidRPr="0034350F">
              <w:rPr>
                <w:b w:val="0"/>
                <w:sz w:val="18"/>
              </w:rPr>
              <w:t>403(b), retirement plans.</w:t>
            </w:r>
          </w:p>
          <w:p w:rsidR="0034350F" w:rsidRPr="0034350F" w:rsidRDefault="0034350F" w:rsidP="0034350F">
            <w:pPr>
              <w:pStyle w:val="ListParagraph"/>
              <w:numPr>
                <w:ilvl w:val="0"/>
                <w:numId w:val="32"/>
              </w:numPr>
              <w:rPr>
                <w:b w:val="0"/>
                <w:sz w:val="18"/>
              </w:rPr>
            </w:pPr>
            <w:r w:rsidRPr="0034350F">
              <w:rPr>
                <w:b w:val="0"/>
                <w:sz w:val="18"/>
              </w:rPr>
              <w:t>PERA.</w:t>
            </w:r>
          </w:p>
          <w:p w:rsidR="0034350F" w:rsidRPr="0034350F" w:rsidRDefault="0034350F" w:rsidP="0034350F">
            <w:pPr>
              <w:rPr>
                <w:b w:val="0"/>
                <w:sz w:val="18"/>
              </w:rPr>
            </w:pPr>
            <w:r w:rsidRPr="0034350F">
              <w:rPr>
                <w:b w:val="0"/>
                <w:sz w:val="18"/>
              </w:rPr>
              <w:t>Consult legal counsel as specific rules and regulations may apply to such programs.</w:t>
            </w:r>
          </w:p>
        </w:tc>
        <w:tc>
          <w:tcPr>
            <w:tcW w:w="1318" w:type="dxa"/>
            <w:shd w:val="clear" w:color="auto" w:fill="F2F2F2" w:themeFill="background1" w:themeFillShade="F2"/>
          </w:tcPr>
          <w:p w:rsidR="0034350F" w:rsidRDefault="0034350F" w:rsidP="00FD5FE9">
            <w:pPr>
              <w:cnfStyle w:val="000000100000"/>
            </w:pPr>
          </w:p>
        </w:tc>
        <w:tc>
          <w:tcPr>
            <w:tcW w:w="1280" w:type="dxa"/>
            <w:shd w:val="clear" w:color="auto" w:fill="F2F2F2" w:themeFill="background1" w:themeFillShade="F2"/>
          </w:tcPr>
          <w:p w:rsidR="0034350F" w:rsidRDefault="0034350F" w:rsidP="00FD5FE9">
            <w:pPr>
              <w:cnfStyle w:val="000000100000"/>
            </w:pPr>
          </w:p>
        </w:tc>
        <w:tc>
          <w:tcPr>
            <w:tcW w:w="1074" w:type="dxa"/>
            <w:shd w:val="clear" w:color="auto" w:fill="F2F2F2" w:themeFill="background1" w:themeFillShade="F2"/>
          </w:tcPr>
          <w:p w:rsidR="0034350F" w:rsidRDefault="0034350F" w:rsidP="00FD5FE9">
            <w:pPr>
              <w:cnfStyle w:val="000000100000"/>
            </w:pPr>
          </w:p>
        </w:tc>
      </w:tr>
      <w:tr w:rsidR="0034350F" w:rsidTr="0034350F">
        <w:tc>
          <w:tcPr>
            <w:cnfStyle w:val="001000000000"/>
            <w:tcW w:w="7344" w:type="dxa"/>
          </w:tcPr>
          <w:p w:rsidR="0034350F" w:rsidRPr="0034350F" w:rsidRDefault="0034350F" w:rsidP="0034350F">
            <w:pPr>
              <w:tabs>
                <w:tab w:val="left" w:pos="2076"/>
              </w:tabs>
              <w:rPr>
                <w:sz w:val="20"/>
                <w:szCs w:val="20"/>
              </w:rPr>
            </w:pPr>
            <w:r w:rsidRPr="0034350F">
              <w:rPr>
                <w:sz w:val="20"/>
                <w:szCs w:val="20"/>
              </w:rPr>
              <w:t>Notify Contractors and Terminate Contracts</w:t>
            </w:r>
          </w:p>
          <w:p w:rsidR="0034350F" w:rsidRPr="0034350F" w:rsidRDefault="0034350F" w:rsidP="0034350F">
            <w:pPr>
              <w:pStyle w:val="ListParagraph"/>
              <w:numPr>
                <w:ilvl w:val="0"/>
                <w:numId w:val="30"/>
              </w:numPr>
              <w:tabs>
                <w:tab w:val="left" w:pos="2076"/>
              </w:tabs>
              <w:ind w:left="360"/>
              <w:rPr>
                <w:b w:val="0"/>
                <w:sz w:val="18"/>
              </w:rPr>
            </w:pPr>
            <w:r w:rsidRPr="0034350F">
              <w:rPr>
                <w:b w:val="0"/>
                <w:sz w:val="18"/>
              </w:rPr>
              <w:t>Notify all contractors of school closure.</w:t>
            </w:r>
          </w:p>
          <w:p w:rsidR="0034350F" w:rsidRDefault="0034350F" w:rsidP="0034350F">
            <w:pPr>
              <w:pStyle w:val="ListParagraph"/>
              <w:numPr>
                <w:ilvl w:val="0"/>
                <w:numId w:val="30"/>
              </w:numPr>
              <w:tabs>
                <w:tab w:val="left" w:pos="2076"/>
              </w:tabs>
              <w:ind w:left="360"/>
              <w:rPr>
                <w:b w:val="0"/>
                <w:sz w:val="18"/>
              </w:rPr>
            </w:pPr>
            <w:r w:rsidRPr="0034350F">
              <w:rPr>
                <w:b w:val="0"/>
                <w:sz w:val="18"/>
              </w:rPr>
              <w:t>Retain records of past contracts and payments.</w:t>
            </w:r>
          </w:p>
          <w:p w:rsidR="0034350F" w:rsidRPr="0034350F" w:rsidRDefault="0034350F" w:rsidP="0034350F">
            <w:pPr>
              <w:pStyle w:val="ListParagraph"/>
              <w:numPr>
                <w:ilvl w:val="0"/>
                <w:numId w:val="30"/>
              </w:numPr>
              <w:tabs>
                <w:tab w:val="left" w:pos="2076"/>
              </w:tabs>
              <w:ind w:left="360"/>
              <w:rPr>
                <w:b w:val="0"/>
                <w:sz w:val="18"/>
              </w:rPr>
            </w:pPr>
            <w:r w:rsidRPr="0034350F">
              <w:rPr>
                <w:b w:val="0"/>
                <w:sz w:val="18"/>
              </w:rPr>
              <w:t>Terminate contracts for goods and services as of the last date such goods or services will be needed.</w:t>
            </w:r>
          </w:p>
        </w:tc>
        <w:tc>
          <w:tcPr>
            <w:tcW w:w="1318" w:type="dxa"/>
          </w:tcPr>
          <w:p w:rsidR="0034350F" w:rsidRDefault="0034350F" w:rsidP="00FD5FE9">
            <w:pPr>
              <w:cnfStyle w:val="000000000000"/>
            </w:pPr>
          </w:p>
        </w:tc>
        <w:tc>
          <w:tcPr>
            <w:tcW w:w="1280" w:type="dxa"/>
          </w:tcPr>
          <w:p w:rsidR="0034350F" w:rsidRDefault="0034350F" w:rsidP="00FD5FE9">
            <w:pPr>
              <w:cnfStyle w:val="000000000000"/>
            </w:pPr>
          </w:p>
        </w:tc>
        <w:tc>
          <w:tcPr>
            <w:tcW w:w="1074" w:type="dxa"/>
          </w:tcPr>
          <w:p w:rsidR="0034350F" w:rsidRDefault="0034350F" w:rsidP="00FD5FE9">
            <w:pPr>
              <w:cnfStyle w:val="000000000000"/>
            </w:pPr>
          </w:p>
        </w:tc>
      </w:tr>
      <w:tr w:rsidR="0034350F" w:rsidTr="0034350F">
        <w:trPr>
          <w:cnfStyle w:val="000000100000"/>
        </w:trPr>
        <w:tc>
          <w:tcPr>
            <w:cnfStyle w:val="001000000000"/>
            <w:tcW w:w="7344" w:type="dxa"/>
            <w:shd w:val="clear" w:color="auto" w:fill="F2F2F2" w:themeFill="background1" w:themeFillShade="F2"/>
          </w:tcPr>
          <w:p w:rsidR="0034350F" w:rsidRPr="0034350F" w:rsidRDefault="0034350F" w:rsidP="0034350F">
            <w:pPr>
              <w:tabs>
                <w:tab w:val="left" w:pos="2813"/>
              </w:tabs>
              <w:rPr>
                <w:sz w:val="20"/>
                <w:szCs w:val="20"/>
              </w:rPr>
            </w:pPr>
            <w:r w:rsidRPr="0034350F">
              <w:rPr>
                <w:sz w:val="20"/>
                <w:szCs w:val="20"/>
              </w:rPr>
              <w:t>Transfer Student Records and Testing Material</w:t>
            </w:r>
          </w:p>
          <w:p w:rsidR="0034350F" w:rsidRPr="0034350F" w:rsidRDefault="0034350F" w:rsidP="0034350F">
            <w:pPr>
              <w:tabs>
                <w:tab w:val="left" w:pos="2813"/>
              </w:tabs>
              <w:rPr>
                <w:b w:val="0"/>
                <w:sz w:val="18"/>
              </w:rPr>
            </w:pPr>
            <w:r w:rsidRPr="0034350F">
              <w:rPr>
                <w:b w:val="0"/>
                <w:sz w:val="18"/>
              </w:rPr>
              <w:t>Send student records, including final grades and evaluations, to the authorizer, including:</w:t>
            </w:r>
          </w:p>
          <w:p w:rsidR="0034350F" w:rsidRPr="0034350F" w:rsidRDefault="0034350F" w:rsidP="0034350F">
            <w:pPr>
              <w:pStyle w:val="ListParagraph"/>
              <w:numPr>
                <w:ilvl w:val="0"/>
                <w:numId w:val="26"/>
              </w:numPr>
              <w:tabs>
                <w:tab w:val="left" w:pos="2813"/>
              </w:tabs>
              <w:rPr>
                <w:b w:val="0"/>
                <w:sz w:val="18"/>
              </w:rPr>
            </w:pPr>
            <w:r w:rsidRPr="0034350F">
              <w:rPr>
                <w:b w:val="0"/>
                <w:sz w:val="18"/>
              </w:rPr>
              <w:t>Individual Education Programs (IEPs) and all records regarding special education and supplemental services.</w:t>
            </w:r>
          </w:p>
          <w:p w:rsidR="0034350F" w:rsidRPr="0034350F" w:rsidRDefault="0034350F" w:rsidP="0034350F">
            <w:pPr>
              <w:pStyle w:val="ListParagraph"/>
              <w:numPr>
                <w:ilvl w:val="0"/>
                <w:numId w:val="26"/>
              </w:numPr>
              <w:tabs>
                <w:tab w:val="left" w:pos="2813"/>
              </w:tabs>
              <w:rPr>
                <w:b w:val="0"/>
                <w:sz w:val="18"/>
              </w:rPr>
            </w:pPr>
            <w:r w:rsidRPr="0034350F">
              <w:rPr>
                <w:b w:val="0"/>
                <w:sz w:val="18"/>
              </w:rPr>
              <w:t>Student health / immunization records.</w:t>
            </w:r>
          </w:p>
          <w:p w:rsidR="0034350F" w:rsidRPr="0034350F" w:rsidRDefault="0034350F" w:rsidP="0034350F">
            <w:pPr>
              <w:pStyle w:val="ListParagraph"/>
              <w:numPr>
                <w:ilvl w:val="0"/>
                <w:numId w:val="26"/>
              </w:numPr>
              <w:tabs>
                <w:tab w:val="left" w:pos="2813"/>
              </w:tabs>
              <w:rPr>
                <w:b w:val="0"/>
                <w:sz w:val="18"/>
              </w:rPr>
            </w:pPr>
            <w:r w:rsidRPr="0034350F">
              <w:rPr>
                <w:b w:val="0"/>
                <w:sz w:val="18"/>
              </w:rPr>
              <w:t>Attendance record.</w:t>
            </w:r>
          </w:p>
          <w:p w:rsidR="0034350F" w:rsidRPr="0034350F" w:rsidRDefault="0034350F" w:rsidP="0034350F">
            <w:pPr>
              <w:pStyle w:val="ListParagraph"/>
              <w:numPr>
                <w:ilvl w:val="0"/>
                <w:numId w:val="26"/>
              </w:numPr>
              <w:tabs>
                <w:tab w:val="left" w:pos="2813"/>
              </w:tabs>
              <w:rPr>
                <w:b w:val="0"/>
                <w:sz w:val="18"/>
              </w:rPr>
            </w:pPr>
            <w:r w:rsidRPr="0034350F">
              <w:rPr>
                <w:b w:val="0"/>
                <w:sz w:val="18"/>
              </w:rPr>
              <w:t>Any testing materials required to be maintained by the school.</w:t>
            </w:r>
          </w:p>
          <w:p w:rsidR="0034350F" w:rsidRPr="0034350F" w:rsidRDefault="0034350F" w:rsidP="0034350F">
            <w:pPr>
              <w:pStyle w:val="ListParagraph"/>
              <w:numPr>
                <w:ilvl w:val="0"/>
                <w:numId w:val="26"/>
              </w:numPr>
              <w:tabs>
                <w:tab w:val="left" w:pos="2813"/>
              </w:tabs>
              <w:rPr>
                <w:b w:val="0"/>
                <w:sz w:val="18"/>
              </w:rPr>
            </w:pPr>
            <w:r w:rsidRPr="0034350F">
              <w:rPr>
                <w:b w:val="0"/>
                <w:sz w:val="18"/>
              </w:rPr>
              <w:t>Student transcripts and report cards.</w:t>
            </w:r>
          </w:p>
          <w:p w:rsidR="0034350F" w:rsidRPr="0034350F" w:rsidRDefault="0034350F" w:rsidP="0034350F">
            <w:pPr>
              <w:pStyle w:val="ListParagraph"/>
              <w:numPr>
                <w:ilvl w:val="0"/>
                <w:numId w:val="26"/>
              </w:numPr>
              <w:tabs>
                <w:tab w:val="left" w:pos="2813"/>
              </w:tabs>
              <w:rPr>
                <w:b w:val="0"/>
                <w:sz w:val="18"/>
              </w:rPr>
            </w:pPr>
            <w:r w:rsidRPr="0034350F">
              <w:rPr>
                <w:b w:val="0"/>
                <w:sz w:val="18"/>
              </w:rPr>
              <w:t>All other student records.</w:t>
            </w:r>
          </w:p>
          <w:p w:rsidR="0034350F" w:rsidRPr="0034350F" w:rsidRDefault="0034350F" w:rsidP="0034350F">
            <w:pPr>
              <w:tabs>
                <w:tab w:val="left" w:pos="2813"/>
              </w:tabs>
              <w:rPr>
                <w:b w:val="0"/>
                <w:sz w:val="18"/>
              </w:rPr>
            </w:pPr>
            <w:r w:rsidRPr="0034350F">
              <w:rPr>
                <w:b w:val="0"/>
                <w:sz w:val="18"/>
              </w:rPr>
              <w:t>Document the transfer of records to include:</w:t>
            </w:r>
          </w:p>
          <w:p w:rsidR="0034350F" w:rsidRPr="0034350F" w:rsidRDefault="0034350F" w:rsidP="0034350F">
            <w:pPr>
              <w:pStyle w:val="ListParagraph"/>
              <w:numPr>
                <w:ilvl w:val="0"/>
                <w:numId w:val="28"/>
              </w:numPr>
              <w:tabs>
                <w:tab w:val="left" w:pos="2813"/>
              </w:tabs>
              <w:ind w:left="360"/>
              <w:rPr>
                <w:b w:val="0"/>
                <w:sz w:val="18"/>
              </w:rPr>
            </w:pPr>
            <w:r w:rsidRPr="0034350F">
              <w:rPr>
                <w:b w:val="0"/>
                <w:sz w:val="18"/>
              </w:rPr>
              <w:t>The number of general and special education records transferred.</w:t>
            </w:r>
          </w:p>
          <w:p w:rsidR="0034350F" w:rsidRPr="0034350F" w:rsidRDefault="0034350F" w:rsidP="0034350F">
            <w:pPr>
              <w:pStyle w:val="ListParagraph"/>
              <w:numPr>
                <w:ilvl w:val="0"/>
                <w:numId w:val="28"/>
              </w:numPr>
              <w:tabs>
                <w:tab w:val="left" w:pos="2813"/>
              </w:tabs>
              <w:ind w:left="360"/>
              <w:rPr>
                <w:b w:val="0"/>
                <w:sz w:val="18"/>
              </w:rPr>
            </w:pPr>
            <w:r w:rsidRPr="0034350F">
              <w:rPr>
                <w:b w:val="0"/>
                <w:sz w:val="18"/>
              </w:rPr>
              <w:t>Date of transfer.</w:t>
            </w:r>
          </w:p>
          <w:p w:rsidR="0034350F" w:rsidRDefault="0034350F" w:rsidP="0034350F">
            <w:pPr>
              <w:pStyle w:val="ListParagraph"/>
              <w:numPr>
                <w:ilvl w:val="0"/>
                <w:numId w:val="28"/>
              </w:numPr>
              <w:tabs>
                <w:tab w:val="left" w:pos="2813"/>
              </w:tabs>
              <w:ind w:left="360"/>
              <w:rPr>
                <w:b w:val="0"/>
                <w:sz w:val="18"/>
              </w:rPr>
            </w:pPr>
            <w:r w:rsidRPr="0034350F">
              <w:rPr>
                <w:b w:val="0"/>
                <w:sz w:val="18"/>
              </w:rPr>
              <w:t>Signature and printed name of the charter school representative releasing the records.</w:t>
            </w:r>
          </w:p>
          <w:p w:rsidR="0034350F" w:rsidRPr="0034350F" w:rsidRDefault="0034350F" w:rsidP="0034350F">
            <w:pPr>
              <w:pStyle w:val="ListParagraph"/>
              <w:numPr>
                <w:ilvl w:val="0"/>
                <w:numId w:val="28"/>
              </w:numPr>
              <w:tabs>
                <w:tab w:val="left" w:pos="2813"/>
              </w:tabs>
              <w:ind w:left="360"/>
              <w:rPr>
                <w:b w:val="0"/>
                <w:sz w:val="18"/>
              </w:rPr>
            </w:pPr>
            <w:r w:rsidRPr="0034350F">
              <w:rPr>
                <w:b w:val="0"/>
                <w:sz w:val="18"/>
              </w:rPr>
              <w:t>Signature and printed name of the authorizer’s representative who receives the records.</w:t>
            </w:r>
          </w:p>
        </w:tc>
        <w:tc>
          <w:tcPr>
            <w:tcW w:w="1318" w:type="dxa"/>
            <w:shd w:val="clear" w:color="auto" w:fill="F2F2F2" w:themeFill="background1" w:themeFillShade="F2"/>
          </w:tcPr>
          <w:p w:rsidR="0034350F" w:rsidRDefault="0034350F" w:rsidP="00FD5FE9">
            <w:pPr>
              <w:cnfStyle w:val="000000100000"/>
            </w:pPr>
          </w:p>
        </w:tc>
        <w:tc>
          <w:tcPr>
            <w:tcW w:w="1280" w:type="dxa"/>
            <w:shd w:val="clear" w:color="auto" w:fill="F2F2F2" w:themeFill="background1" w:themeFillShade="F2"/>
          </w:tcPr>
          <w:p w:rsidR="0034350F" w:rsidRDefault="0034350F" w:rsidP="00FD5FE9">
            <w:pPr>
              <w:cnfStyle w:val="000000100000"/>
            </w:pPr>
          </w:p>
        </w:tc>
        <w:tc>
          <w:tcPr>
            <w:tcW w:w="1074" w:type="dxa"/>
            <w:shd w:val="clear" w:color="auto" w:fill="F2F2F2" w:themeFill="background1" w:themeFillShade="F2"/>
          </w:tcPr>
          <w:p w:rsidR="0034350F" w:rsidRDefault="0034350F" w:rsidP="00FD5FE9">
            <w:pPr>
              <w:cnfStyle w:val="000000100000"/>
            </w:pPr>
          </w:p>
        </w:tc>
      </w:tr>
      <w:tr w:rsidR="0034350F" w:rsidTr="0034350F">
        <w:tc>
          <w:tcPr>
            <w:cnfStyle w:val="001000000000"/>
            <w:tcW w:w="7344" w:type="dxa"/>
          </w:tcPr>
          <w:p w:rsidR="0034350F" w:rsidRPr="0034350F" w:rsidRDefault="0034350F" w:rsidP="0034350F">
            <w:pPr>
              <w:rPr>
                <w:sz w:val="20"/>
                <w:szCs w:val="20"/>
              </w:rPr>
            </w:pPr>
            <w:r w:rsidRPr="0034350F">
              <w:rPr>
                <w:sz w:val="20"/>
                <w:szCs w:val="20"/>
              </w:rPr>
              <w:t>Inventory assets</w:t>
            </w:r>
          </w:p>
          <w:p w:rsidR="0034350F" w:rsidRPr="0034350F" w:rsidRDefault="0034350F" w:rsidP="0034350F">
            <w:pPr>
              <w:rPr>
                <w:b w:val="0"/>
                <w:sz w:val="18"/>
              </w:rPr>
            </w:pPr>
            <w:r w:rsidRPr="0034350F">
              <w:rPr>
                <w:b w:val="0"/>
                <w:sz w:val="18"/>
              </w:rPr>
              <w:t>Inventory school assets, and identify items:</w:t>
            </w:r>
          </w:p>
          <w:p w:rsidR="0034350F" w:rsidRPr="0034350F" w:rsidRDefault="0034350F" w:rsidP="0034350F">
            <w:pPr>
              <w:pStyle w:val="ListParagraph"/>
              <w:numPr>
                <w:ilvl w:val="0"/>
                <w:numId w:val="34"/>
              </w:numPr>
              <w:rPr>
                <w:b w:val="0"/>
                <w:sz w:val="18"/>
              </w:rPr>
            </w:pPr>
            <w:r w:rsidRPr="0034350F">
              <w:rPr>
                <w:b w:val="0"/>
                <w:sz w:val="18"/>
              </w:rPr>
              <w:t>Loaned from other entities.</w:t>
            </w:r>
          </w:p>
          <w:p w:rsidR="0034350F" w:rsidRPr="0034350F" w:rsidRDefault="0034350F" w:rsidP="0034350F">
            <w:pPr>
              <w:pStyle w:val="ListParagraph"/>
              <w:numPr>
                <w:ilvl w:val="0"/>
                <w:numId w:val="34"/>
              </w:numPr>
              <w:rPr>
                <w:b w:val="0"/>
                <w:sz w:val="18"/>
              </w:rPr>
            </w:pPr>
            <w:r w:rsidRPr="0034350F">
              <w:rPr>
                <w:b w:val="0"/>
                <w:sz w:val="18"/>
              </w:rPr>
              <w:t>Encumbered by the terms of a contingent gift, grant or donation, or a security interest.</w:t>
            </w:r>
          </w:p>
          <w:p w:rsidR="0034350F" w:rsidRPr="0034350F" w:rsidRDefault="0034350F" w:rsidP="0034350F">
            <w:pPr>
              <w:pStyle w:val="ListParagraph"/>
              <w:numPr>
                <w:ilvl w:val="0"/>
                <w:numId w:val="34"/>
              </w:numPr>
              <w:rPr>
                <w:b w:val="0"/>
                <w:sz w:val="18"/>
              </w:rPr>
            </w:pPr>
            <w:r w:rsidRPr="0034350F">
              <w:rPr>
                <w:b w:val="0"/>
                <w:sz w:val="18"/>
              </w:rPr>
              <w:t>Belonging to the EMO/CMO, if applicable, or other contractors.</w:t>
            </w:r>
          </w:p>
          <w:p w:rsidR="0034350F" w:rsidRPr="0034350F" w:rsidRDefault="0034350F" w:rsidP="0034350F">
            <w:pPr>
              <w:pStyle w:val="ListParagraph"/>
              <w:numPr>
                <w:ilvl w:val="0"/>
                <w:numId w:val="34"/>
              </w:numPr>
              <w:rPr>
                <w:b w:val="0"/>
                <w:sz w:val="18"/>
              </w:rPr>
            </w:pPr>
            <w:r w:rsidRPr="0034350F">
              <w:rPr>
                <w:b w:val="0"/>
                <w:sz w:val="18"/>
              </w:rPr>
              <w:t>Purchased with federal grants (dispose of such assets in accordance with federal regulations).</w:t>
            </w:r>
          </w:p>
          <w:p w:rsidR="0034350F" w:rsidRPr="0034350F" w:rsidRDefault="0034350F" w:rsidP="0034350F">
            <w:pPr>
              <w:pStyle w:val="ListParagraph"/>
              <w:numPr>
                <w:ilvl w:val="0"/>
                <w:numId w:val="34"/>
              </w:numPr>
              <w:rPr>
                <w:b w:val="0"/>
                <w:sz w:val="18"/>
              </w:rPr>
            </w:pPr>
            <w:r w:rsidRPr="0034350F">
              <w:rPr>
                <w:b w:val="0"/>
                <w:sz w:val="18"/>
              </w:rPr>
              <w:t>Purchased with Public Charter School Program startup funds (transfer assets to another charter school within the district or state).</w:t>
            </w:r>
          </w:p>
          <w:p w:rsidR="0034350F" w:rsidRPr="0034350F" w:rsidRDefault="0034350F" w:rsidP="0034350F">
            <w:pPr>
              <w:rPr>
                <w:b w:val="0"/>
                <w:sz w:val="18"/>
              </w:rPr>
            </w:pPr>
            <w:r w:rsidRPr="0034350F">
              <w:rPr>
                <w:b w:val="0"/>
                <w:sz w:val="18"/>
              </w:rPr>
              <w:t>Return assets not belonging to school where appropriate documentation exists. Keep records of</w:t>
            </w:r>
            <w:r>
              <w:rPr>
                <w:b w:val="0"/>
                <w:sz w:val="18"/>
              </w:rPr>
              <w:t xml:space="preserve"> </w:t>
            </w:r>
            <w:r w:rsidRPr="0034350F">
              <w:rPr>
                <w:b w:val="0"/>
                <w:sz w:val="18"/>
              </w:rPr>
              <w:t>assets returned.</w:t>
            </w:r>
          </w:p>
        </w:tc>
        <w:tc>
          <w:tcPr>
            <w:tcW w:w="1318" w:type="dxa"/>
          </w:tcPr>
          <w:p w:rsidR="0034350F" w:rsidRDefault="0034350F" w:rsidP="00FD5FE9">
            <w:pPr>
              <w:cnfStyle w:val="000000000000"/>
            </w:pPr>
          </w:p>
        </w:tc>
        <w:tc>
          <w:tcPr>
            <w:tcW w:w="1280" w:type="dxa"/>
          </w:tcPr>
          <w:p w:rsidR="0034350F" w:rsidRDefault="0034350F" w:rsidP="00FD5FE9">
            <w:pPr>
              <w:cnfStyle w:val="000000000000"/>
            </w:pPr>
          </w:p>
        </w:tc>
        <w:tc>
          <w:tcPr>
            <w:tcW w:w="1074" w:type="dxa"/>
          </w:tcPr>
          <w:p w:rsidR="0034350F" w:rsidRDefault="0034350F" w:rsidP="00FD5FE9">
            <w:pPr>
              <w:cnfStyle w:val="000000000000"/>
            </w:pPr>
          </w:p>
        </w:tc>
      </w:tr>
      <w:tr w:rsidR="0034350F" w:rsidTr="0034350F">
        <w:trPr>
          <w:cnfStyle w:val="000000100000"/>
        </w:trPr>
        <w:tc>
          <w:tcPr>
            <w:cnfStyle w:val="001000000000"/>
            <w:tcW w:w="7344" w:type="dxa"/>
            <w:shd w:val="clear" w:color="auto" w:fill="F2F2F2" w:themeFill="background1" w:themeFillShade="F2"/>
          </w:tcPr>
          <w:p w:rsidR="0034350F" w:rsidRPr="0034350F" w:rsidRDefault="0034350F" w:rsidP="0034350F">
            <w:pPr>
              <w:rPr>
                <w:bCs w:val="0"/>
                <w:sz w:val="20"/>
                <w:szCs w:val="20"/>
              </w:rPr>
            </w:pPr>
            <w:r w:rsidRPr="0034350F">
              <w:rPr>
                <w:bCs w:val="0"/>
                <w:sz w:val="20"/>
                <w:szCs w:val="20"/>
              </w:rPr>
              <w:t>Notify Food and Transportation Services and Cancel Contracts</w:t>
            </w:r>
          </w:p>
          <w:p w:rsidR="0034350F" w:rsidRPr="00392E8B" w:rsidRDefault="0034350F" w:rsidP="0034350F">
            <w:pPr>
              <w:rPr>
                <w:b w:val="0"/>
                <w:bCs w:val="0"/>
                <w:sz w:val="18"/>
              </w:rPr>
            </w:pPr>
            <w:r w:rsidRPr="0034350F">
              <w:rPr>
                <w:b w:val="0"/>
                <w:bCs w:val="0"/>
                <w:sz w:val="18"/>
              </w:rPr>
              <w:t>Cancel school district or private food and/or transportation services for summer school and the</w:t>
            </w:r>
            <w:r>
              <w:rPr>
                <w:b w:val="0"/>
                <w:bCs w:val="0"/>
                <w:sz w:val="18"/>
              </w:rPr>
              <w:t xml:space="preserve"> </w:t>
            </w:r>
            <w:r w:rsidRPr="0034350F">
              <w:rPr>
                <w:b w:val="0"/>
                <w:bCs w:val="0"/>
                <w:sz w:val="18"/>
              </w:rPr>
              <w:t>next school year.</w:t>
            </w:r>
          </w:p>
        </w:tc>
        <w:tc>
          <w:tcPr>
            <w:tcW w:w="1318" w:type="dxa"/>
            <w:shd w:val="clear" w:color="auto" w:fill="F2F2F2" w:themeFill="background1" w:themeFillShade="F2"/>
          </w:tcPr>
          <w:p w:rsidR="0034350F" w:rsidRDefault="0034350F" w:rsidP="00FD5FE9">
            <w:pPr>
              <w:cnfStyle w:val="000000100000"/>
            </w:pPr>
          </w:p>
        </w:tc>
        <w:tc>
          <w:tcPr>
            <w:tcW w:w="1280" w:type="dxa"/>
            <w:shd w:val="clear" w:color="auto" w:fill="F2F2F2" w:themeFill="background1" w:themeFillShade="F2"/>
          </w:tcPr>
          <w:p w:rsidR="0034350F" w:rsidRDefault="0034350F" w:rsidP="00FD5FE9">
            <w:pPr>
              <w:cnfStyle w:val="000000100000"/>
            </w:pPr>
          </w:p>
        </w:tc>
        <w:tc>
          <w:tcPr>
            <w:tcW w:w="1074" w:type="dxa"/>
            <w:shd w:val="clear" w:color="auto" w:fill="F2F2F2" w:themeFill="background1" w:themeFillShade="F2"/>
          </w:tcPr>
          <w:p w:rsidR="0034350F" w:rsidRDefault="0034350F" w:rsidP="00FD5FE9">
            <w:pPr>
              <w:cnfStyle w:val="000000100000"/>
            </w:pPr>
          </w:p>
        </w:tc>
      </w:tr>
    </w:tbl>
    <w:p w:rsidR="0034350F" w:rsidRDefault="0034350F" w:rsidP="00CE7505">
      <w:r>
        <w:br w:type="page"/>
      </w:r>
    </w:p>
    <w:p w:rsidR="0034350F" w:rsidRPr="00FD5FE9" w:rsidRDefault="00FD5FE9" w:rsidP="00CE7505">
      <w:pPr>
        <w:rPr>
          <w:sz w:val="32"/>
          <w:szCs w:val="32"/>
        </w:rPr>
      </w:pPr>
      <w:r w:rsidRPr="00FD5FE9">
        <w:rPr>
          <w:sz w:val="32"/>
          <w:szCs w:val="32"/>
        </w:rPr>
        <w:lastRenderedPageBreak/>
        <w:t>Finalize School Affairs: Finance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1318"/>
        <w:gridCol w:w="1280"/>
        <w:gridCol w:w="1074"/>
      </w:tblGrid>
      <w:tr w:rsidR="00FD5FE9" w:rsidTr="0084663C">
        <w:trPr>
          <w:cnfStyle w:val="100000000000"/>
        </w:trPr>
        <w:tc>
          <w:tcPr>
            <w:cnfStyle w:val="001000000000"/>
            <w:tcW w:w="7848" w:type="dxa"/>
            <w:shd w:val="clear" w:color="auto" w:fill="632423" w:themeFill="accent2" w:themeFillShade="80"/>
          </w:tcPr>
          <w:p w:rsidR="0034350F" w:rsidRDefault="0034350F" w:rsidP="00FD5FE9">
            <w:pPr>
              <w:jc w:val="center"/>
            </w:pPr>
            <w:r>
              <w:t>Desc</w:t>
            </w:r>
            <w:r w:rsidRPr="006A0B47">
              <w:t>ription of Required Actions</w:t>
            </w:r>
          </w:p>
        </w:tc>
        <w:tc>
          <w:tcPr>
            <w:tcW w:w="990" w:type="dxa"/>
            <w:shd w:val="clear" w:color="auto" w:fill="632423" w:themeFill="accent2" w:themeFillShade="80"/>
          </w:tcPr>
          <w:p w:rsidR="0034350F" w:rsidRDefault="0034350F" w:rsidP="00FD5FE9">
            <w:pPr>
              <w:jc w:val="center"/>
              <w:cnfStyle w:val="100000000000"/>
            </w:pPr>
            <w:r>
              <w:t>Responsible</w:t>
            </w:r>
            <w:r>
              <w:br/>
              <w:t>Party</w:t>
            </w:r>
          </w:p>
        </w:tc>
        <w:tc>
          <w:tcPr>
            <w:tcW w:w="1080" w:type="dxa"/>
            <w:shd w:val="clear" w:color="auto" w:fill="632423" w:themeFill="accent2" w:themeFillShade="80"/>
          </w:tcPr>
          <w:p w:rsidR="0034350F" w:rsidRDefault="0034350F" w:rsidP="00FD5FE9">
            <w:pPr>
              <w:jc w:val="center"/>
              <w:cnfStyle w:val="100000000000"/>
            </w:pPr>
            <w:r>
              <w:t>Completion</w:t>
            </w:r>
            <w:r>
              <w:br/>
              <w:t>Date</w:t>
            </w:r>
          </w:p>
        </w:tc>
        <w:tc>
          <w:tcPr>
            <w:tcW w:w="1098" w:type="dxa"/>
            <w:shd w:val="clear" w:color="auto" w:fill="632423" w:themeFill="accent2" w:themeFillShade="80"/>
          </w:tcPr>
          <w:p w:rsidR="0034350F" w:rsidRDefault="0034350F" w:rsidP="00FD5FE9">
            <w:pPr>
              <w:jc w:val="center"/>
              <w:cnfStyle w:val="100000000000"/>
            </w:pPr>
            <w:r w:rsidRPr="006A0B47">
              <w:t>Status</w:t>
            </w:r>
          </w:p>
        </w:tc>
      </w:tr>
      <w:tr w:rsidR="00FD5FE9" w:rsidTr="00FD5FE9">
        <w:trPr>
          <w:cnfStyle w:val="000000100000"/>
        </w:trPr>
        <w:tc>
          <w:tcPr>
            <w:cnfStyle w:val="001000000000"/>
            <w:tcW w:w="7848" w:type="dxa"/>
          </w:tcPr>
          <w:p w:rsidR="0034350F" w:rsidRPr="00FD5FE9" w:rsidRDefault="0034350F" w:rsidP="0034350F">
            <w:pPr>
              <w:rPr>
                <w:sz w:val="20"/>
                <w:szCs w:val="20"/>
              </w:rPr>
            </w:pPr>
            <w:r w:rsidRPr="00FD5FE9">
              <w:rPr>
                <w:sz w:val="20"/>
                <w:szCs w:val="20"/>
              </w:rPr>
              <w:t>Review and Revise School Budget</w:t>
            </w:r>
          </w:p>
          <w:p w:rsidR="0034350F" w:rsidRPr="00FD5FE9" w:rsidRDefault="0034350F" w:rsidP="00FD5FE9">
            <w:pPr>
              <w:pStyle w:val="ListParagraph"/>
              <w:numPr>
                <w:ilvl w:val="0"/>
                <w:numId w:val="44"/>
              </w:numPr>
              <w:ind w:left="360"/>
              <w:rPr>
                <w:b w:val="0"/>
                <w:sz w:val="18"/>
              </w:rPr>
            </w:pPr>
            <w:r w:rsidRPr="00FD5FE9">
              <w:rPr>
                <w:b w:val="0"/>
                <w:sz w:val="18"/>
              </w:rPr>
              <w:t>Review the school’s budget and overall financial condition.</w:t>
            </w:r>
          </w:p>
          <w:p w:rsidR="00FD5FE9" w:rsidRDefault="0034350F" w:rsidP="00FD5FE9">
            <w:pPr>
              <w:pStyle w:val="ListParagraph"/>
              <w:numPr>
                <w:ilvl w:val="0"/>
                <w:numId w:val="44"/>
              </w:numPr>
              <w:ind w:left="360"/>
              <w:rPr>
                <w:b w:val="0"/>
                <w:sz w:val="18"/>
              </w:rPr>
            </w:pPr>
            <w:r w:rsidRPr="00FD5FE9">
              <w:rPr>
                <w:b w:val="0"/>
                <w:sz w:val="18"/>
              </w:rPr>
              <w:t>Make revisions that take into account closure and associated expenses while prioritizing</w:t>
            </w:r>
            <w:r w:rsidR="00FD5FE9" w:rsidRPr="00FD5FE9">
              <w:rPr>
                <w:b w:val="0"/>
                <w:sz w:val="18"/>
              </w:rPr>
              <w:t xml:space="preserve"> </w:t>
            </w:r>
            <w:r w:rsidRPr="00FD5FE9">
              <w:rPr>
                <w:b w:val="0"/>
                <w:sz w:val="18"/>
              </w:rPr>
              <w:t>continuity of instruction.</w:t>
            </w:r>
          </w:p>
          <w:p w:rsidR="0034350F" w:rsidRPr="00FD5FE9" w:rsidRDefault="0034350F" w:rsidP="00FD5FE9">
            <w:pPr>
              <w:pStyle w:val="ListParagraph"/>
              <w:numPr>
                <w:ilvl w:val="0"/>
                <w:numId w:val="44"/>
              </w:numPr>
              <w:ind w:left="360"/>
              <w:rPr>
                <w:b w:val="0"/>
                <w:sz w:val="18"/>
              </w:rPr>
            </w:pPr>
            <w:r w:rsidRPr="00FD5FE9">
              <w:rPr>
                <w:b w:val="0"/>
                <w:sz w:val="18"/>
              </w:rPr>
              <w:t>Identify acceptable use of reserve funds.</w:t>
            </w:r>
          </w:p>
        </w:tc>
        <w:tc>
          <w:tcPr>
            <w:tcW w:w="990" w:type="dxa"/>
          </w:tcPr>
          <w:p w:rsidR="0034350F" w:rsidRDefault="0034350F" w:rsidP="00FD5FE9">
            <w:pPr>
              <w:cnfStyle w:val="000000100000"/>
            </w:pPr>
          </w:p>
        </w:tc>
        <w:tc>
          <w:tcPr>
            <w:tcW w:w="1080" w:type="dxa"/>
          </w:tcPr>
          <w:p w:rsidR="0034350F" w:rsidRDefault="0034350F" w:rsidP="00FD5FE9">
            <w:pPr>
              <w:cnfStyle w:val="000000100000"/>
            </w:pPr>
          </w:p>
        </w:tc>
        <w:tc>
          <w:tcPr>
            <w:tcW w:w="1098" w:type="dxa"/>
          </w:tcPr>
          <w:p w:rsidR="0034350F" w:rsidRDefault="0034350F" w:rsidP="00FD5FE9">
            <w:pPr>
              <w:cnfStyle w:val="000000100000"/>
            </w:pPr>
          </w:p>
        </w:tc>
      </w:tr>
      <w:tr w:rsidR="00FD5FE9" w:rsidTr="00FD5FE9">
        <w:tc>
          <w:tcPr>
            <w:cnfStyle w:val="001000000000"/>
            <w:tcW w:w="7848" w:type="dxa"/>
            <w:shd w:val="clear" w:color="auto" w:fill="F2F2F2" w:themeFill="background1" w:themeFillShade="F2"/>
          </w:tcPr>
          <w:p w:rsidR="0034350F" w:rsidRPr="00FD5FE9" w:rsidRDefault="0034350F" w:rsidP="0034350F">
            <w:pPr>
              <w:rPr>
                <w:sz w:val="20"/>
                <w:szCs w:val="20"/>
              </w:rPr>
            </w:pPr>
            <w:r w:rsidRPr="00FD5FE9">
              <w:rPr>
                <w:sz w:val="20"/>
                <w:szCs w:val="20"/>
              </w:rPr>
              <w:t>Maintain IR S 501(c)(3) Status</w:t>
            </w:r>
          </w:p>
          <w:p w:rsidR="0034350F" w:rsidRPr="00FD5FE9" w:rsidRDefault="0034350F" w:rsidP="0034350F">
            <w:pPr>
              <w:rPr>
                <w:b w:val="0"/>
                <w:sz w:val="18"/>
              </w:rPr>
            </w:pPr>
            <w:r w:rsidRPr="00FD5FE9">
              <w:rPr>
                <w:b w:val="0"/>
                <w:sz w:val="18"/>
              </w:rPr>
              <w:t>Maintain IRS 501(c)(3) status, including:</w:t>
            </w:r>
          </w:p>
          <w:p w:rsidR="00FD5FE9" w:rsidRDefault="0034350F" w:rsidP="00FD5FE9">
            <w:pPr>
              <w:pStyle w:val="ListParagraph"/>
              <w:numPr>
                <w:ilvl w:val="0"/>
                <w:numId w:val="42"/>
              </w:numPr>
              <w:ind w:left="360"/>
              <w:rPr>
                <w:b w:val="0"/>
                <w:sz w:val="18"/>
              </w:rPr>
            </w:pPr>
            <w:r w:rsidRPr="00FD5FE9">
              <w:rPr>
                <w:b w:val="0"/>
                <w:sz w:val="18"/>
              </w:rPr>
              <w:t>Notify IRS regarding any address change.</w:t>
            </w:r>
          </w:p>
          <w:p w:rsidR="0034350F" w:rsidRPr="00FD5FE9" w:rsidRDefault="0034350F" w:rsidP="00FD5FE9">
            <w:pPr>
              <w:pStyle w:val="ListParagraph"/>
              <w:numPr>
                <w:ilvl w:val="0"/>
                <w:numId w:val="42"/>
              </w:numPr>
              <w:ind w:left="360"/>
              <w:rPr>
                <w:b w:val="0"/>
                <w:sz w:val="18"/>
              </w:rPr>
            </w:pPr>
            <w:r w:rsidRPr="00FD5FE9">
              <w:rPr>
                <w:b w:val="0"/>
                <w:sz w:val="18"/>
              </w:rPr>
              <w:t>File required tax returns and reports.</w:t>
            </w:r>
          </w:p>
        </w:tc>
        <w:tc>
          <w:tcPr>
            <w:tcW w:w="990" w:type="dxa"/>
            <w:shd w:val="clear" w:color="auto" w:fill="F2F2F2" w:themeFill="background1" w:themeFillShade="F2"/>
          </w:tcPr>
          <w:p w:rsidR="0034350F" w:rsidRDefault="0034350F" w:rsidP="00FD5FE9">
            <w:pPr>
              <w:cnfStyle w:val="000000000000"/>
            </w:pPr>
          </w:p>
        </w:tc>
        <w:tc>
          <w:tcPr>
            <w:tcW w:w="1080" w:type="dxa"/>
            <w:shd w:val="clear" w:color="auto" w:fill="F2F2F2" w:themeFill="background1" w:themeFillShade="F2"/>
          </w:tcPr>
          <w:p w:rsidR="0034350F" w:rsidRDefault="0034350F" w:rsidP="00FD5FE9">
            <w:pPr>
              <w:cnfStyle w:val="000000000000"/>
            </w:pPr>
          </w:p>
        </w:tc>
        <w:tc>
          <w:tcPr>
            <w:tcW w:w="1098" w:type="dxa"/>
            <w:shd w:val="clear" w:color="auto" w:fill="F2F2F2" w:themeFill="background1" w:themeFillShade="F2"/>
          </w:tcPr>
          <w:p w:rsidR="0034350F" w:rsidRDefault="0034350F" w:rsidP="00FD5FE9">
            <w:pPr>
              <w:cnfStyle w:val="000000000000"/>
            </w:pPr>
          </w:p>
        </w:tc>
      </w:tr>
      <w:tr w:rsidR="00FD5FE9" w:rsidTr="00FD5FE9">
        <w:trPr>
          <w:cnfStyle w:val="000000100000"/>
        </w:trPr>
        <w:tc>
          <w:tcPr>
            <w:cnfStyle w:val="001000000000"/>
            <w:tcW w:w="7848" w:type="dxa"/>
          </w:tcPr>
          <w:p w:rsidR="0034350F" w:rsidRPr="00FD5FE9" w:rsidRDefault="0034350F" w:rsidP="0034350F">
            <w:pPr>
              <w:tabs>
                <w:tab w:val="left" w:pos="1959"/>
              </w:tabs>
              <w:rPr>
                <w:sz w:val="20"/>
                <w:szCs w:val="20"/>
              </w:rPr>
            </w:pPr>
            <w:r w:rsidRPr="00FD5FE9">
              <w:rPr>
                <w:sz w:val="20"/>
                <w:szCs w:val="20"/>
              </w:rPr>
              <w:t>Notify Funding Sources / Charitable Partners</w:t>
            </w:r>
          </w:p>
          <w:p w:rsidR="0034350F" w:rsidRPr="00FD5FE9" w:rsidRDefault="0034350F" w:rsidP="00FD5FE9">
            <w:pPr>
              <w:tabs>
                <w:tab w:val="left" w:pos="1959"/>
              </w:tabs>
              <w:rPr>
                <w:b w:val="0"/>
                <w:sz w:val="18"/>
              </w:rPr>
            </w:pPr>
            <w:r w:rsidRPr="00FD5FE9">
              <w:rPr>
                <w:b w:val="0"/>
                <w:sz w:val="18"/>
              </w:rPr>
              <w:t>Notify all funding sources, including charitable partners of school closure. Notify state and federal</w:t>
            </w:r>
            <w:r w:rsidR="00FD5FE9">
              <w:rPr>
                <w:b w:val="0"/>
                <w:sz w:val="18"/>
              </w:rPr>
              <w:t xml:space="preserve"> </w:t>
            </w:r>
            <w:r w:rsidRPr="00FD5FE9">
              <w:rPr>
                <w:b w:val="0"/>
                <w:sz w:val="18"/>
              </w:rPr>
              <w:t>agencies overseeing the school’s grants that the school will be closing.</w:t>
            </w:r>
          </w:p>
        </w:tc>
        <w:tc>
          <w:tcPr>
            <w:tcW w:w="990" w:type="dxa"/>
          </w:tcPr>
          <w:p w:rsidR="0034350F" w:rsidRDefault="0034350F" w:rsidP="00FD5FE9">
            <w:pPr>
              <w:cnfStyle w:val="000000100000"/>
            </w:pPr>
          </w:p>
        </w:tc>
        <w:tc>
          <w:tcPr>
            <w:tcW w:w="1080" w:type="dxa"/>
          </w:tcPr>
          <w:p w:rsidR="0034350F" w:rsidRDefault="0034350F" w:rsidP="00FD5FE9">
            <w:pPr>
              <w:cnfStyle w:val="000000100000"/>
            </w:pPr>
          </w:p>
        </w:tc>
        <w:tc>
          <w:tcPr>
            <w:tcW w:w="1098" w:type="dxa"/>
          </w:tcPr>
          <w:p w:rsidR="0034350F" w:rsidRDefault="0034350F" w:rsidP="00FD5FE9">
            <w:pPr>
              <w:cnfStyle w:val="000000100000"/>
            </w:pPr>
          </w:p>
        </w:tc>
      </w:tr>
      <w:tr w:rsidR="00FD5FE9" w:rsidTr="00FD5FE9">
        <w:tc>
          <w:tcPr>
            <w:cnfStyle w:val="001000000000"/>
            <w:tcW w:w="7848" w:type="dxa"/>
            <w:shd w:val="clear" w:color="auto" w:fill="F2F2F2" w:themeFill="background1" w:themeFillShade="F2"/>
          </w:tcPr>
          <w:p w:rsidR="0034350F" w:rsidRPr="00FD5FE9" w:rsidRDefault="0034350F" w:rsidP="0034350F">
            <w:pPr>
              <w:tabs>
                <w:tab w:val="left" w:pos="2813"/>
              </w:tabs>
              <w:rPr>
                <w:sz w:val="20"/>
                <w:szCs w:val="20"/>
              </w:rPr>
            </w:pPr>
            <w:r w:rsidRPr="00FD5FE9">
              <w:rPr>
                <w:sz w:val="20"/>
                <w:szCs w:val="20"/>
              </w:rPr>
              <w:t>List all Creditors and Debtors</w:t>
            </w:r>
          </w:p>
          <w:p w:rsidR="0034350F" w:rsidRPr="00FD5FE9" w:rsidRDefault="0034350F" w:rsidP="0034350F">
            <w:pPr>
              <w:tabs>
                <w:tab w:val="left" w:pos="2813"/>
              </w:tabs>
              <w:rPr>
                <w:b w:val="0"/>
                <w:sz w:val="18"/>
              </w:rPr>
            </w:pPr>
            <w:r w:rsidRPr="00FD5FE9">
              <w:rPr>
                <w:b w:val="0"/>
                <w:sz w:val="18"/>
              </w:rPr>
              <w:t>Formulate a list of creditors and debtors and any amounts accrued and unpaid with respect to</w:t>
            </w:r>
            <w:r w:rsidR="00FD5FE9">
              <w:rPr>
                <w:b w:val="0"/>
                <w:sz w:val="18"/>
              </w:rPr>
              <w:t xml:space="preserve"> </w:t>
            </w:r>
            <w:r w:rsidRPr="00FD5FE9">
              <w:rPr>
                <w:b w:val="0"/>
                <w:sz w:val="18"/>
              </w:rPr>
              <w:t>such creditor or debtor.</w:t>
            </w:r>
          </w:p>
          <w:p w:rsidR="0034350F" w:rsidRPr="00FD5FE9" w:rsidRDefault="0034350F" w:rsidP="00FD5FE9">
            <w:pPr>
              <w:pStyle w:val="ListParagraph"/>
              <w:numPr>
                <w:ilvl w:val="0"/>
                <w:numId w:val="40"/>
              </w:numPr>
              <w:tabs>
                <w:tab w:val="left" w:pos="2813"/>
              </w:tabs>
              <w:ind w:left="360"/>
              <w:rPr>
                <w:b w:val="0"/>
                <w:sz w:val="18"/>
              </w:rPr>
            </w:pPr>
            <w:r w:rsidRPr="00FD5FE9">
              <w:rPr>
                <w:b w:val="0"/>
                <w:sz w:val="18"/>
              </w:rPr>
              <w:t>This list is not the same as the contractor list, above, but may include contractors.</w:t>
            </w:r>
          </w:p>
          <w:p w:rsidR="00FD5FE9" w:rsidRDefault="0034350F" w:rsidP="00FD5FE9">
            <w:pPr>
              <w:pStyle w:val="ListParagraph"/>
              <w:numPr>
                <w:ilvl w:val="0"/>
                <w:numId w:val="40"/>
              </w:numPr>
              <w:tabs>
                <w:tab w:val="left" w:pos="2813"/>
              </w:tabs>
              <w:ind w:left="360"/>
              <w:rPr>
                <w:b w:val="0"/>
                <w:sz w:val="18"/>
              </w:rPr>
            </w:pPr>
            <w:r w:rsidRPr="00FD5FE9">
              <w:rPr>
                <w:b w:val="0"/>
                <w:sz w:val="18"/>
              </w:rPr>
              <w:t>Creditors include lenders, mortgage holders, bond holders, equipment suppliers, service</w:t>
            </w:r>
            <w:r w:rsidR="00FD5FE9" w:rsidRPr="00FD5FE9">
              <w:rPr>
                <w:b w:val="0"/>
                <w:sz w:val="18"/>
              </w:rPr>
              <w:t xml:space="preserve"> </w:t>
            </w:r>
            <w:r w:rsidRPr="00FD5FE9">
              <w:rPr>
                <w:b w:val="0"/>
                <w:sz w:val="18"/>
              </w:rPr>
              <w:t>providers and secured and unsecured creditors. A UCC search should be performed to identify</w:t>
            </w:r>
            <w:r w:rsidR="00FD5FE9" w:rsidRPr="00FD5FE9">
              <w:rPr>
                <w:b w:val="0"/>
                <w:sz w:val="18"/>
              </w:rPr>
              <w:t xml:space="preserve"> </w:t>
            </w:r>
            <w:r w:rsidRPr="00FD5FE9">
              <w:rPr>
                <w:b w:val="0"/>
                <w:sz w:val="18"/>
              </w:rPr>
              <w:t>secured creditors.</w:t>
            </w:r>
          </w:p>
          <w:p w:rsidR="0034350F" w:rsidRPr="00FD5FE9" w:rsidRDefault="0034350F" w:rsidP="00FD5FE9">
            <w:pPr>
              <w:pStyle w:val="ListParagraph"/>
              <w:numPr>
                <w:ilvl w:val="0"/>
                <w:numId w:val="40"/>
              </w:numPr>
              <w:tabs>
                <w:tab w:val="left" w:pos="2813"/>
              </w:tabs>
              <w:ind w:left="360"/>
              <w:rPr>
                <w:b w:val="0"/>
                <w:sz w:val="18"/>
              </w:rPr>
            </w:pPr>
            <w:r w:rsidRPr="00FD5FE9">
              <w:rPr>
                <w:b w:val="0"/>
                <w:sz w:val="18"/>
              </w:rPr>
              <w:t>Debtors include persons who owe the school fees or credits, any lessees or sub-lessees of</w:t>
            </w:r>
            <w:r w:rsidR="00FD5FE9" w:rsidRPr="00FD5FE9">
              <w:rPr>
                <w:b w:val="0"/>
                <w:sz w:val="18"/>
              </w:rPr>
              <w:t xml:space="preserve"> </w:t>
            </w:r>
            <w:r w:rsidRPr="00FD5FE9">
              <w:rPr>
                <w:b w:val="0"/>
                <w:sz w:val="18"/>
              </w:rPr>
              <w:t>the school, and any person holding property of the school.</w:t>
            </w:r>
          </w:p>
        </w:tc>
        <w:tc>
          <w:tcPr>
            <w:tcW w:w="990" w:type="dxa"/>
            <w:shd w:val="clear" w:color="auto" w:fill="F2F2F2" w:themeFill="background1" w:themeFillShade="F2"/>
          </w:tcPr>
          <w:p w:rsidR="0034350F" w:rsidRDefault="0034350F" w:rsidP="00FD5FE9">
            <w:pPr>
              <w:cnfStyle w:val="000000000000"/>
            </w:pPr>
          </w:p>
        </w:tc>
        <w:tc>
          <w:tcPr>
            <w:tcW w:w="1080" w:type="dxa"/>
            <w:shd w:val="clear" w:color="auto" w:fill="F2F2F2" w:themeFill="background1" w:themeFillShade="F2"/>
          </w:tcPr>
          <w:p w:rsidR="0034350F" w:rsidRDefault="0034350F" w:rsidP="00FD5FE9">
            <w:pPr>
              <w:cnfStyle w:val="000000000000"/>
            </w:pPr>
          </w:p>
        </w:tc>
        <w:tc>
          <w:tcPr>
            <w:tcW w:w="1098" w:type="dxa"/>
            <w:shd w:val="clear" w:color="auto" w:fill="F2F2F2" w:themeFill="background1" w:themeFillShade="F2"/>
          </w:tcPr>
          <w:p w:rsidR="0034350F" w:rsidRDefault="0034350F" w:rsidP="00FD5FE9">
            <w:pPr>
              <w:cnfStyle w:val="000000000000"/>
            </w:pPr>
          </w:p>
        </w:tc>
      </w:tr>
      <w:tr w:rsidR="00FD5FE9" w:rsidTr="00FD5FE9">
        <w:trPr>
          <w:cnfStyle w:val="000000100000"/>
        </w:trPr>
        <w:tc>
          <w:tcPr>
            <w:cnfStyle w:val="001000000000"/>
            <w:tcW w:w="7848" w:type="dxa"/>
          </w:tcPr>
          <w:p w:rsidR="0034350F" w:rsidRPr="00FD5FE9" w:rsidRDefault="0034350F" w:rsidP="0034350F">
            <w:pPr>
              <w:tabs>
                <w:tab w:val="left" w:pos="1674"/>
              </w:tabs>
              <w:rPr>
                <w:sz w:val="20"/>
                <w:szCs w:val="20"/>
              </w:rPr>
            </w:pPr>
            <w:r w:rsidRPr="00FD5FE9">
              <w:rPr>
                <w:sz w:val="20"/>
                <w:szCs w:val="20"/>
              </w:rPr>
              <w:t>Notify Creditors</w:t>
            </w:r>
          </w:p>
          <w:p w:rsidR="0034350F" w:rsidRPr="00FD5FE9" w:rsidRDefault="0034350F" w:rsidP="0034350F">
            <w:pPr>
              <w:tabs>
                <w:tab w:val="left" w:pos="1674"/>
              </w:tabs>
              <w:rPr>
                <w:b w:val="0"/>
                <w:sz w:val="18"/>
              </w:rPr>
            </w:pPr>
            <w:r w:rsidRPr="00FD5FE9">
              <w:rPr>
                <w:b w:val="0"/>
                <w:sz w:val="18"/>
              </w:rPr>
              <w:t>Notify all creditors of the school’s cl</w:t>
            </w:r>
            <w:r w:rsidR="00FD5FE9" w:rsidRPr="00FD5FE9">
              <w:rPr>
                <w:b w:val="0"/>
                <w:sz w:val="18"/>
              </w:rPr>
              <w:t>osure and request a final bill.</w:t>
            </w:r>
          </w:p>
        </w:tc>
        <w:tc>
          <w:tcPr>
            <w:tcW w:w="990" w:type="dxa"/>
          </w:tcPr>
          <w:p w:rsidR="0034350F" w:rsidRDefault="0034350F" w:rsidP="00FD5FE9">
            <w:pPr>
              <w:cnfStyle w:val="000000100000"/>
            </w:pPr>
          </w:p>
        </w:tc>
        <w:tc>
          <w:tcPr>
            <w:tcW w:w="1080" w:type="dxa"/>
          </w:tcPr>
          <w:p w:rsidR="0034350F" w:rsidRDefault="0034350F" w:rsidP="00FD5FE9">
            <w:pPr>
              <w:cnfStyle w:val="000000100000"/>
            </w:pPr>
          </w:p>
        </w:tc>
        <w:tc>
          <w:tcPr>
            <w:tcW w:w="1098" w:type="dxa"/>
          </w:tcPr>
          <w:p w:rsidR="0034350F" w:rsidRDefault="0034350F" w:rsidP="00FD5FE9">
            <w:pPr>
              <w:cnfStyle w:val="000000100000"/>
            </w:pPr>
          </w:p>
        </w:tc>
      </w:tr>
      <w:tr w:rsidR="0034350F" w:rsidTr="0034350F">
        <w:tc>
          <w:tcPr>
            <w:cnfStyle w:val="001000000000"/>
            <w:tcW w:w="7848" w:type="dxa"/>
            <w:shd w:val="clear" w:color="auto" w:fill="F2F2F2" w:themeFill="background1" w:themeFillShade="F2"/>
          </w:tcPr>
          <w:p w:rsidR="00FD5FE9" w:rsidRPr="00FD5FE9" w:rsidRDefault="00FD5FE9" w:rsidP="00FD5FE9">
            <w:pPr>
              <w:rPr>
                <w:bCs w:val="0"/>
                <w:sz w:val="20"/>
                <w:szCs w:val="20"/>
              </w:rPr>
            </w:pPr>
            <w:r w:rsidRPr="00FD5FE9">
              <w:rPr>
                <w:bCs w:val="0"/>
                <w:sz w:val="20"/>
                <w:szCs w:val="20"/>
              </w:rPr>
              <w:t>Notify Debtors</w:t>
            </w:r>
          </w:p>
          <w:p w:rsidR="0034350F" w:rsidRPr="00392E8B" w:rsidRDefault="00FD5FE9" w:rsidP="00FD5FE9">
            <w:pPr>
              <w:rPr>
                <w:b w:val="0"/>
                <w:bCs w:val="0"/>
                <w:sz w:val="18"/>
              </w:rPr>
            </w:pPr>
            <w:r w:rsidRPr="00FD5FE9">
              <w:rPr>
                <w:b w:val="0"/>
                <w:bCs w:val="0"/>
                <w:sz w:val="18"/>
              </w:rPr>
              <w:t>Contact all debtors and request payment.</w:t>
            </w:r>
          </w:p>
        </w:tc>
        <w:tc>
          <w:tcPr>
            <w:tcW w:w="990" w:type="dxa"/>
            <w:shd w:val="clear" w:color="auto" w:fill="F2F2F2" w:themeFill="background1" w:themeFillShade="F2"/>
          </w:tcPr>
          <w:p w:rsidR="0034350F" w:rsidRDefault="0034350F" w:rsidP="00FD5FE9">
            <w:pPr>
              <w:cnfStyle w:val="000000000000"/>
            </w:pPr>
          </w:p>
        </w:tc>
        <w:tc>
          <w:tcPr>
            <w:tcW w:w="1080" w:type="dxa"/>
            <w:shd w:val="clear" w:color="auto" w:fill="F2F2F2" w:themeFill="background1" w:themeFillShade="F2"/>
          </w:tcPr>
          <w:p w:rsidR="0034350F" w:rsidRDefault="0034350F" w:rsidP="00FD5FE9">
            <w:pPr>
              <w:cnfStyle w:val="000000000000"/>
            </w:pPr>
          </w:p>
        </w:tc>
        <w:tc>
          <w:tcPr>
            <w:tcW w:w="1098" w:type="dxa"/>
            <w:shd w:val="clear" w:color="auto" w:fill="F2F2F2" w:themeFill="background1" w:themeFillShade="F2"/>
          </w:tcPr>
          <w:p w:rsidR="0034350F" w:rsidRDefault="0034350F" w:rsidP="00FD5FE9">
            <w:pPr>
              <w:cnfStyle w:val="000000000000"/>
            </w:pPr>
          </w:p>
        </w:tc>
      </w:tr>
      <w:tr w:rsidR="0034350F" w:rsidTr="00FD5FE9">
        <w:trPr>
          <w:cnfStyle w:val="000000100000"/>
        </w:trPr>
        <w:tc>
          <w:tcPr>
            <w:cnfStyle w:val="001000000000"/>
            <w:tcW w:w="7848" w:type="dxa"/>
          </w:tcPr>
          <w:p w:rsidR="00FD5FE9" w:rsidRPr="00FD5FE9" w:rsidRDefault="00FD5FE9" w:rsidP="00FD5FE9">
            <w:pPr>
              <w:rPr>
                <w:bCs w:val="0"/>
                <w:sz w:val="20"/>
                <w:szCs w:val="20"/>
              </w:rPr>
            </w:pPr>
            <w:r w:rsidRPr="00FD5FE9">
              <w:rPr>
                <w:bCs w:val="0"/>
                <w:sz w:val="20"/>
                <w:szCs w:val="20"/>
              </w:rPr>
              <w:t>Determine PER A Obligations</w:t>
            </w:r>
          </w:p>
          <w:p w:rsidR="0034350F" w:rsidRPr="00392E8B" w:rsidRDefault="00FD5FE9" w:rsidP="00FD5FE9">
            <w:pPr>
              <w:rPr>
                <w:b w:val="0"/>
                <w:bCs w:val="0"/>
                <w:sz w:val="18"/>
              </w:rPr>
            </w:pPr>
            <w:r w:rsidRPr="00FD5FE9">
              <w:rPr>
                <w:b w:val="0"/>
                <w:bCs w:val="0"/>
                <w:sz w:val="18"/>
              </w:rPr>
              <w:t>Contact PERA to determine remaining liabilities for employee retirement program.</w:t>
            </w:r>
          </w:p>
        </w:tc>
        <w:tc>
          <w:tcPr>
            <w:tcW w:w="990" w:type="dxa"/>
          </w:tcPr>
          <w:p w:rsidR="0034350F" w:rsidRDefault="0034350F" w:rsidP="00FD5FE9">
            <w:pPr>
              <w:cnfStyle w:val="000000100000"/>
            </w:pPr>
          </w:p>
        </w:tc>
        <w:tc>
          <w:tcPr>
            <w:tcW w:w="1080" w:type="dxa"/>
          </w:tcPr>
          <w:p w:rsidR="0034350F" w:rsidRDefault="0034350F" w:rsidP="00FD5FE9">
            <w:pPr>
              <w:cnfStyle w:val="000000100000"/>
            </w:pPr>
          </w:p>
        </w:tc>
        <w:tc>
          <w:tcPr>
            <w:tcW w:w="1098" w:type="dxa"/>
          </w:tcPr>
          <w:p w:rsidR="0034350F" w:rsidRDefault="0034350F" w:rsidP="00FD5FE9">
            <w:pPr>
              <w:cnfStyle w:val="000000100000"/>
            </w:pPr>
          </w:p>
        </w:tc>
      </w:tr>
      <w:tr w:rsidR="0034350F" w:rsidTr="0034350F">
        <w:tc>
          <w:tcPr>
            <w:cnfStyle w:val="001000000000"/>
            <w:tcW w:w="7848" w:type="dxa"/>
            <w:shd w:val="clear" w:color="auto" w:fill="F2F2F2" w:themeFill="background1" w:themeFillShade="F2"/>
          </w:tcPr>
          <w:p w:rsidR="00FD5FE9" w:rsidRPr="00FD5FE9" w:rsidRDefault="00FD5FE9" w:rsidP="00FD5FE9">
            <w:pPr>
              <w:rPr>
                <w:bCs w:val="0"/>
                <w:sz w:val="20"/>
                <w:szCs w:val="20"/>
              </w:rPr>
            </w:pPr>
            <w:r w:rsidRPr="00FD5FE9">
              <w:rPr>
                <w:bCs w:val="0"/>
                <w:sz w:val="20"/>
                <w:szCs w:val="20"/>
              </w:rPr>
              <w:t>Itemize Financials</w:t>
            </w:r>
          </w:p>
          <w:p w:rsidR="00FD5FE9" w:rsidRPr="00FD5FE9" w:rsidRDefault="00FD5FE9" w:rsidP="00FD5FE9">
            <w:pPr>
              <w:rPr>
                <w:b w:val="0"/>
                <w:bCs w:val="0"/>
                <w:sz w:val="18"/>
              </w:rPr>
            </w:pPr>
            <w:r w:rsidRPr="00FD5FE9">
              <w:rPr>
                <w:b w:val="0"/>
                <w:bCs w:val="0"/>
                <w:sz w:val="18"/>
              </w:rPr>
              <w:t>Review, prepare and make available the following:</w:t>
            </w:r>
          </w:p>
          <w:p w:rsidR="00FD5FE9" w:rsidRPr="00FD5FE9" w:rsidRDefault="00FD5FE9" w:rsidP="00FD5FE9">
            <w:pPr>
              <w:pStyle w:val="ListParagraph"/>
              <w:numPr>
                <w:ilvl w:val="0"/>
                <w:numId w:val="38"/>
              </w:numPr>
              <w:rPr>
                <w:b w:val="0"/>
                <w:sz w:val="18"/>
              </w:rPr>
            </w:pPr>
            <w:r w:rsidRPr="00FD5FE9">
              <w:rPr>
                <w:b w:val="0"/>
                <w:sz w:val="18"/>
              </w:rPr>
              <w:t>Fiscal year-end financial statements.</w:t>
            </w:r>
          </w:p>
          <w:p w:rsidR="00FD5FE9" w:rsidRPr="00FD5FE9" w:rsidRDefault="00FD5FE9" w:rsidP="00FD5FE9">
            <w:pPr>
              <w:pStyle w:val="ListParagraph"/>
              <w:numPr>
                <w:ilvl w:val="0"/>
                <w:numId w:val="38"/>
              </w:numPr>
              <w:rPr>
                <w:b w:val="0"/>
                <w:sz w:val="18"/>
              </w:rPr>
            </w:pPr>
            <w:r w:rsidRPr="00FD5FE9">
              <w:rPr>
                <w:b w:val="0"/>
                <w:sz w:val="18"/>
              </w:rPr>
              <w:t>Cash analysis.</w:t>
            </w:r>
          </w:p>
          <w:p w:rsidR="00FD5FE9" w:rsidRPr="00FD5FE9" w:rsidRDefault="00FD5FE9" w:rsidP="00FD5FE9">
            <w:pPr>
              <w:pStyle w:val="ListParagraph"/>
              <w:numPr>
                <w:ilvl w:val="0"/>
                <w:numId w:val="38"/>
              </w:numPr>
              <w:rPr>
                <w:b w:val="0"/>
                <w:sz w:val="18"/>
              </w:rPr>
            </w:pPr>
            <w:r w:rsidRPr="00FD5FE9">
              <w:rPr>
                <w:b w:val="0"/>
                <w:sz w:val="18"/>
              </w:rPr>
              <w:t>Bank statements for the year, investments, payables, unused checks, petty cash, bank accounts, and payroll reports including taxes.</w:t>
            </w:r>
          </w:p>
          <w:p w:rsidR="0034350F" w:rsidRPr="00392E8B" w:rsidRDefault="00FD5FE9" w:rsidP="00FD5FE9">
            <w:pPr>
              <w:rPr>
                <w:b w:val="0"/>
                <w:bCs w:val="0"/>
                <w:sz w:val="18"/>
              </w:rPr>
            </w:pPr>
            <w:r w:rsidRPr="00FD5FE9">
              <w:rPr>
                <w:b w:val="0"/>
                <w:bCs w:val="0"/>
                <w:sz w:val="18"/>
              </w:rPr>
              <w:t>Collect and void all unused checks and destroy all credit and debit cards. Close accounts after</w:t>
            </w:r>
            <w:r>
              <w:rPr>
                <w:b w:val="0"/>
                <w:bCs w:val="0"/>
                <w:sz w:val="18"/>
              </w:rPr>
              <w:t xml:space="preserve"> </w:t>
            </w:r>
            <w:r w:rsidRPr="00FD5FE9">
              <w:rPr>
                <w:b w:val="0"/>
                <w:bCs w:val="0"/>
                <w:sz w:val="18"/>
              </w:rPr>
              <w:t>transactions have cleared.</w:t>
            </w:r>
          </w:p>
        </w:tc>
        <w:tc>
          <w:tcPr>
            <w:tcW w:w="990" w:type="dxa"/>
            <w:shd w:val="clear" w:color="auto" w:fill="F2F2F2" w:themeFill="background1" w:themeFillShade="F2"/>
          </w:tcPr>
          <w:p w:rsidR="0034350F" w:rsidRDefault="0034350F" w:rsidP="00FD5FE9">
            <w:pPr>
              <w:cnfStyle w:val="000000000000"/>
            </w:pPr>
          </w:p>
        </w:tc>
        <w:tc>
          <w:tcPr>
            <w:tcW w:w="1080" w:type="dxa"/>
            <w:shd w:val="clear" w:color="auto" w:fill="F2F2F2" w:themeFill="background1" w:themeFillShade="F2"/>
          </w:tcPr>
          <w:p w:rsidR="0034350F" w:rsidRDefault="0034350F" w:rsidP="00FD5FE9">
            <w:pPr>
              <w:cnfStyle w:val="000000000000"/>
            </w:pPr>
          </w:p>
        </w:tc>
        <w:tc>
          <w:tcPr>
            <w:tcW w:w="1098" w:type="dxa"/>
            <w:shd w:val="clear" w:color="auto" w:fill="F2F2F2" w:themeFill="background1" w:themeFillShade="F2"/>
          </w:tcPr>
          <w:p w:rsidR="0034350F" w:rsidRDefault="0034350F" w:rsidP="00FD5FE9">
            <w:pPr>
              <w:cnfStyle w:val="000000000000"/>
            </w:pPr>
          </w:p>
        </w:tc>
      </w:tr>
      <w:tr w:rsidR="0034350F" w:rsidTr="00FD5FE9">
        <w:trPr>
          <w:cnfStyle w:val="000000100000"/>
        </w:trPr>
        <w:tc>
          <w:tcPr>
            <w:cnfStyle w:val="001000000000"/>
            <w:tcW w:w="7848" w:type="dxa"/>
          </w:tcPr>
          <w:p w:rsidR="00FD5FE9" w:rsidRPr="00FD5FE9" w:rsidRDefault="00FD5FE9" w:rsidP="00FD5FE9">
            <w:pPr>
              <w:rPr>
                <w:bCs w:val="0"/>
                <w:sz w:val="20"/>
                <w:szCs w:val="20"/>
              </w:rPr>
            </w:pPr>
            <w:r w:rsidRPr="00FD5FE9">
              <w:rPr>
                <w:bCs w:val="0"/>
                <w:sz w:val="20"/>
                <w:szCs w:val="20"/>
              </w:rPr>
              <w:t>Close Out All State and Federal Grants</w:t>
            </w:r>
          </w:p>
          <w:p w:rsidR="0034350F" w:rsidRPr="00392E8B" w:rsidRDefault="00FD5FE9" w:rsidP="00FD5FE9">
            <w:pPr>
              <w:rPr>
                <w:b w:val="0"/>
                <w:bCs w:val="0"/>
                <w:sz w:val="18"/>
              </w:rPr>
            </w:pPr>
            <w:r w:rsidRPr="00FD5FE9">
              <w:rPr>
                <w:b w:val="0"/>
                <w:bCs w:val="0"/>
                <w:sz w:val="18"/>
              </w:rPr>
              <w:t>Close out state, federal, and other grants. This includes filing any required expenditure reports or</w:t>
            </w:r>
            <w:r>
              <w:rPr>
                <w:b w:val="0"/>
                <w:bCs w:val="0"/>
                <w:sz w:val="18"/>
              </w:rPr>
              <w:t xml:space="preserve"> </w:t>
            </w:r>
            <w:r w:rsidRPr="00FD5FE9">
              <w:rPr>
                <w:b w:val="0"/>
                <w:bCs w:val="0"/>
                <w:sz w:val="18"/>
              </w:rPr>
              <w:t>receipts and any required program reports, including disposition of grant assets.</w:t>
            </w:r>
          </w:p>
        </w:tc>
        <w:tc>
          <w:tcPr>
            <w:tcW w:w="990" w:type="dxa"/>
          </w:tcPr>
          <w:p w:rsidR="0034350F" w:rsidRDefault="0034350F" w:rsidP="00FD5FE9">
            <w:pPr>
              <w:cnfStyle w:val="000000100000"/>
            </w:pPr>
          </w:p>
        </w:tc>
        <w:tc>
          <w:tcPr>
            <w:tcW w:w="1080" w:type="dxa"/>
          </w:tcPr>
          <w:p w:rsidR="0034350F" w:rsidRDefault="0034350F" w:rsidP="00FD5FE9">
            <w:pPr>
              <w:cnfStyle w:val="000000100000"/>
            </w:pPr>
          </w:p>
        </w:tc>
        <w:tc>
          <w:tcPr>
            <w:tcW w:w="1098" w:type="dxa"/>
          </w:tcPr>
          <w:p w:rsidR="0034350F" w:rsidRDefault="0034350F" w:rsidP="00FD5FE9">
            <w:pPr>
              <w:cnfStyle w:val="000000100000"/>
            </w:pPr>
          </w:p>
        </w:tc>
      </w:tr>
      <w:tr w:rsidR="0034350F" w:rsidTr="0034350F">
        <w:tc>
          <w:tcPr>
            <w:cnfStyle w:val="001000000000"/>
            <w:tcW w:w="7848" w:type="dxa"/>
            <w:shd w:val="clear" w:color="auto" w:fill="F2F2F2" w:themeFill="background1" w:themeFillShade="F2"/>
          </w:tcPr>
          <w:p w:rsidR="00FD5FE9" w:rsidRPr="00FD5FE9" w:rsidRDefault="00FD5FE9" w:rsidP="00FD5FE9">
            <w:pPr>
              <w:rPr>
                <w:bCs w:val="0"/>
                <w:sz w:val="20"/>
                <w:szCs w:val="20"/>
              </w:rPr>
            </w:pPr>
            <w:r w:rsidRPr="00FD5FE9">
              <w:rPr>
                <w:bCs w:val="0"/>
                <w:sz w:val="20"/>
                <w:szCs w:val="20"/>
              </w:rPr>
              <w:t>Prepare Final Financial Statement</w:t>
            </w:r>
          </w:p>
          <w:p w:rsidR="00FD5FE9" w:rsidRPr="00FD5FE9" w:rsidRDefault="00FD5FE9" w:rsidP="00FD5FE9">
            <w:pPr>
              <w:rPr>
                <w:b w:val="0"/>
                <w:bCs w:val="0"/>
                <w:sz w:val="18"/>
              </w:rPr>
            </w:pPr>
            <w:r w:rsidRPr="00FD5FE9">
              <w:rPr>
                <w:b w:val="0"/>
                <w:bCs w:val="0"/>
                <w:sz w:val="18"/>
              </w:rPr>
              <w:t>Retain an independent accountant to prepare a final statement of the status of all contracts and</w:t>
            </w:r>
            <w:r>
              <w:rPr>
                <w:b w:val="0"/>
                <w:bCs w:val="0"/>
                <w:sz w:val="18"/>
              </w:rPr>
              <w:t xml:space="preserve"> </w:t>
            </w:r>
            <w:r w:rsidRPr="00FD5FE9">
              <w:rPr>
                <w:b w:val="0"/>
                <w:bCs w:val="0"/>
                <w:sz w:val="18"/>
              </w:rPr>
              <w:t>other obligations of the school, and all funds owed to the school, showing:</w:t>
            </w:r>
          </w:p>
          <w:p w:rsidR="00FD5FE9" w:rsidRPr="00FD5FE9" w:rsidRDefault="00FD5FE9" w:rsidP="00FD5FE9">
            <w:pPr>
              <w:pStyle w:val="ListParagraph"/>
              <w:numPr>
                <w:ilvl w:val="0"/>
                <w:numId w:val="36"/>
              </w:numPr>
              <w:ind w:left="360"/>
              <w:rPr>
                <w:b w:val="0"/>
                <w:sz w:val="18"/>
              </w:rPr>
            </w:pPr>
            <w:r w:rsidRPr="00FD5FE9">
              <w:rPr>
                <w:b w:val="0"/>
                <w:sz w:val="18"/>
              </w:rPr>
              <w:t>All assets and the value and location thereof.</w:t>
            </w:r>
          </w:p>
          <w:p w:rsidR="00FD5FE9" w:rsidRPr="00FD5FE9" w:rsidRDefault="00FD5FE9" w:rsidP="00FD5FE9">
            <w:pPr>
              <w:pStyle w:val="ListParagraph"/>
              <w:numPr>
                <w:ilvl w:val="0"/>
                <w:numId w:val="36"/>
              </w:numPr>
              <w:ind w:left="360"/>
              <w:rPr>
                <w:b w:val="0"/>
                <w:sz w:val="18"/>
              </w:rPr>
            </w:pPr>
            <w:r w:rsidRPr="00FD5FE9">
              <w:rPr>
                <w:b w:val="0"/>
                <w:sz w:val="18"/>
              </w:rPr>
              <w:t>Each remaining creditor and amounts owed.</w:t>
            </w:r>
          </w:p>
          <w:p w:rsidR="00FD5FE9" w:rsidRDefault="00FD5FE9" w:rsidP="00FD5FE9">
            <w:pPr>
              <w:pStyle w:val="ListParagraph"/>
              <w:numPr>
                <w:ilvl w:val="0"/>
                <w:numId w:val="36"/>
              </w:numPr>
              <w:ind w:left="360"/>
              <w:rPr>
                <w:b w:val="0"/>
                <w:sz w:val="18"/>
              </w:rPr>
            </w:pPr>
            <w:r w:rsidRPr="00FD5FE9">
              <w:rPr>
                <w:b w:val="0"/>
                <w:sz w:val="18"/>
              </w:rPr>
              <w:t xml:space="preserve">Statement that all debts have been collected or </w:t>
            </w:r>
            <w:proofErr w:type="gramStart"/>
            <w:r w:rsidRPr="00FD5FE9">
              <w:rPr>
                <w:b w:val="0"/>
                <w:sz w:val="18"/>
              </w:rPr>
              <w:t>that good faith efforts</w:t>
            </w:r>
            <w:proofErr w:type="gramEnd"/>
            <w:r w:rsidRPr="00FD5FE9">
              <w:rPr>
                <w:b w:val="0"/>
                <w:sz w:val="18"/>
              </w:rPr>
              <w:t xml:space="preserve"> have been made to collect same.</w:t>
            </w:r>
          </w:p>
          <w:p w:rsidR="0034350F" w:rsidRPr="00FD5FE9" w:rsidRDefault="00FD5FE9" w:rsidP="00FD5FE9">
            <w:pPr>
              <w:pStyle w:val="ListParagraph"/>
              <w:numPr>
                <w:ilvl w:val="0"/>
                <w:numId w:val="36"/>
              </w:numPr>
              <w:ind w:left="360"/>
              <w:rPr>
                <w:b w:val="0"/>
                <w:sz w:val="18"/>
              </w:rPr>
            </w:pPr>
            <w:r w:rsidRPr="00FD5FE9">
              <w:rPr>
                <w:b w:val="0"/>
                <w:sz w:val="18"/>
              </w:rPr>
              <w:t>Each remaining debtor and the amounts owed.</w:t>
            </w:r>
          </w:p>
        </w:tc>
        <w:tc>
          <w:tcPr>
            <w:tcW w:w="990" w:type="dxa"/>
            <w:shd w:val="clear" w:color="auto" w:fill="F2F2F2" w:themeFill="background1" w:themeFillShade="F2"/>
          </w:tcPr>
          <w:p w:rsidR="0034350F" w:rsidRDefault="0034350F" w:rsidP="00FD5FE9">
            <w:pPr>
              <w:cnfStyle w:val="000000000000"/>
            </w:pPr>
          </w:p>
        </w:tc>
        <w:tc>
          <w:tcPr>
            <w:tcW w:w="1080" w:type="dxa"/>
            <w:shd w:val="clear" w:color="auto" w:fill="F2F2F2" w:themeFill="background1" w:themeFillShade="F2"/>
          </w:tcPr>
          <w:p w:rsidR="0034350F" w:rsidRDefault="0034350F" w:rsidP="00FD5FE9">
            <w:pPr>
              <w:cnfStyle w:val="000000000000"/>
            </w:pPr>
          </w:p>
        </w:tc>
        <w:tc>
          <w:tcPr>
            <w:tcW w:w="1098" w:type="dxa"/>
            <w:shd w:val="clear" w:color="auto" w:fill="F2F2F2" w:themeFill="background1" w:themeFillShade="F2"/>
          </w:tcPr>
          <w:p w:rsidR="0034350F" w:rsidRDefault="0034350F" w:rsidP="00FD5FE9">
            <w:pPr>
              <w:cnfStyle w:val="000000000000"/>
            </w:pPr>
          </w:p>
        </w:tc>
      </w:tr>
    </w:tbl>
    <w:p w:rsidR="00FD5FE9" w:rsidRDefault="00FD5FE9" w:rsidP="00CE7505">
      <w:r>
        <w:br w:type="page"/>
      </w:r>
    </w:p>
    <w:p w:rsidR="0034350F" w:rsidRPr="00FD5FE9" w:rsidRDefault="00FD5FE9" w:rsidP="00CE7505">
      <w:pPr>
        <w:rPr>
          <w:sz w:val="32"/>
          <w:szCs w:val="32"/>
        </w:rPr>
      </w:pPr>
      <w:r w:rsidRPr="00FD5FE9">
        <w:rPr>
          <w:sz w:val="32"/>
          <w:szCs w:val="32"/>
        </w:rPr>
        <w:lastRenderedPageBreak/>
        <w:t>Finalize School Affairs: Finance (continued)</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gridCol w:w="1318"/>
        <w:gridCol w:w="1280"/>
        <w:gridCol w:w="1073"/>
      </w:tblGrid>
      <w:tr w:rsidR="00FD5FE9" w:rsidTr="0084663C">
        <w:trPr>
          <w:cnfStyle w:val="100000000000"/>
        </w:trPr>
        <w:tc>
          <w:tcPr>
            <w:cnfStyle w:val="001000000000"/>
            <w:tcW w:w="7345" w:type="dxa"/>
            <w:shd w:val="clear" w:color="auto" w:fill="632423" w:themeFill="accent2" w:themeFillShade="80"/>
          </w:tcPr>
          <w:p w:rsidR="00FD5FE9" w:rsidRDefault="00FD5FE9" w:rsidP="00FD5FE9">
            <w:pPr>
              <w:jc w:val="center"/>
            </w:pPr>
            <w:r>
              <w:t>Desc</w:t>
            </w:r>
            <w:r w:rsidRPr="006A0B47">
              <w:t>ription of Required Actions</w:t>
            </w:r>
          </w:p>
        </w:tc>
        <w:tc>
          <w:tcPr>
            <w:tcW w:w="1318" w:type="dxa"/>
            <w:shd w:val="clear" w:color="auto" w:fill="632423" w:themeFill="accent2" w:themeFillShade="80"/>
          </w:tcPr>
          <w:p w:rsidR="00FD5FE9" w:rsidRDefault="00FD5FE9" w:rsidP="00FD5FE9">
            <w:pPr>
              <w:jc w:val="center"/>
              <w:cnfStyle w:val="100000000000"/>
            </w:pPr>
            <w:r>
              <w:t>Responsible</w:t>
            </w:r>
            <w:r>
              <w:br/>
              <w:t>Party</w:t>
            </w:r>
          </w:p>
        </w:tc>
        <w:tc>
          <w:tcPr>
            <w:tcW w:w="1280" w:type="dxa"/>
            <w:shd w:val="clear" w:color="auto" w:fill="632423" w:themeFill="accent2" w:themeFillShade="80"/>
          </w:tcPr>
          <w:p w:rsidR="00FD5FE9" w:rsidRDefault="00FD5FE9" w:rsidP="00FD5FE9">
            <w:pPr>
              <w:jc w:val="center"/>
              <w:cnfStyle w:val="100000000000"/>
            </w:pPr>
            <w:r>
              <w:t>Completion</w:t>
            </w:r>
            <w:r>
              <w:br/>
              <w:t>Date</w:t>
            </w:r>
          </w:p>
        </w:tc>
        <w:tc>
          <w:tcPr>
            <w:tcW w:w="1073" w:type="dxa"/>
            <w:shd w:val="clear" w:color="auto" w:fill="632423" w:themeFill="accent2" w:themeFillShade="80"/>
          </w:tcPr>
          <w:p w:rsidR="00FD5FE9" w:rsidRDefault="00FD5FE9" w:rsidP="00FD5FE9">
            <w:pPr>
              <w:jc w:val="center"/>
              <w:cnfStyle w:val="100000000000"/>
            </w:pPr>
            <w:r w:rsidRPr="006A0B47">
              <w:t>Status</w:t>
            </w:r>
          </w:p>
        </w:tc>
      </w:tr>
      <w:tr w:rsidR="00FD5FE9" w:rsidTr="00FD5FE9">
        <w:trPr>
          <w:cnfStyle w:val="000000100000"/>
        </w:trPr>
        <w:tc>
          <w:tcPr>
            <w:cnfStyle w:val="001000000000"/>
            <w:tcW w:w="7345" w:type="dxa"/>
          </w:tcPr>
          <w:p w:rsidR="00FD5FE9" w:rsidRPr="00FD5FE9" w:rsidRDefault="00FD5FE9" w:rsidP="00FD5FE9">
            <w:pPr>
              <w:rPr>
                <w:sz w:val="20"/>
                <w:szCs w:val="20"/>
              </w:rPr>
            </w:pPr>
            <w:r w:rsidRPr="00FD5FE9">
              <w:rPr>
                <w:sz w:val="20"/>
                <w:szCs w:val="20"/>
              </w:rPr>
              <w:t>Complete Final Financial Audit</w:t>
            </w:r>
          </w:p>
          <w:p w:rsidR="00FD5FE9" w:rsidRPr="00FD5FE9" w:rsidRDefault="00FD5FE9" w:rsidP="00FD5FE9">
            <w:pPr>
              <w:rPr>
                <w:b w:val="0"/>
                <w:sz w:val="18"/>
              </w:rPr>
            </w:pPr>
            <w:r w:rsidRPr="00FD5FE9">
              <w:rPr>
                <w:b w:val="0"/>
                <w:sz w:val="18"/>
              </w:rPr>
              <w:t>Complete a financial audit of the school in accordance with the Charter Schools Act by a date to</w:t>
            </w:r>
            <w:r>
              <w:rPr>
                <w:b w:val="0"/>
                <w:sz w:val="18"/>
              </w:rPr>
              <w:t xml:space="preserve"> be determined by the authoriz</w:t>
            </w:r>
            <w:r w:rsidRPr="00FD5FE9">
              <w:rPr>
                <w:b w:val="0"/>
                <w:sz w:val="18"/>
              </w:rPr>
              <w:t>er.</w:t>
            </w:r>
          </w:p>
        </w:tc>
        <w:tc>
          <w:tcPr>
            <w:tcW w:w="1318" w:type="dxa"/>
          </w:tcPr>
          <w:p w:rsidR="00FD5FE9" w:rsidRDefault="00FD5FE9" w:rsidP="00FD5FE9">
            <w:pPr>
              <w:cnfStyle w:val="000000100000"/>
            </w:pPr>
          </w:p>
        </w:tc>
        <w:tc>
          <w:tcPr>
            <w:tcW w:w="1280" w:type="dxa"/>
          </w:tcPr>
          <w:p w:rsidR="00FD5FE9" w:rsidRDefault="00FD5FE9" w:rsidP="00FD5FE9">
            <w:pPr>
              <w:cnfStyle w:val="000000100000"/>
            </w:pPr>
          </w:p>
        </w:tc>
        <w:tc>
          <w:tcPr>
            <w:tcW w:w="1073" w:type="dxa"/>
          </w:tcPr>
          <w:p w:rsidR="00FD5FE9" w:rsidRDefault="00FD5FE9" w:rsidP="00FD5FE9">
            <w:pPr>
              <w:cnfStyle w:val="000000100000"/>
            </w:pPr>
          </w:p>
        </w:tc>
      </w:tr>
      <w:tr w:rsidR="00FD5FE9" w:rsidTr="00FD5FE9">
        <w:tc>
          <w:tcPr>
            <w:cnfStyle w:val="001000000000"/>
            <w:tcW w:w="7345" w:type="dxa"/>
            <w:shd w:val="clear" w:color="auto" w:fill="F2F2F2" w:themeFill="background1" w:themeFillShade="F2"/>
          </w:tcPr>
          <w:p w:rsidR="00FD5FE9" w:rsidRPr="00FD5FE9" w:rsidRDefault="00FD5FE9" w:rsidP="00FD5FE9">
            <w:pPr>
              <w:rPr>
                <w:sz w:val="20"/>
                <w:szCs w:val="20"/>
              </w:rPr>
            </w:pPr>
            <w:r w:rsidRPr="00FD5FE9">
              <w:rPr>
                <w:sz w:val="20"/>
                <w:szCs w:val="20"/>
              </w:rPr>
              <w:t>Reconcile with Authorizer</w:t>
            </w:r>
          </w:p>
          <w:p w:rsidR="00FD5FE9" w:rsidRPr="00FD5FE9" w:rsidRDefault="00FD5FE9" w:rsidP="00FD5FE9">
            <w:pPr>
              <w:rPr>
                <w:b w:val="0"/>
                <w:sz w:val="18"/>
              </w:rPr>
            </w:pPr>
            <w:r w:rsidRPr="00FD5FE9">
              <w:rPr>
                <w:b w:val="0"/>
                <w:sz w:val="18"/>
              </w:rPr>
              <w:t>Reconcile authorizer billings and payments, including special education payments or other</w:t>
            </w:r>
            <w:r>
              <w:rPr>
                <w:b w:val="0"/>
                <w:sz w:val="18"/>
              </w:rPr>
              <w:t xml:space="preserve"> </w:t>
            </w:r>
            <w:r w:rsidRPr="00FD5FE9">
              <w:rPr>
                <w:b w:val="0"/>
                <w:sz w:val="18"/>
              </w:rPr>
              <w:t>“lagged” payments. If the school owes the authorizer money, it should list the authorizer as a</w:t>
            </w:r>
            <w:r>
              <w:rPr>
                <w:b w:val="0"/>
                <w:sz w:val="18"/>
              </w:rPr>
              <w:t xml:space="preserve"> </w:t>
            </w:r>
            <w:r w:rsidRPr="00FD5FE9">
              <w:rPr>
                <w:b w:val="0"/>
                <w:sz w:val="18"/>
              </w:rPr>
              <w:t>creditor and treat it accordingly.</w:t>
            </w:r>
          </w:p>
        </w:tc>
        <w:tc>
          <w:tcPr>
            <w:tcW w:w="1318" w:type="dxa"/>
            <w:shd w:val="clear" w:color="auto" w:fill="F2F2F2" w:themeFill="background1" w:themeFillShade="F2"/>
          </w:tcPr>
          <w:p w:rsidR="00FD5FE9" w:rsidRDefault="00FD5FE9" w:rsidP="00FD5FE9">
            <w:pPr>
              <w:cnfStyle w:val="000000000000"/>
            </w:pPr>
          </w:p>
        </w:tc>
        <w:tc>
          <w:tcPr>
            <w:tcW w:w="1280" w:type="dxa"/>
            <w:shd w:val="clear" w:color="auto" w:fill="F2F2F2" w:themeFill="background1" w:themeFillShade="F2"/>
          </w:tcPr>
          <w:p w:rsidR="00FD5FE9" w:rsidRDefault="00FD5FE9" w:rsidP="00FD5FE9">
            <w:pPr>
              <w:cnfStyle w:val="000000000000"/>
            </w:pPr>
          </w:p>
        </w:tc>
        <w:tc>
          <w:tcPr>
            <w:tcW w:w="1073" w:type="dxa"/>
            <w:shd w:val="clear" w:color="auto" w:fill="F2F2F2" w:themeFill="background1" w:themeFillShade="F2"/>
          </w:tcPr>
          <w:p w:rsidR="00FD5FE9" w:rsidRDefault="00FD5FE9" w:rsidP="00FD5FE9">
            <w:pPr>
              <w:cnfStyle w:val="000000000000"/>
            </w:pPr>
          </w:p>
        </w:tc>
      </w:tr>
    </w:tbl>
    <w:p w:rsidR="00FD5FE9" w:rsidRDefault="00FD5FE9" w:rsidP="00CE7505">
      <w:r>
        <w:br w:type="page"/>
      </w:r>
    </w:p>
    <w:p w:rsidR="00FD5FE9" w:rsidRPr="00FD5FE9" w:rsidRDefault="00FD5FE9" w:rsidP="00CE7505">
      <w:pPr>
        <w:rPr>
          <w:sz w:val="32"/>
          <w:szCs w:val="32"/>
        </w:rPr>
      </w:pPr>
      <w:r w:rsidRPr="00FD5FE9">
        <w:rPr>
          <w:sz w:val="32"/>
          <w:szCs w:val="32"/>
        </w:rPr>
        <w:lastRenderedPageBreak/>
        <w:t>Finalize School Affairs: Reporting</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gridCol w:w="1318"/>
        <w:gridCol w:w="1280"/>
        <w:gridCol w:w="1073"/>
      </w:tblGrid>
      <w:tr w:rsidR="00FD5FE9" w:rsidTr="0084663C">
        <w:trPr>
          <w:cnfStyle w:val="100000000000"/>
        </w:trPr>
        <w:tc>
          <w:tcPr>
            <w:cnfStyle w:val="001000000000"/>
            <w:tcW w:w="7345" w:type="dxa"/>
            <w:shd w:val="clear" w:color="auto" w:fill="215868" w:themeFill="accent5" w:themeFillShade="80"/>
          </w:tcPr>
          <w:p w:rsidR="00FD5FE9" w:rsidRDefault="00FD5FE9" w:rsidP="00FD5FE9">
            <w:pPr>
              <w:jc w:val="center"/>
            </w:pPr>
            <w:r>
              <w:t>Desc</w:t>
            </w:r>
            <w:r w:rsidRPr="006A0B47">
              <w:t>ription of Required Actions</w:t>
            </w:r>
          </w:p>
        </w:tc>
        <w:tc>
          <w:tcPr>
            <w:tcW w:w="1318" w:type="dxa"/>
            <w:shd w:val="clear" w:color="auto" w:fill="215868" w:themeFill="accent5" w:themeFillShade="80"/>
          </w:tcPr>
          <w:p w:rsidR="00FD5FE9" w:rsidRDefault="00FD5FE9" w:rsidP="00FD5FE9">
            <w:pPr>
              <w:jc w:val="center"/>
              <w:cnfStyle w:val="100000000000"/>
            </w:pPr>
            <w:r>
              <w:t>Responsible</w:t>
            </w:r>
            <w:r>
              <w:br/>
              <w:t>Party</w:t>
            </w:r>
          </w:p>
        </w:tc>
        <w:tc>
          <w:tcPr>
            <w:tcW w:w="1280" w:type="dxa"/>
            <w:shd w:val="clear" w:color="auto" w:fill="215868" w:themeFill="accent5" w:themeFillShade="80"/>
          </w:tcPr>
          <w:p w:rsidR="00FD5FE9" w:rsidRDefault="00FD5FE9" w:rsidP="00FD5FE9">
            <w:pPr>
              <w:jc w:val="center"/>
              <w:cnfStyle w:val="100000000000"/>
            </w:pPr>
            <w:r>
              <w:t>Completion</w:t>
            </w:r>
            <w:r>
              <w:br/>
              <w:t>Date</w:t>
            </w:r>
          </w:p>
        </w:tc>
        <w:tc>
          <w:tcPr>
            <w:tcW w:w="1073" w:type="dxa"/>
            <w:shd w:val="clear" w:color="auto" w:fill="215868" w:themeFill="accent5" w:themeFillShade="80"/>
          </w:tcPr>
          <w:p w:rsidR="00FD5FE9" w:rsidRDefault="00FD5FE9" w:rsidP="00FD5FE9">
            <w:pPr>
              <w:jc w:val="center"/>
              <w:cnfStyle w:val="100000000000"/>
            </w:pPr>
            <w:r w:rsidRPr="006A0B47">
              <w:t>Status</w:t>
            </w:r>
          </w:p>
        </w:tc>
      </w:tr>
      <w:tr w:rsidR="00FD5FE9" w:rsidTr="00FD5FE9">
        <w:trPr>
          <w:cnfStyle w:val="000000100000"/>
        </w:trPr>
        <w:tc>
          <w:tcPr>
            <w:cnfStyle w:val="001000000000"/>
            <w:tcW w:w="7345" w:type="dxa"/>
          </w:tcPr>
          <w:p w:rsidR="00FD5FE9" w:rsidRPr="00FD5FE9" w:rsidRDefault="00FD5FE9" w:rsidP="00FD5FE9">
            <w:pPr>
              <w:rPr>
                <w:sz w:val="20"/>
                <w:szCs w:val="20"/>
              </w:rPr>
            </w:pPr>
            <w:r w:rsidRPr="00FD5FE9">
              <w:rPr>
                <w:sz w:val="20"/>
                <w:szCs w:val="20"/>
              </w:rPr>
              <w:t>Prepare End-of-Year Reports</w:t>
            </w:r>
          </w:p>
          <w:p w:rsidR="00FD5FE9" w:rsidRPr="00FD5FE9" w:rsidRDefault="00FD5FE9" w:rsidP="00FD5FE9">
            <w:pPr>
              <w:rPr>
                <w:b w:val="0"/>
                <w:sz w:val="18"/>
              </w:rPr>
            </w:pPr>
            <w:r w:rsidRPr="00FD5FE9">
              <w:rPr>
                <w:b w:val="0"/>
                <w:sz w:val="18"/>
              </w:rPr>
              <w:t>Prepare and submit all required end-of-year reports to the authorizer.</w:t>
            </w:r>
          </w:p>
        </w:tc>
        <w:tc>
          <w:tcPr>
            <w:tcW w:w="1318" w:type="dxa"/>
          </w:tcPr>
          <w:p w:rsidR="00FD5FE9" w:rsidRDefault="00FD5FE9" w:rsidP="00FD5FE9">
            <w:pPr>
              <w:cnfStyle w:val="000000100000"/>
            </w:pPr>
          </w:p>
        </w:tc>
        <w:tc>
          <w:tcPr>
            <w:tcW w:w="1280" w:type="dxa"/>
          </w:tcPr>
          <w:p w:rsidR="00FD5FE9" w:rsidRDefault="00FD5FE9" w:rsidP="00FD5FE9">
            <w:pPr>
              <w:cnfStyle w:val="000000100000"/>
            </w:pPr>
          </w:p>
        </w:tc>
        <w:tc>
          <w:tcPr>
            <w:tcW w:w="1073" w:type="dxa"/>
          </w:tcPr>
          <w:p w:rsidR="00FD5FE9" w:rsidRDefault="00FD5FE9" w:rsidP="00FD5FE9">
            <w:pPr>
              <w:cnfStyle w:val="000000100000"/>
            </w:pPr>
          </w:p>
        </w:tc>
      </w:tr>
      <w:tr w:rsidR="00FD5FE9" w:rsidTr="00FD5FE9">
        <w:tc>
          <w:tcPr>
            <w:cnfStyle w:val="001000000000"/>
            <w:tcW w:w="7345" w:type="dxa"/>
            <w:shd w:val="clear" w:color="auto" w:fill="F2F2F2" w:themeFill="background1" w:themeFillShade="F2"/>
          </w:tcPr>
          <w:p w:rsidR="00FD5FE9" w:rsidRPr="00FD5FE9" w:rsidRDefault="00FD5FE9" w:rsidP="00FD5FE9">
            <w:pPr>
              <w:tabs>
                <w:tab w:val="left" w:pos="2545"/>
              </w:tabs>
              <w:rPr>
                <w:sz w:val="20"/>
                <w:szCs w:val="20"/>
              </w:rPr>
            </w:pPr>
            <w:r w:rsidRPr="00FD5FE9">
              <w:rPr>
                <w:sz w:val="20"/>
                <w:szCs w:val="20"/>
              </w:rPr>
              <w:t>Prepare Final Report Cards and Student Records Notice</w:t>
            </w:r>
          </w:p>
          <w:p w:rsidR="00FD5FE9" w:rsidRPr="00FD5FE9" w:rsidRDefault="00FD5FE9" w:rsidP="00FD5FE9">
            <w:pPr>
              <w:tabs>
                <w:tab w:val="left" w:pos="2545"/>
              </w:tabs>
              <w:rPr>
                <w:b w:val="0"/>
                <w:sz w:val="18"/>
              </w:rPr>
            </w:pPr>
            <w:r w:rsidRPr="00FD5FE9">
              <w:rPr>
                <w:b w:val="0"/>
                <w:sz w:val="18"/>
              </w:rPr>
              <w:t>Provide parents / guardians with copies of final report cards and notice of where student records</w:t>
            </w:r>
            <w:r>
              <w:rPr>
                <w:b w:val="0"/>
                <w:sz w:val="18"/>
              </w:rPr>
              <w:t xml:space="preserve"> </w:t>
            </w:r>
            <w:r w:rsidRPr="00FD5FE9">
              <w:rPr>
                <w:b w:val="0"/>
                <w:sz w:val="18"/>
              </w:rPr>
              <w:t>will be sent along with contact information.</w:t>
            </w:r>
          </w:p>
        </w:tc>
        <w:tc>
          <w:tcPr>
            <w:tcW w:w="1318" w:type="dxa"/>
            <w:shd w:val="clear" w:color="auto" w:fill="F2F2F2" w:themeFill="background1" w:themeFillShade="F2"/>
          </w:tcPr>
          <w:p w:rsidR="00FD5FE9" w:rsidRDefault="00FD5FE9" w:rsidP="00FD5FE9">
            <w:pPr>
              <w:cnfStyle w:val="000000000000"/>
            </w:pPr>
          </w:p>
        </w:tc>
        <w:tc>
          <w:tcPr>
            <w:tcW w:w="1280" w:type="dxa"/>
            <w:shd w:val="clear" w:color="auto" w:fill="F2F2F2" w:themeFill="background1" w:themeFillShade="F2"/>
          </w:tcPr>
          <w:p w:rsidR="00FD5FE9" w:rsidRDefault="00FD5FE9" w:rsidP="00FD5FE9">
            <w:pPr>
              <w:cnfStyle w:val="000000000000"/>
            </w:pPr>
          </w:p>
        </w:tc>
        <w:tc>
          <w:tcPr>
            <w:tcW w:w="1073" w:type="dxa"/>
            <w:shd w:val="clear" w:color="auto" w:fill="F2F2F2" w:themeFill="background1" w:themeFillShade="F2"/>
          </w:tcPr>
          <w:p w:rsidR="00FD5FE9" w:rsidRDefault="00FD5FE9" w:rsidP="00FD5FE9">
            <w:pPr>
              <w:cnfStyle w:val="000000000000"/>
            </w:pPr>
          </w:p>
        </w:tc>
      </w:tr>
    </w:tbl>
    <w:p w:rsidR="00FD5FE9" w:rsidRDefault="00FD5FE9" w:rsidP="00CE7505">
      <w:r>
        <w:br w:type="page"/>
      </w:r>
    </w:p>
    <w:p w:rsidR="00FD5FE9" w:rsidRPr="0084663C" w:rsidRDefault="0084663C" w:rsidP="00CE7505">
      <w:pPr>
        <w:rPr>
          <w:sz w:val="32"/>
          <w:szCs w:val="32"/>
        </w:rPr>
      </w:pPr>
      <w:r w:rsidRPr="0084663C">
        <w:rPr>
          <w:sz w:val="32"/>
          <w:szCs w:val="32"/>
        </w:rPr>
        <w:lastRenderedPageBreak/>
        <w:t>Dissolution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gridCol w:w="1318"/>
        <w:gridCol w:w="1280"/>
        <w:gridCol w:w="1073"/>
      </w:tblGrid>
      <w:tr w:rsidR="00FD5FE9" w:rsidTr="0084663C">
        <w:trPr>
          <w:cnfStyle w:val="100000000000"/>
        </w:trPr>
        <w:tc>
          <w:tcPr>
            <w:cnfStyle w:val="001000000000"/>
            <w:tcW w:w="7848" w:type="dxa"/>
            <w:shd w:val="clear" w:color="auto" w:fill="C0504D" w:themeFill="accent2"/>
          </w:tcPr>
          <w:p w:rsidR="00FD5FE9" w:rsidRDefault="00FD5FE9" w:rsidP="00FD5FE9">
            <w:pPr>
              <w:jc w:val="center"/>
            </w:pPr>
            <w:r>
              <w:t>Desc</w:t>
            </w:r>
            <w:r w:rsidRPr="006A0B47">
              <w:t>ription of Required Actions</w:t>
            </w:r>
          </w:p>
        </w:tc>
        <w:tc>
          <w:tcPr>
            <w:tcW w:w="990" w:type="dxa"/>
            <w:shd w:val="clear" w:color="auto" w:fill="C0504D" w:themeFill="accent2"/>
          </w:tcPr>
          <w:p w:rsidR="00FD5FE9" w:rsidRDefault="00FD5FE9" w:rsidP="00FD5FE9">
            <w:pPr>
              <w:jc w:val="center"/>
              <w:cnfStyle w:val="100000000000"/>
            </w:pPr>
            <w:r>
              <w:t>Responsible</w:t>
            </w:r>
            <w:r>
              <w:br/>
              <w:t>Party</w:t>
            </w:r>
          </w:p>
        </w:tc>
        <w:tc>
          <w:tcPr>
            <w:tcW w:w="1080" w:type="dxa"/>
            <w:shd w:val="clear" w:color="auto" w:fill="C0504D" w:themeFill="accent2"/>
          </w:tcPr>
          <w:p w:rsidR="00FD5FE9" w:rsidRDefault="00FD5FE9" w:rsidP="00FD5FE9">
            <w:pPr>
              <w:jc w:val="center"/>
              <w:cnfStyle w:val="100000000000"/>
            </w:pPr>
            <w:r>
              <w:t>Completion</w:t>
            </w:r>
            <w:r>
              <w:br/>
              <w:t>Date</w:t>
            </w:r>
          </w:p>
        </w:tc>
        <w:tc>
          <w:tcPr>
            <w:tcW w:w="1098" w:type="dxa"/>
            <w:shd w:val="clear" w:color="auto" w:fill="C0504D" w:themeFill="accent2"/>
          </w:tcPr>
          <w:p w:rsidR="00FD5FE9" w:rsidRDefault="00FD5FE9" w:rsidP="00FD5FE9">
            <w:pPr>
              <w:jc w:val="center"/>
              <w:cnfStyle w:val="100000000000"/>
            </w:pPr>
            <w:r w:rsidRPr="006A0B47">
              <w:t>Status</w:t>
            </w:r>
          </w:p>
        </w:tc>
      </w:tr>
      <w:tr w:rsidR="00FD5FE9" w:rsidTr="00FD5FE9">
        <w:trPr>
          <w:cnfStyle w:val="000000100000"/>
        </w:trPr>
        <w:tc>
          <w:tcPr>
            <w:cnfStyle w:val="001000000000"/>
            <w:tcW w:w="7848" w:type="dxa"/>
          </w:tcPr>
          <w:p w:rsidR="0084663C" w:rsidRPr="0084663C" w:rsidRDefault="0084663C" w:rsidP="0084663C">
            <w:pPr>
              <w:rPr>
                <w:sz w:val="20"/>
                <w:szCs w:val="20"/>
              </w:rPr>
            </w:pPr>
            <w:r w:rsidRPr="0084663C">
              <w:rPr>
                <w:sz w:val="20"/>
                <w:szCs w:val="20"/>
              </w:rPr>
              <w:t>Dissolve the Charter School</w:t>
            </w:r>
          </w:p>
          <w:p w:rsidR="0084663C" w:rsidRDefault="0084663C" w:rsidP="0084663C">
            <w:pPr>
              <w:pStyle w:val="ListParagraph"/>
              <w:numPr>
                <w:ilvl w:val="0"/>
                <w:numId w:val="50"/>
              </w:numPr>
              <w:ind w:left="360"/>
              <w:rPr>
                <w:b w:val="0"/>
                <w:sz w:val="18"/>
              </w:rPr>
            </w:pPr>
            <w:r w:rsidRPr="0084663C">
              <w:rPr>
                <w:b w:val="0"/>
                <w:sz w:val="18"/>
              </w:rPr>
              <w:t>The charter school board adopts a resolution to dissolve that indicates to whom the assets of the non-profit corporation will be distributed after all creditors have been paid.</w:t>
            </w:r>
          </w:p>
          <w:p w:rsidR="00FD5FE9" w:rsidRPr="0084663C" w:rsidRDefault="0084663C" w:rsidP="0084663C">
            <w:pPr>
              <w:pStyle w:val="ListParagraph"/>
              <w:numPr>
                <w:ilvl w:val="0"/>
                <w:numId w:val="50"/>
              </w:numPr>
              <w:ind w:left="360"/>
              <w:rPr>
                <w:b w:val="0"/>
                <w:sz w:val="18"/>
              </w:rPr>
            </w:pPr>
            <w:r w:rsidRPr="0084663C">
              <w:rPr>
                <w:b w:val="0"/>
                <w:sz w:val="18"/>
              </w:rPr>
              <w:t>Unless otherwise provided in the bylaws, the members (if any) or board votes on the resolution to dissolve. A non-profit corporation is dissolved upon the effective date of its articles of dissolution. (C.R.S. 7-134-103).</w:t>
            </w:r>
          </w:p>
        </w:tc>
        <w:tc>
          <w:tcPr>
            <w:tcW w:w="990" w:type="dxa"/>
          </w:tcPr>
          <w:p w:rsidR="00FD5FE9" w:rsidRDefault="00FD5FE9" w:rsidP="00FD5FE9">
            <w:pPr>
              <w:cnfStyle w:val="000000100000"/>
            </w:pPr>
          </w:p>
        </w:tc>
        <w:tc>
          <w:tcPr>
            <w:tcW w:w="1080" w:type="dxa"/>
          </w:tcPr>
          <w:p w:rsidR="00FD5FE9" w:rsidRDefault="00FD5FE9" w:rsidP="00FD5FE9">
            <w:pPr>
              <w:cnfStyle w:val="000000100000"/>
            </w:pPr>
          </w:p>
        </w:tc>
        <w:tc>
          <w:tcPr>
            <w:tcW w:w="1098" w:type="dxa"/>
          </w:tcPr>
          <w:p w:rsidR="00FD5FE9" w:rsidRDefault="00FD5FE9" w:rsidP="00FD5FE9">
            <w:pPr>
              <w:cnfStyle w:val="000000100000"/>
            </w:pPr>
          </w:p>
        </w:tc>
      </w:tr>
      <w:tr w:rsidR="00FD5FE9" w:rsidTr="00FD5FE9">
        <w:tc>
          <w:tcPr>
            <w:cnfStyle w:val="001000000000"/>
            <w:tcW w:w="7848" w:type="dxa"/>
            <w:shd w:val="clear" w:color="auto" w:fill="F2F2F2" w:themeFill="background1" w:themeFillShade="F2"/>
          </w:tcPr>
          <w:p w:rsidR="0084663C" w:rsidRPr="0084663C" w:rsidRDefault="0084663C" w:rsidP="0084663C">
            <w:pPr>
              <w:rPr>
                <w:sz w:val="20"/>
                <w:szCs w:val="20"/>
              </w:rPr>
            </w:pPr>
            <w:r w:rsidRPr="0084663C">
              <w:rPr>
                <w:sz w:val="20"/>
                <w:szCs w:val="20"/>
              </w:rPr>
              <w:t>Notify the Secretary of State</w:t>
            </w:r>
          </w:p>
          <w:p w:rsidR="0084663C" w:rsidRPr="0084663C" w:rsidRDefault="0084663C" w:rsidP="0084663C">
            <w:pPr>
              <w:rPr>
                <w:b w:val="0"/>
                <w:sz w:val="18"/>
              </w:rPr>
            </w:pPr>
            <w:r w:rsidRPr="0084663C">
              <w:rPr>
                <w:b w:val="0"/>
                <w:sz w:val="18"/>
              </w:rPr>
              <w:t>After the resolution to dissolve is authorized, dissolve the corporation by delivering to the</w:t>
            </w:r>
            <w:r>
              <w:rPr>
                <w:b w:val="0"/>
                <w:sz w:val="18"/>
              </w:rPr>
              <w:t xml:space="preserve"> </w:t>
            </w:r>
            <w:r w:rsidRPr="0084663C">
              <w:rPr>
                <w:b w:val="0"/>
                <w:sz w:val="18"/>
              </w:rPr>
              <w:t>Secretary of State for filing articles of dissolution setting forth:</w:t>
            </w:r>
          </w:p>
          <w:p w:rsidR="0084663C" w:rsidRPr="0084663C" w:rsidRDefault="0084663C" w:rsidP="0084663C">
            <w:pPr>
              <w:pStyle w:val="ListParagraph"/>
              <w:numPr>
                <w:ilvl w:val="0"/>
                <w:numId w:val="48"/>
              </w:numPr>
              <w:ind w:left="360"/>
              <w:rPr>
                <w:b w:val="0"/>
                <w:sz w:val="18"/>
              </w:rPr>
            </w:pPr>
            <w:r w:rsidRPr="0084663C">
              <w:rPr>
                <w:b w:val="0"/>
                <w:sz w:val="18"/>
              </w:rPr>
              <w:t>The name of the non-profit corporation.</w:t>
            </w:r>
          </w:p>
          <w:p w:rsidR="0084663C" w:rsidRPr="0084663C" w:rsidRDefault="0084663C" w:rsidP="0084663C">
            <w:pPr>
              <w:pStyle w:val="ListParagraph"/>
              <w:numPr>
                <w:ilvl w:val="0"/>
                <w:numId w:val="48"/>
              </w:numPr>
              <w:ind w:left="360"/>
              <w:rPr>
                <w:b w:val="0"/>
                <w:sz w:val="18"/>
              </w:rPr>
            </w:pPr>
            <w:r w:rsidRPr="0084663C">
              <w:rPr>
                <w:b w:val="0"/>
                <w:sz w:val="18"/>
              </w:rPr>
              <w:t>The address of the non-profit corporation’s principal office.</w:t>
            </w:r>
          </w:p>
          <w:p w:rsidR="0084663C" w:rsidRPr="0084663C" w:rsidRDefault="0084663C" w:rsidP="0084663C">
            <w:pPr>
              <w:pStyle w:val="ListParagraph"/>
              <w:numPr>
                <w:ilvl w:val="0"/>
                <w:numId w:val="48"/>
              </w:numPr>
              <w:ind w:left="360"/>
              <w:rPr>
                <w:b w:val="0"/>
                <w:sz w:val="18"/>
              </w:rPr>
            </w:pPr>
            <w:r w:rsidRPr="0084663C">
              <w:rPr>
                <w:b w:val="0"/>
                <w:sz w:val="18"/>
              </w:rPr>
              <w:t>The date dissolution was authorized.</w:t>
            </w:r>
          </w:p>
          <w:p w:rsidR="0084663C" w:rsidRPr="0084663C" w:rsidRDefault="0084663C" w:rsidP="0084663C">
            <w:pPr>
              <w:pStyle w:val="ListParagraph"/>
              <w:numPr>
                <w:ilvl w:val="0"/>
                <w:numId w:val="48"/>
              </w:numPr>
              <w:ind w:left="360"/>
              <w:rPr>
                <w:b w:val="0"/>
                <w:sz w:val="18"/>
              </w:rPr>
            </w:pPr>
            <w:r w:rsidRPr="0084663C">
              <w:rPr>
                <w:b w:val="0"/>
                <w:sz w:val="18"/>
              </w:rPr>
              <w:t>If dissolution was authorized by the directors, a statement to that effect.</w:t>
            </w:r>
          </w:p>
          <w:p w:rsidR="0084663C" w:rsidRDefault="0084663C" w:rsidP="0084663C">
            <w:pPr>
              <w:pStyle w:val="ListParagraph"/>
              <w:numPr>
                <w:ilvl w:val="0"/>
                <w:numId w:val="48"/>
              </w:numPr>
              <w:ind w:left="360"/>
              <w:rPr>
                <w:b w:val="0"/>
                <w:sz w:val="18"/>
              </w:rPr>
            </w:pPr>
            <w:r w:rsidRPr="0084663C">
              <w:rPr>
                <w:b w:val="0"/>
                <w:sz w:val="18"/>
              </w:rPr>
              <w:t>If dissolution was approved by the members, a statement of the number of votes cast for the proposal to dissolve.</w:t>
            </w:r>
          </w:p>
          <w:p w:rsidR="00FD5FE9" w:rsidRPr="0084663C" w:rsidRDefault="0084663C" w:rsidP="0084663C">
            <w:pPr>
              <w:pStyle w:val="ListParagraph"/>
              <w:numPr>
                <w:ilvl w:val="0"/>
                <w:numId w:val="48"/>
              </w:numPr>
              <w:ind w:left="360"/>
              <w:rPr>
                <w:b w:val="0"/>
                <w:sz w:val="18"/>
              </w:rPr>
            </w:pPr>
            <w:r w:rsidRPr="0084663C">
              <w:rPr>
                <w:b w:val="0"/>
                <w:sz w:val="18"/>
              </w:rPr>
              <w:t>Such additional information as the Secretary of State determines is necessary or appropriate.</w:t>
            </w:r>
          </w:p>
        </w:tc>
        <w:tc>
          <w:tcPr>
            <w:tcW w:w="990" w:type="dxa"/>
            <w:shd w:val="clear" w:color="auto" w:fill="F2F2F2" w:themeFill="background1" w:themeFillShade="F2"/>
          </w:tcPr>
          <w:p w:rsidR="00FD5FE9" w:rsidRDefault="00FD5FE9" w:rsidP="00FD5FE9">
            <w:pPr>
              <w:cnfStyle w:val="000000000000"/>
            </w:pPr>
          </w:p>
        </w:tc>
        <w:tc>
          <w:tcPr>
            <w:tcW w:w="1080" w:type="dxa"/>
            <w:shd w:val="clear" w:color="auto" w:fill="F2F2F2" w:themeFill="background1" w:themeFillShade="F2"/>
          </w:tcPr>
          <w:p w:rsidR="00FD5FE9" w:rsidRDefault="00FD5FE9" w:rsidP="00FD5FE9">
            <w:pPr>
              <w:cnfStyle w:val="000000000000"/>
            </w:pPr>
          </w:p>
        </w:tc>
        <w:tc>
          <w:tcPr>
            <w:tcW w:w="1098" w:type="dxa"/>
            <w:shd w:val="clear" w:color="auto" w:fill="F2F2F2" w:themeFill="background1" w:themeFillShade="F2"/>
          </w:tcPr>
          <w:p w:rsidR="00FD5FE9" w:rsidRDefault="00FD5FE9" w:rsidP="00FD5FE9">
            <w:pPr>
              <w:cnfStyle w:val="000000000000"/>
            </w:pPr>
          </w:p>
        </w:tc>
      </w:tr>
      <w:tr w:rsidR="00FD5FE9" w:rsidTr="00FD5FE9">
        <w:trPr>
          <w:cnfStyle w:val="000000100000"/>
        </w:trPr>
        <w:tc>
          <w:tcPr>
            <w:cnfStyle w:val="001000000000"/>
            <w:tcW w:w="7848" w:type="dxa"/>
          </w:tcPr>
          <w:p w:rsidR="0084663C" w:rsidRPr="0084663C" w:rsidRDefault="0084663C" w:rsidP="0084663C">
            <w:pPr>
              <w:tabs>
                <w:tab w:val="left" w:pos="1959"/>
              </w:tabs>
              <w:rPr>
                <w:sz w:val="20"/>
                <w:szCs w:val="20"/>
              </w:rPr>
            </w:pPr>
            <w:r w:rsidRPr="0084663C">
              <w:rPr>
                <w:sz w:val="20"/>
                <w:szCs w:val="20"/>
              </w:rPr>
              <w:t>Notify Known Claimants</w:t>
            </w:r>
          </w:p>
          <w:p w:rsidR="00FD5FE9" w:rsidRPr="0084663C" w:rsidRDefault="0084663C" w:rsidP="0084663C">
            <w:pPr>
              <w:tabs>
                <w:tab w:val="left" w:pos="1959"/>
              </w:tabs>
              <w:rPr>
                <w:b w:val="0"/>
                <w:sz w:val="18"/>
              </w:rPr>
            </w:pPr>
            <w:r w:rsidRPr="0084663C">
              <w:rPr>
                <w:b w:val="0"/>
                <w:sz w:val="18"/>
              </w:rPr>
              <w:t>Give written notice of the dissolution to known claimants within 90 days after the effective date of</w:t>
            </w:r>
            <w:r>
              <w:rPr>
                <w:b w:val="0"/>
                <w:sz w:val="18"/>
              </w:rPr>
              <w:t xml:space="preserve"> </w:t>
            </w:r>
            <w:r w:rsidRPr="0084663C">
              <w:rPr>
                <w:b w:val="0"/>
                <w:sz w:val="18"/>
              </w:rPr>
              <w:t>the dissolution.</w:t>
            </w:r>
          </w:p>
        </w:tc>
        <w:tc>
          <w:tcPr>
            <w:tcW w:w="990" w:type="dxa"/>
          </w:tcPr>
          <w:p w:rsidR="00FD5FE9" w:rsidRDefault="00FD5FE9" w:rsidP="00FD5FE9">
            <w:pPr>
              <w:cnfStyle w:val="000000100000"/>
            </w:pPr>
          </w:p>
        </w:tc>
        <w:tc>
          <w:tcPr>
            <w:tcW w:w="1080" w:type="dxa"/>
          </w:tcPr>
          <w:p w:rsidR="00FD5FE9" w:rsidRDefault="00FD5FE9" w:rsidP="00FD5FE9">
            <w:pPr>
              <w:cnfStyle w:val="000000100000"/>
            </w:pPr>
          </w:p>
        </w:tc>
        <w:tc>
          <w:tcPr>
            <w:tcW w:w="1098" w:type="dxa"/>
          </w:tcPr>
          <w:p w:rsidR="00FD5FE9" w:rsidRDefault="00FD5FE9" w:rsidP="00FD5FE9">
            <w:pPr>
              <w:cnfStyle w:val="000000100000"/>
            </w:pPr>
          </w:p>
        </w:tc>
      </w:tr>
      <w:tr w:rsidR="00FD5FE9" w:rsidTr="00FD5FE9">
        <w:tc>
          <w:tcPr>
            <w:cnfStyle w:val="001000000000"/>
            <w:tcW w:w="7848" w:type="dxa"/>
            <w:shd w:val="clear" w:color="auto" w:fill="F2F2F2" w:themeFill="background1" w:themeFillShade="F2"/>
          </w:tcPr>
          <w:p w:rsidR="0084663C" w:rsidRPr="0084663C" w:rsidRDefault="0084663C" w:rsidP="0084663C">
            <w:pPr>
              <w:tabs>
                <w:tab w:val="left" w:pos="2813"/>
              </w:tabs>
              <w:rPr>
                <w:sz w:val="20"/>
                <w:szCs w:val="20"/>
              </w:rPr>
            </w:pPr>
            <w:r w:rsidRPr="0084663C">
              <w:rPr>
                <w:sz w:val="20"/>
                <w:szCs w:val="20"/>
              </w:rPr>
              <w:t>End Corporate Existence</w:t>
            </w:r>
          </w:p>
          <w:p w:rsidR="0084663C" w:rsidRDefault="0084663C" w:rsidP="0084663C">
            <w:pPr>
              <w:tabs>
                <w:tab w:val="left" w:pos="2813"/>
              </w:tabs>
              <w:rPr>
                <w:b w:val="0"/>
                <w:sz w:val="18"/>
              </w:rPr>
            </w:pPr>
            <w:r w:rsidRPr="0084663C">
              <w:rPr>
                <w:b w:val="0"/>
                <w:sz w:val="18"/>
              </w:rPr>
              <w:t>A dissolved non-profit corporation continues its corporate existence, but may not carry on any</w:t>
            </w:r>
            <w:r>
              <w:rPr>
                <w:b w:val="0"/>
                <w:sz w:val="18"/>
              </w:rPr>
              <w:t xml:space="preserve"> </w:t>
            </w:r>
            <w:r w:rsidRPr="0084663C">
              <w:rPr>
                <w:b w:val="0"/>
                <w:sz w:val="18"/>
              </w:rPr>
              <w:t>activities except as is appropriate to wind up and liquidate its affairs, including:</w:t>
            </w:r>
            <w:r>
              <w:rPr>
                <w:b w:val="0"/>
                <w:sz w:val="18"/>
              </w:rPr>
              <w:t xml:space="preserve"> </w:t>
            </w:r>
          </w:p>
          <w:p w:rsidR="0084663C" w:rsidRPr="0084663C" w:rsidRDefault="0084663C" w:rsidP="0084663C">
            <w:pPr>
              <w:pStyle w:val="ListParagraph"/>
              <w:numPr>
                <w:ilvl w:val="0"/>
                <w:numId w:val="46"/>
              </w:numPr>
              <w:tabs>
                <w:tab w:val="left" w:pos="2813"/>
              </w:tabs>
              <w:ind w:left="360"/>
              <w:rPr>
                <w:b w:val="0"/>
                <w:sz w:val="18"/>
              </w:rPr>
            </w:pPr>
            <w:r w:rsidRPr="0084663C">
              <w:rPr>
                <w:b w:val="0"/>
                <w:sz w:val="18"/>
              </w:rPr>
              <w:t>Collecting its assets.</w:t>
            </w:r>
          </w:p>
          <w:p w:rsidR="0084663C" w:rsidRPr="0084663C" w:rsidRDefault="0084663C" w:rsidP="0084663C">
            <w:pPr>
              <w:pStyle w:val="ListParagraph"/>
              <w:numPr>
                <w:ilvl w:val="0"/>
                <w:numId w:val="46"/>
              </w:numPr>
              <w:tabs>
                <w:tab w:val="left" w:pos="2813"/>
              </w:tabs>
              <w:ind w:left="360"/>
              <w:rPr>
                <w:b w:val="0"/>
                <w:sz w:val="18"/>
              </w:rPr>
            </w:pPr>
            <w:r w:rsidRPr="0084663C">
              <w:rPr>
                <w:b w:val="0"/>
                <w:sz w:val="18"/>
              </w:rPr>
              <w:t>Transferring, subject to any contractual or legal requirements, its assets as provided in or authorized by its articles of incorporation or bylaws.</w:t>
            </w:r>
          </w:p>
          <w:p w:rsidR="0084663C" w:rsidRDefault="0084663C" w:rsidP="0084663C">
            <w:pPr>
              <w:pStyle w:val="ListParagraph"/>
              <w:numPr>
                <w:ilvl w:val="0"/>
                <w:numId w:val="46"/>
              </w:numPr>
              <w:tabs>
                <w:tab w:val="left" w:pos="2813"/>
              </w:tabs>
              <w:ind w:left="360"/>
              <w:rPr>
                <w:b w:val="0"/>
                <w:sz w:val="18"/>
              </w:rPr>
            </w:pPr>
            <w:r w:rsidRPr="0084663C">
              <w:rPr>
                <w:b w:val="0"/>
                <w:sz w:val="18"/>
              </w:rPr>
              <w:t>Discharging or making provision for discharging its liabilities.</w:t>
            </w:r>
          </w:p>
          <w:p w:rsidR="00FD5FE9" w:rsidRPr="0084663C" w:rsidRDefault="0084663C" w:rsidP="0084663C">
            <w:pPr>
              <w:pStyle w:val="ListParagraph"/>
              <w:numPr>
                <w:ilvl w:val="0"/>
                <w:numId w:val="46"/>
              </w:numPr>
              <w:tabs>
                <w:tab w:val="left" w:pos="2813"/>
              </w:tabs>
              <w:ind w:left="360"/>
              <w:rPr>
                <w:b w:val="0"/>
                <w:sz w:val="18"/>
              </w:rPr>
            </w:pPr>
            <w:r w:rsidRPr="0084663C">
              <w:rPr>
                <w:b w:val="0"/>
                <w:sz w:val="18"/>
              </w:rPr>
              <w:t xml:space="preserve">Doing every other act necessary to wind up and liquidate its assets and affairs. </w:t>
            </w:r>
            <w:r w:rsidRPr="0084663C">
              <w:rPr>
                <w:b w:val="0"/>
                <w:sz w:val="18"/>
              </w:rPr>
              <w:br/>
              <w:t>(C.R.S. 7-134-105).</w:t>
            </w:r>
          </w:p>
        </w:tc>
        <w:tc>
          <w:tcPr>
            <w:tcW w:w="990" w:type="dxa"/>
            <w:shd w:val="clear" w:color="auto" w:fill="F2F2F2" w:themeFill="background1" w:themeFillShade="F2"/>
          </w:tcPr>
          <w:p w:rsidR="00FD5FE9" w:rsidRDefault="00FD5FE9" w:rsidP="00FD5FE9">
            <w:pPr>
              <w:cnfStyle w:val="000000000000"/>
            </w:pPr>
          </w:p>
        </w:tc>
        <w:tc>
          <w:tcPr>
            <w:tcW w:w="1080" w:type="dxa"/>
            <w:shd w:val="clear" w:color="auto" w:fill="F2F2F2" w:themeFill="background1" w:themeFillShade="F2"/>
          </w:tcPr>
          <w:p w:rsidR="00FD5FE9" w:rsidRDefault="00FD5FE9" w:rsidP="00FD5FE9">
            <w:pPr>
              <w:cnfStyle w:val="000000000000"/>
            </w:pPr>
          </w:p>
        </w:tc>
        <w:tc>
          <w:tcPr>
            <w:tcW w:w="1098" w:type="dxa"/>
            <w:shd w:val="clear" w:color="auto" w:fill="F2F2F2" w:themeFill="background1" w:themeFillShade="F2"/>
          </w:tcPr>
          <w:p w:rsidR="00FD5FE9" w:rsidRDefault="00FD5FE9" w:rsidP="00FD5FE9">
            <w:pPr>
              <w:cnfStyle w:val="000000000000"/>
            </w:pPr>
          </w:p>
        </w:tc>
      </w:tr>
      <w:tr w:rsidR="00FD5FE9" w:rsidTr="00FD5FE9">
        <w:trPr>
          <w:cnfStyle w:val="000000100000"/>
        </w:trPr>
        <w:tc>
          <w:tcPr>
            <w:cnfStyle w:val="001000000000"/>
            <w:tcW w:w="7848" w:type="dxa"/>
          </w:tcPr>
          <w:p w:rsidR="0084663C" w:rsidRPr="0084663C" w:rsidRDefault="00600B91" w:rsidP="0084663C">
            <w:pPr>
              <w:rPr>
                <w:sz w:val="20"/>
                <w:szCs w:val="20"/>
              </w:rPr>
            </w:pPr>
            <w:r>
              <w:rPr>
                <w:sz w:val="20"/>
                <w:szCs w:val="20"/>
              </w:rPr>
              <w:t>Notify IR</w:t>
            </w:r>
            <w:bookmarkStart w:id="0" w:name="_GoBack"/>
            <w:bookmarkEnd w:id="0"/>
            <w:r w:rsidR="0084663C" w:rsidRPr="0084663C">
              <w:rPr>
                <w:sz w:val="20"/>
                <w:szCs w:val="20"/>
              </w:rPr>
              <w:t>S</w:t>
            </w:r>
          </w:p>
          <w:p w:rsidR="00FD5FE9" w:rsidRPr="0084663C" w:rsidRDefault="0084663C" w:rsidP="0084663C">
            <w:pPr>
              <w:rPr>
                <w:b w:val="0"/>
                <w:sz w:val="18"/>
              </w:rPr>
            </w:pPr>
            <w:r w:rsidRPr="0084663C">
              <w:rPr>
                <w:b w:val="0"/>
                <w:sz w:val="18"/>
              </w:rPr>
              <w:t>Notify the IRS of dissolution of the education corporation and its 501(c</w:t>
            </w:r>
            <w:proofErr w:type="gramStart"/>
            <w:r w:rsidRPr="0084663C">
              <w:rPr>
                <w:b w:val="0"/>
                <w:sz w:val="18"/>
              </w:rPr>
              <w:t>)(</w:t>
            </w:r>
            <w:proofErr w:type="gramEnd"/>
            <w:r w:rsidRPr="0084663C">
              <w:rPr>
                <w:b w:val="0"/>
                <w:sz w:val="18"/>
              </w:rPr>
              <w:t>3) status and furnish a</w:t>
            </w:r>
            <w:r>
              <w:rPr>
                <w:b w:val="0"/>
                <w:sz w:val="18"/>
              </w:rPr>
              <w:t xml:space="preserve"> </w:t>
            </w:r>
            <w:r w:rsidRPr="0084663C">
              <w:rPr>
                <w:b w:val="0"/>
                <w:sz w:val="18"/>
              </w:rPr>
              <w:t>copy to the authorizer.</w:t>
            </w:r>
          </w:p>
        </w:tc>
        <w:tc>
          <w:tcPr>
            <w:tcW w:w="990" w:type="dxa"/>
          </w:tcPr>
          <w:p w:rsidR="00FD5FE9" w:rsidRDefault="00FD5FE9" w:rsidP="00FD5FE9">
            <w:pPr>
              <w:cnfStyle w:val="000000100000"/>
            </w:pPr>
          </w:p>
        </w:tc>
        <w:tc>
          <w:tcPr>
            <w:tcW w:w="1080" w:type="dxa"/>
          </w:tcPr>
          <w:p w:rsidR="00FD5FE9" w:rsidRDefault="00FD5FE9" w:rsidP="00FD5FE9">
            <w:pPr>
              <w:cnfStyle w:val="000000100000"/>
            </w:pPr>
          </w:p>
        </w:tc>
        <w:tc>
          <w:tcPr>
            <w:tcW w:w="1098" w:type="dxa"/>
          </w:tcPr>
          <w:p w:rsidR="00FD5FE9" w:rsidRDefault="00FD5FE9" w:rsidP="00FD5FE9">
            <w:pPr>
              <w:cnfStyle w:val="000000100000"/>
            </w:pPr>
          </w:p>
        </w:tc>
      </w:tr>
    </w:tbl>
    <w:p w:rsidR="00FD5FE9" w:rsidRPr="00CE7505" w:rsidRDefault="00FD5FE9" w:rsidP="00CE7505"/>
    <w:sectPr w:rsidR="00FD5FE9" w:rsidRPr="00CE7505" w:rsidSect="00DF78FC">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64" w:rsidRDefault="00A67E64" w:rsidP="00DF78FC">
      <w:pPr>
        <w:spacing w:after="0" w:line="240" w:lineRule="auto"/>
      </w:pPr>
      <w:r>
        <w:separator/>
      </w:r>
    </w:p>
  </w:endnote>
  <w:endnote w:type="continuationSeparator" w:id="0">
    <w:p w:rsidR="00A67E64" w:rsidRDefault="00A67E64" w:rsidP="00DF7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15569"/>
      <w:docPartObj>
        <w:docPartGallery w:val="Page Numbers (Bottom of Page)"/>
        <w:docPartUnique/>
      </w:docPartObj>
    </w:sdtPr>
    <w:sdtEndPr>
      <w:rPr>
        <w:noProof/>
      </w:rPr>
    </w:sdtEndPr>
    <w:sdtContent>
      <w:p w:rsidR="00FD5FE9" w:rsidRDefault="003A74D0">
        <w:pPr>
          <w:pStyle w:val="Footer"/>
          <w:jc w:val="right"/>
        </w:pPr>
        <w:r>
          <w:fldChar w:fldCharType="begin"/>
        </w:r>
        <w:r w:rsidR="00FD5FE9">
          <w:instrText xml:space="preserve"> PAGE   \* MERGEFORMAT </w:instrText>
        </w:r>
        <w:r>
          <w:fldChar w:fldCharType="separate"/>
        </w:r>
        <w:r w:rsidR="00567B2E">
          <w:rPr>
            <w:noProof/>
          </w:rPr>
          <w:t>2</w:t>
        </w:r>
        <w:r>
          <w:rPr>
            <w:noProof/>
          </w:rPr>
          <w:fldChar w:fldCharType="end"/>
        </w:r>
      </w:p>
    </w:sdtContent>
  </w:sdt>
  <w:p w:rsidR="00FD5FE9" w:rsidRDefault="00FD5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64" w:rsidRDefault="00A67E64" w:rsidP="00DF78FC">
      <w:pPr>
        <w:spacing w:after="0" w:line="240" w:lineRule="auto"/>
      </w:pPr>
      <w:r>
        <w:separator/>
      </w:r>
    </w:p>
  </w:footnote>
  <w:footnote w:type="continuationSeparator" w:id="0">
    <w:p w:rsidR="00A67E64" w:rsidRDefault="00A67E64" w:rsidP="00DF7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A83"/>
    <w:multiLevelType w:val="hybridMultilevel"/>
    <w:tmpl w:val="972AB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9077FA"/>
    <w:multiLevelType w:val="hybridMultilevel"/>
    <w:tmpl w:val="EFEE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353A3"/>
    <w:multiLevelType w:val="hybridMultilevel"/>
    <w:tmpl w:val="A7A8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26F25"/>
    <w:multiLevelType w:val="hybridMultilevel"/>
    <w:tmpl w:val="4C44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652CA"/>
    <w:multiLevelType w:val="hybridMultilevel"/>
    <w:tmpl w:val="BA305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F665A"/>
    <w:multiLevelType w:val="hybridMultilevel"/>
    <w:tmpl w:val="7944B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E140E7"/>
    <w:multiLevelType w:val="hybridMultilevel"/>
    <w:tmpl w:val="4A52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F71C8"/>
    <w:multiLevelType w:val="hybridMultilevel"/>
    <w:tmpl w:val="8E92D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D5327A"/>
    <w:multiLevelType w:val="hybridMultilevel"/>
    <w:tmpl w:val="E2AE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C2BA6"/>
    <w:multiLevelType w:val="hybridMultilevel"/>
    <w:tmpl w:val="0D9E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B72C7"/>
    <w:multiLevelType w:val="hybridMultilevel"/>
    <w:tmpl w:val="B3DC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42670"/>
    <w:multiLevelType w:val="hybridMultilevel"/>
    <w:tmpl w:val="7D2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5D5B"/>
    <w:multiLevelType w:val="hybridMultilevel"/>
    <w:tmpl w:val="3E66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06BBE"/>
    <w:multiLevelType w:val="hybridMultilevel"/>
    <w:tmpl w:val="3DAC3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B3083"/>
    <w:multiLevelType w:val="hybridMultilevel"/>
    <w:tmpl w:val="1D56E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370FE"/>
    <w:multiLevelType w:val="hybridMultilevel"/>
    <w:tmpl w:val="2F868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942783"/>
    <w:multiLevelType w:val="hybridMultilevel"/>
    <w:tmpl w:val="3462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66CB3"/>
    <w:multiLevelType w:val="hybridMultilevel"/>
    <w:tmpl w:val="65F8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3162D9"/>
    <w:multiLevelType w:val="hybridMultilevel"/>
    <w:tmpl w:val="DEEE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856CC"/>
    <w:multiLevelType w:val="hybridMultilevel"/>
    <w:tmpl w:val="9B7C7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BB14AE"/>
    <w:multiLevelType w:val="hybridMultilevel"/>
    <w:tmpl w:val="2BF6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9005C"/>
    <w:multiLevelType w:val="hybridMultilevel"/>
    <w:tmpl w:val="A69E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D0DC9"/>
    <w:multiLevelType w:val="hybridMultilevel"/>
    <w:tmpl w:val="254E9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F2765F"/>
    <w:multiLevelType w:val="hybridMultilevel"/>
    <w:tmpl w:val="9CE6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85A10"/>
    <w:multiLevelType w:val="hybridMultilevel"/>
    <w:tmpl w:val="A56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43F5F"/>
    <w:multiLevelType w:val="hybridMultilevel"/>
    <w:tmpl w:val="E39EC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7323C"/>
    <w:multiLevelType w:val="hybridMultilevel"/>
    <w:tmpl w:val="36E8B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EA4934"/>
    <w:multiLevelType w:val="hybridMultilevel"/>
    <w:tmpl w:val="27C87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632F47"/>
    <w:multiLevelType w:val="hybridMultilevel"/>
    <w:tmpl w:val="05280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26CC4"/>
    <w:multiLevelType w:val="hybridMultilevel"/>
    <w:tmpl w:val="E2325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C04C8"/>
    <w:multiLevelType w:val="hybridMultilevel"/>
    <w:tmpl w:val="5A5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50FE3"/>
    <w:multiLevelType w:val="hybridMultilevel"/>
    <w:tmpl w:val="63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5B580A"/>
    <w:multiLevelType w:val="hybridMultilevel"/>
    <w:tmpl w:val="68448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DA85AE0"/>
    <w:multiLevelType w:val="hybridMultilevel"/>
    <w:tmpl w:val="F658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365F7"/>
    <w:multiLevelType w:val="hybridMultilevel"/>
    <w:tmpl w:val="26585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CC7222"/>
    <w:multiLevelType w:val="hybridMultilevel"/>
    <w:tmpl w:val="D438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90799D"/>
    <w:multiLevelType w:val="hybridMultilevel"/>
    <w:tmpl w:val="C0CA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05B4B"/>
    <w:multiLevelType w:val="hybridMultilevel"/>
    <w:tmpl w:val="2E60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200A1"/>
    <w:multiLevelType w:val="hybridMultilevel"/>
    <w:tmpl w:val="BD1A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11E77"/>
    <w:multiLevelType w:val="hybridMultilevel"/>
    <w:tmpl w:val="955A3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1C5B45"/>
    <w:multiLevelType w:val="hybridMultilevel"/>
    <w:tmpl w:val="5FA0D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31D35"/>
    <w:multiLevelType w:val="hybridMultilevel"/>
    <w:tmpl w:val="5362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6480A"/>
    <w:multiLevelType w:val="hybridMultilevel"/>
    <w:tmpl w:val="D656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9D5068"/>
    <w:multiLevelType w:val="hybridMultilevel"/>
    <w:tmpl w:val="F7EA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1C3251"/>
    <w:multiLevelType w:val="hybridMultilevel"/>
    <w:tmpl w:val="D0DC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474ED"/>
    <w:multiLevelType w:val="hybridMultilevel"/>
    <w:tmpl w:val="2F7A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37595"/>
    <w:multiLevelType w:val="hybridMultilevel"/>
    <w:tmpl w:val="3774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C1BAC"/>
    <w:multiLevelType w:val="hybridMultilevel"/>
    <w:tmpl w:val="E320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385B55"/>
    <w:multiLevelType w:val="hybridMultilevel"/>
    <w:tmpl w:val="1578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7097E"/>
    <w:multiLevelType w:val="hybridMultilevel"/>
    <w:tmpl w:val="AD5E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8"/>
  </w:num>
  <w:num w:numId="4">
    <w:abstractNumId w:val="0"/>
  </w:num>
  <w:num w:numId="5">
    <w:abstractNumId w:val="27"/>
  </w:num>
  <w:num w:numId="6">
    <w:abstractNumId w:val="1"/>
  </w:num>
  <w:num w:numId="7">
    <w:abstractNumId w:val="29"/>
  </w:num>
  <w:num w:numId="8">
    <w:abstractNumId w:val="31"/>
  </w:num>
  <w:num w:numId="9">
    <w:abstractNumId w:val="38"/>
  </w:num>
  <w:num w:numId="10">
    <w:abstractNumId w:val="45"/>
  </w:num>
  <w:num w:numId="11">
    <w:abstractNumId w:val="48"/>
  </w:num>
  <w:num w:numId="12">
    <w:abstractNumId w:val="14"/>
  </w:num>
  <w:num w:numId="13">
    <w:abstractNumId w:val="33"/>
  </w:num>
  <w:num w:numId="14">
    <w:abstractNumId w:val="32"/>
  </w:num>
  <w:num w:numId="15">
    <w:abstractNumId w:val="11"/>
  </w:num>
  <w:num w:numId="16">
    <w:abstractNumId w:val="19"/>
  </w:num>
  <w:num w:numId="17">
    <w:abstractNumId w:val="40"/>
  </w:num>
  <w:num w:numId="18">
    <w:abstractNumId w:val="9"/>
  </w:num>
  <w:num w:numId="19">
    <w:abstractNumId w:val="6"/>
  </w:num>
  <w:num w:numId="20">
    <w:abstractNumId w:val="5"/>
  </w:num>
  <w:num w:numId="21">
    <w:abstractNumId w:val="28"/>
  </w:num>
  <w:num w:numId="22">
    <w:abstractNumId w:val="39"/>
  </w:num>
  <w:num w:numId="23">
    <w:abstractNumId w:val="49"/>
  </w:num>
  <w:num w:numId="24">
    <w:abstractNumId w:val="15"/>
  </w:num>
  <w:num w:numId="25">
    <w:abstractNumId w:val="13"/>
  </w:num>
  <w:num w:numId="26">
    <w:abstractNumId w:val="7"/>
  </w:num>
  <w:num w:numId="27">
    <w:abstractNumId w:val="24"/>
  </w:num>
  <w:num w:numId="28">
    <w:abstractNumId w:val="12"/>
  </w:num>
  <w:num w:numId="29">
    <w:abstractNumId w:val="25"/>
  </w:num>
  <w:num w:numId="30">
    <w:abstractNumId w:val="10"/>
  </w:num>
  <w:num w:numId="31">
    <w:abstractNumId w:val="20"/>
  </w:num>
  <w:num w:numId="32">
    <w:abstractNumId w:val="26"/>
  </w:num>
  <w:num w:numId="33">
    <w:abstractNumId w:val="46"/>
  </w:num>
  <w:num w:numId="34">
    <w:abstractNumId w:val="35"/>
  </w:num>
  <w:num w:numId="35">
    <w:abstractNumId w:val="30"/>
  </w:num>
  <w:num w:numId="36">
    <w:abstractNumId w:val="23"/>
  </w:num>
  <w:num w:numId="37">
    <w:abstractNumId w:val="36"/>
  </w:num>
  <w:num w:numId="38">
    <w:abstractNumId w:val="34"/>
  </w:num>
  <w:num w:numId="39">
    <w:abstractNumId w:val="43"/>
  </w:num>
  <w:num w:numId="40">
    <w:abstractNumId w:val="16"/>
  </w:num>
  <w:num w:numId="41">
    <w:abstractNumId w:val="42"/>
  </w:num>
  <w:num w:numId="42">
    <w:abstractNumId w:val="44"/>
  </w:num>
  <w:num w:numId="43">
    <w:abstractNumId w:val="37"/>
  </w:num>
  <w:num w:numId="44">
    <w:abstractNumId w:val="47"/>
  </w:num>
  <w:num w:numId="45">
    <w:abstractNumId w:val="4"/>
  </w:num>
  <w:num w:numId="46">
    <w:abstractNumId w:val="21"/>
  </w:num>
  <w:num w:numId="47">
    <w:abstractNumId w:val="2"/>
  </w:num>
  <w:num w:numId="48">
    <w:abstractNumId w:val="8"/>
  </w:num>
  <w:num w:numId="49">
    <w:abstractNumId w:val="41"/>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F78FC"/>
    <w:rsid w:val="00295C5E"/>
    <w:rsid w:val="003323D8"/>
    <w:rsid w:val="0034350F"/>
    <w:rsid w:val="00392E8B"/>
    <w:rsid w:val="003A74D0"/>
    <w:rsid w:val="0050168D"/>
    <w:rsid w:val="00517CEF"/>
    <w:rsid w:val="00567B2E"/>
    <w:rsid w:val="005E346D"/>
    <w:rsid w:val="00600B91"/>
    <w:rsid w:val="006A0B47"/>
    <w:rsid w:val="00727D44"/>
    <w:rsid w:val="00740BC6"/>
    <w:rsid w:val="0084663C"/>
    <w:rsid w:val="00A67E64"/>
    <w:rsid w:val="00C104DE"/>
    <w:rsid w:val="00CE7505"/>
    <w:rsid w:val="00D557FE"/>
    <w:rsid w:val="00DF78FC"/>
    <w:rsid w:val="00EC6405"/>
    <w:rsid w:val="00FD5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FC"/>
    <w:rPr>
      <w:rFonts w:ascii="Tahoma" w:hAnsi="Tahoma" w:cs="Tahoma"/>
      <w:sz w:val="16"/>
      <w:szCs w:val="16"/>
    </w:rPr>
  </w:style>
  <w:style w:type="character" w:styleId="Hyperlink">
    <w:name w:val="Hyperlink"/>
    <w:basedOn w:val="DefaultParagraphFont"/>
    <w:uiPriority w:val="99"/>
    <w:unhideWhenUsed/>
    <w:rsid w:val="00DF78FC"/>
    <w:rPr>
      <w:color w:val="0000FF" w:themeColor="hyperlink"/>
      <w:u w:val="single"/>
    </w:rPr>
  </w:style>
  <w:style w:type="paragraph" w:styleId="Header">
    <w:name w:val="header"/>
    <w:basedOn w:val="Normal"/>
    <w:link w:val="HeaderChar"/>
    <w:uiPriority w:val="99"/>
    <w:unhideWhenUsed/>
    <w:rsid w:val="00DF7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8FC"/>
  </w:style>
  <w:style w:type="paragraph" w:styleId="Footer">
    <w:name w:val="footer"/>
    <w:basedOn w:val="Normal"/>
    <w:link w:val="FooterChar"/>
    <w:uiPriority w:val="99"/>
    <w:unhideWhenUsed/>
    <w:rsid w:val="00DF7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8FC"/>
  </w:style>
  <w:style w:type="paragraph" w:styleId="ListParagraph">
    <w:name w:val="List Paragraph"/>
    <w:basedOn w:val="Normal"/>
    <w:uiPriority w:val="34"/>
    <w:qFormat/>
    <w:rsid w:val="00517CEF"/>
    <w:pPr>
      <w:ind w:left="720"/>
      <w:contextualSpacing/>
    </w:pPr>
  </w:style>
  <w:style w:type="table" w:styleId="TableGrid">
    <w:name w:val="Table Grid"/>
    <w:basedOn w:val="TableNormal"/>
    <w:uiPriority w:val="59"/>
    <w:rsid w:val="00501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A0B4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FC"/>
    <w:rPr>
      <w:rFonts w:ascii="Tahoma" w:hAnsi="Tahoma" w:cs="Tahoma"/>
      <w:sz w:val="16"/>
      <w:szCs w:val="16"/>
    </w:rPr>
  </w:style>
  <w:style w:type="character" w:styleId="Hyperlink">
    <w:name w:val="Hyperlink"/>
    <w:basedOn w:val="DefaultParagraphFont"/>
    <w:uiPriority w:val="99"/>
    <w:unhideWhenUsed/>
    <w:rsid w:val="00DF78FC"/>
    <w:rPr>
      <w:color w:val="0000FF" w:themeColor="hyperlink"/>
      <w:u w:val="single"/>
    </w:rPr>
  </w:style>
  <w:style w:type="paragraph" w:styleId="Header">
    <w:name w:val="header"/>
    <w:basedOn w:val="Normal"/>
    <w:link w:val="HeaderChar"/>
    <w:uiPriority w:val="99"/>
    <w:unhideWhenUsed/>
    <w:rsid w:val="00DF7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8FC"/>
  </w:style>
  <w:style w:type="paragraph" w:styleId="Footer">
    <w:name w:val="footer"/>
    <w:basedOn w:val="Normal"/>
    <w:link w:val="FooterChar"/>
    <w:uiPriority w:val="99"/>
    <w:unhideWhenUsed/>
    <w:rsid w:val="00DF7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8FC"/>
  </w:style>
  <w:style w:type="paragraph" w:styleId="ListParagraph">
    <w:name w:val="List Paragraph"/>
    <w:basedOn w:val="Normal"/>
    <w:uiPriority w:val="34"/>
    <w:qFormat/>
    <w:rsid w:val="00517CEF"/>
    <w:pPr>
      <w:ind w:left="720"/>
      <w:contextualSpacing/>
    </w:pPr>
  </w:style>
  <w:style w:type="table" w:styleId="TableGrid">
    <w:name w:val="Table Grid"/>
    <w:basedOn w:val="TableNormal"/>
    <w:uiPriority w:val="59"/>
    <w:rsid w:val="00501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A0B4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erschoolquali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rterschoolquality.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johnson</dc:creator>
  <cp:lastModifiedBy>hines_p</cp:lastModifiedBy>
  <cp:revision>2</cp:revision>
  <dcterms:created xsi:type="dcterms:W3CDTF">2011-03-22T16:09:00Z</dcterms:created>
  <dcterms:modified xsi:type="dcterms:W3CDTF">2011-03-22T16:09:00Z</dcterms:modified>
</cp:coreProperties>
</file>