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87144" w:rsidRPr="00587144" w:rsidRDefault="0076517B" w:rsidP="006D0275">
      <w:pPr>
        <w:pStyle w:val="Subhead"/>
      </w:pPr>
      <w:r>
        <w:t>S</w:t>
      </w:r>
      <w:r w:rsidR="00F536F0">
        <w:t>ummary</w:t>
      </w:r>
    </w:p>
    <w:p w:rsidR="00F536F0" w:rsidRPr="00F45426" w:rsidRDefault="00F536F0" w:rsidP="00F536F0">
      <w:r w:rsidRPr="00F536F0">
        <w:t>The intent and scope of monitoring of Resource Management is to apply a systematic approach to ensuring the overall financial health of a School Food Authority’s (SFA) nonprofit school food service. The Resource Management review has been broken down into four monitoring areas; maintenance of the nonprofit school food service account, paid lunch equity, revenue from nonprogram foods, and indirect costs.  The items listed below are necessary to complete the Comprehensive Review and may be requested from the Local Education Agency.  These items will assist the State agency in monitoring the Local Education Agency’s compliance with financial/resource management requirements as set by Federal regulations (7 CFR 210.14, 7 CFR 250 and 2 CFR part 200) for the school meal programs.  The following items will only be requested when a risk indicator has been given in the monitoring area, indicating a comprehensive review of that specific area</w:t>
      </w:r>
      <w:r w:rsidRPr="00E04850">
        <w:t>.</w:t>
      </w:r>
    </w:p>
    <w:p w:rsidR="00587144" w:rsidRPr="00587144" w:rsidRDefault="00F536F0" w:rsidP="006D0275">
      <w:pPr>
        <w:pStyle w:val="Subhead"/>
      </w:pPr>
      <w:r>
        <w:t>Checklist of Potential Requirements</w:t>
      </w:r>
    </w:p>
    <w:p w:rsidR="00F536F0" w:rsidRPr="00F536F0" w:rsidRDefault="0076517B" w:rsidP="0076517B">
      <w:pPr>
        <w:pStyle w:val="SubheadTrebuchet"/>
        <w:numPr>
          <w:ilvl w:val="0"/>
          <w:numId w:val="0"/>
        </w:numPr>
      </w:pPr>
      <w:r>
        <w:t xml:space="preserve">1. </w:t>
      </w:r>
      <w:r w:rsidR="00F536F0" w:rsidRPr="00F536F0">
        <w:t>Maintenance of the Nonprofit School Food Service Account</w:t>
      </w:r>
    </w:p>
    <w:p w:rsidR="00F536F0" w:rsidRPr="0002638F" w:rsidRDefault="00F536F0" w:rsidP="00F536F0">
      <w:pPr>
        <w:pStyle w:val="ListParagraph"/>
        <w:numPr>
          <w:ilvl w:val="0"/>
          <w:numId w:val="14"/>
        </w:numPr>
        <w:contextualSpacing w:val="0"/>
        <w:rPr>
          <w:rFonts w:asciiTheme="minorHAnsi" w:hAnsiTheme="minorHAnsi"/>
          <w:szCs w:val="22"/>
        </w:rPr>
      </w:pPr>
      <w:r w:rsidRPr="0002638F">
        <w:rPr>
          <w:rFonts w:asciiTheme="minorHAnsi" w:hAnsiTheme="minorHAnsi"/>
          <w:szCs w:val="22"/>
        </w:rPr>
        <w:t>The school district’s local internal control policy that ensures only allowable costs are charged to the nonprofit school food service account</w:t>
      </w:r>
    </w:p>
    <w:p w:rsidR="00F536F0" w:rsidRPr="0002638F" w:rsidRDefault="00F536F0" w:rsidP="00F536F0">
      <w:pPr>
        <w:pStyle w:val="ListParagraph"/>
        <w:numPr>
          <w:ilvl w:val="0"/>
          <w:numId w:val="14"/>
        </w:numPr>
        <w:contextualSpacing w:val="0"/>
        <w:rPr>
          <w:rFonts w:asciiTheme="minorHAnsi" w:hAnsiTheme="minorHAnsi"/>
          <w:szCs w:val="22"/>
        </w:rPr>
      </w:pPr>
      <w:r w:rsidRPr="0002638F">
        <w:rPr>
          <w:rFonts w:asciiTheme="minorHAnsi" w:hAnsiTheme="minorHAnsi"/>
          <w:szCs w:val="22"/>
        </w:rPr>
        <w:t xml:space="preserve">Detailed general ledger (G/L) from previous school year listing all activities (revenues, expenditures, adjustments, etc.) posted to Fund 21 for previous school year, including vendor and other descriptions </w:t>
      </w:r>
    </w:p>
    <w:p w:rsidR="00F536F0" w:rsidRPr="00235538" w:rsidRDefault="00F536F0" w:rsidP="00F536F0">
      <w:pPr>
        <w:pStyle w:val="ListParagraph"/>
        <w:numPr>
          <w:ilvl w:val="1"/>
          <w:numId w:val="14"/>
        </w:numPr>
        <w:contextualSpacing w:val="0"/>
        <w:rPr>
          <w:rFonts w:asciiTheme="minorHAnsi" w:hAnsiTheme="minorHAnsi"/>
          <w:szCs w:val="22"/>
        </w:rPr>
      </w:pPr>
      <w:r w:rsidRPr="0002638F">
        <w:rPr>
          <w:rFonts w:asciiTheme="minorHAnsi" w:hAnsiTheme="minorHAnsi"/>
          <w:szCs w:val="22"/>
        </w:rPr>
        <w:t>If detailed G/L fails to provide sufficient data needed for review, more detail will need to be collected</w:t>
      </w:r>
      <w:r>
        <w:rPr>
          <w:rFonts w:asciiTheme="minorHAnsi" w:hAnsiTheme="minorHAnsi"/>
          <w:szCs w:val="22"/>
        </w:rPr>
        <w:t>.</w:t>
      </w:r>
    </w:p>
    <w:p w:rsidR="008E79B2" w:rsidRPr="002C01FF" w:rsidRDefault="009C473B" w:rsidP="0076517B">
      <w:pPr>
        <w:pStyle w:val="SubheadTrebuchet"/>
        <w:rPr>
          <w:rFonts w:asciiTheme="minorHAnsi" w:hAnsiTheme="minorHAnsi"/>
          <w:b w:val="0"/>
          <w:sz w:val="22"/>
          <w:szCs w:val="22"/>
        </w:rPr>
      </w:pPr>
      <w:r w:rsidRPr="002C01FF">
        <w:rPr>
          <w:rFonts w:asciiTheme="minorHAnsi" w:hAnsiTheme="minorHAnsi"/>
          <w:b w:val="0"/>
          <w:sz w:val="22"/>
          <w:szCs w:val="22"/>
        </w:rPr>
        <w:t xml:space="preserve">Wages and benefits: </w:t>
      </w:r>
      <w:r w:rsidRPr="0076517B">
        <w:rPr>
          <w:rFonts w:asciiTheme="minorHAnsi" w:hAnsiTheme="minorHAnsi"/>
          <w:b w:val="0"/>
          <w:sz w:val="22"/>
          <w:szCs w:val="22"/>
        </w:rPr>
        <w:t>detailed payroll documentation for the selected sites of review and central administrative staff, including a list of all staff members and job titles that correspond with supplied payroll documentation</w:t>
      </w:r>
    </w:p>
    <w:p w:rsidR="008E79B2" w:rsidRPr="0076517B" w:rsidRDefault="009C473B" w:rsidP="0076517B">
      <w:pPr>
        <w:pStyle w:val="SubheadTrebuchet"/>
        <w:rPr>
          <w:rFonts w:asciiTheme="minorHAnsi" w:hAnsiTheme="minorHAnsi"/>
          <w:b w:val="0"/>
          <w:sz w:val="22"/>
          <w:szCs w:val="22"/>
        </w:rPr>
      </w:pPr>
      <w:r w:rsidRPr="002C01FF">
        <w:rPr>
          <w:rFonts w:asciiTheme="minorHAnsi" w:hAnsiTheme="minorHAnsi"/>
          <w:b w:val="0"/>
          <w:sz w:val="22"/>
          <w:szCs w:val="22"/>
        </w:rPr>
        <w:t xml:space="preserve">Food and supply cost: </w:t>
      </w:r>
      <w:r w:rsidRPr="0076517B">
        <w:rPr>
          <w:rFonts w:asciiTheme="minorHAnsi" w:hAnsiTheme="minorHAnsi"/>
          <w:b w:val="0"/>
          <w:sz w:val="22"/>
          <w:szCs w:val="22"/>
        </w:rPr>
        <w:t>food, supplies, and equipment invoices/receipts for the month of review</w:t>
      </w:r>
    </w:p>
    <w:p w:rsidR="008E79B2" w:rsidRPr="0076517B" w:rsidRDefault="009C473B" w:rsidP="0076517B">
      <w:pPr>
        <w:pStyle w:val="SubheadTrebuchet"/>
        <w:rPr>
          <w:rFonts w:asciiTheme="minorHAnsi" w:hAnsiTheme="minorHAnsi"/>
          <w:b w:val="0"/>
          <w:sz w:val="22"/>
          <w:szCs w:val="22"/>
        </w:rPr>
      </w:pPr>
      <w:r w:rsidRPr="002C01FF">
        <w:rPr>
          <w:rFonts w:asciiTheme="minorHAnsi" w:hAnsiTheme="minorHAnsi"/>
          <w:b w:val="0"/>
          <w:sz w:val="22"/>
          <w:szCs w:val="22"/>
        </w:rPr>
        <w:t xml:space="preserve">Other: </w:t>
      </w:r>
      <w:r w:rsidRPr="0076517B">
        <w:rPr>
          <w:rFonts w:asciiTheme="minorHAnsi" w:hAnsiTheme="minorHAnsi"/>
          <w:b w:val="0"/>
          <w:sz w:val="22"/>
          <w:szCs w:val="22"/>
        </w:rPr>
        <w:t>all other invoices and  receipts that have been charged to the nonprofit food service account for the month of review</w:t>
      </w:r>
    </w:p>
    <w:p w:rsidR="008E79B2" w:rsidRPr="002C01FF" w:rsidRDefault="009C473B" w:rsidP="0076517B">
      <w:pPr>
        <w:pStyle w:val="SubheadTrebuchet"/>
        <w:rPr>
          <w:rFonts w:asciiTheme="minorHAnsi" w:hAnsiTheme="minorHAnsi"/>
          <w:b w:val="0"/>
          <w:sz w:val="22"/>
          <w:szCs w:val="22"/>
        </w:rPr>
      </w:pPr>
      <w:r w:rsidRPr="002C01FF">
        <w:rPr>
          <w:rFonts w:asciiTheme="minorHAnsi" w:hAnsiTheme="minorHAnsi"/>
          <w:b w:val="0"/>
          <w:sz w:val="22"/>
          <w:szCs w:val="22"/>
        </w:rPr>
        <w:t xml:space="preserve">Capital Outlay:  </w:t>
      </w:r>
      <w:r w:rsidRPr="0076517B">
        <w:rPr>
          <w:rFonts w:asciiTheme="minorHAnsi" w:hAnsiTheme="minorHAnsi"/>
          <w:b w:val="0"/>
          <w:sz w:val="22"/>
          <w:szCs w:val="22"/>
        </w:rPr>
        <w:t>documentation of approval process</w:t>
      </w:r>
      <w:r w:rsidRPr="002C01FF">
        <w:rPr>
          <w:rFonts w:asciiTheme="minorHAnsi" w:hAnsiTheme="minorHAnsi"/>
          <w:b w:val="0"/>
          <w:sz w:val="22"/>
          <w:szCs w:val="22"/>
        </w:rPr>
        <w:t xml:space="preserve"> </w:t>
      </w:r>
    </w:p>
    <w:p w:rsidR="00F536F0" w:rsidRDefault="00F536F0" w:rsidP="0076517B">
      <w:pPr>
        <w:pStyle w:val="SubheadTrebuchet"/>
        <w:numPr>
          <w:ilvl w:val="0"/>
          <w:numId w:val="11"/>
        </w:numPr>
      </w:pPr>
      <w:r w:rsidRPr="00E04850">
        <w:t>Paid Lunch Equity</w:t>
      </w:r>
    </w:p>
    <w:p w:rsidR="00F536F0" w:rsidRDefault="00F536F0" w:rsidP="00F536F0">
      <w:pPr>
        <w:pStyle w:val="ListParagraph"/>
        <w:numPr>
          <w:ilvl w:val="0"/>
          <w:numId w:val="13"/>
        </w:numPr>
        <w:contextualSpacing w:val="0"/>
      </w:pPr>
      <w:r w:rsidRPr="007D475F">
        <w:rPr>
          <w:rFonts w:asciiTheme="minorHAnsi" w:hAnsiTheme="minorHAnsi"/>
        </w:rPr>
        <w:t>Confirmation of student lunch price increases, if applicable (</w:t>
      </w:r>
      <w:proofErr w:type="spellStart"/>
      <w:r w:rsidRPr="007D475F">
        <w:rPr>
          <w:rFonts w:asciiTheme="minorHAnsi" w:hAnsiTheme="minorHAnsi"/>
        </w:rPr>
        <w:t>e.g</w:t>
      </w:r>
      <w:proofErr w:type="spellEnd"/>
      <w:r w:rsidRPr="007D475F">
        <w:rPr>
          <w:rFonts w:asciiTheme="minorHAnsi" w:hAnsiTheme="minorHAnsi"/>
        </w:rPr>
        <w:t>, webpage, parent communication)</w:t>
      </w:r>
    </w:p>
    <w:p w:rsidR="00F536F0" w:rsidRPr="00F536F0" w:rsidRDefault="00F536F0" w:rsidP="00F536F0">
      <w:pPr>
        <w:pStyle w:val="ListParagraph"/>
        <w:numPr>
          <w:ilvl w:val="0"/>
          <w:numId w:val="11"/>
        </w:numPr>
        <w:spacing w:before="60"/>
        <w:contextualSpacing w:val="0"/>
        <w:rPr>
          <w:rFonts w:ascii="Trebuchet MS" w:hAnsi="Trebuchet MS"/>
          <w:b/>
          <w:sz w:val="24"/>
        </w:rPr>
      </w:pPr>
      <w:r w:rsidRPr="00F536F0">
        <w:rPr>
          <w:rFonts w:ascii="Trebuchet MS" w:hAnsi="Trebuchet MS"/>
          <w:b/>
          <w:sz w:val="24"/>
        </w:rPr>
        <w:t xml:space="preserve">Revenue from Nonprogram Foods </w:t>
      </w:r>
    </w:p>
    <w:p w:rsidR="00324CA3" w:rsidRPr="00324CA3" w:rsidRDefault="00F536F0" w:rsidP="00324CA3">
      <w:pPr>
        <w:pStyle w:val="ListParagraph"/>
        <w:numPr>
          <w:ilvl w:val="0"/>
          <w:numId w:val="12"/>
        </w:numPr>
        <w:contextualSpacing w:val="0"/>
        <w:rPr>
          <w:rFonts w:asciiTheme="minorHAnsi" w:hAnsiTheme="minorHAnsi"/>
        </w:rPr>
      </w:pPr>
      <w:r w:rsidRPr="007D475F">
        <w:rPr>
          <w:rFonts w:asciiTheme="minorHAnsi" w:hAnsiTheme="minorHAnsi"/>
        </w:rPr>
        <w:t>Written explanation</w:t>
      </w:r>
      <w:r>
        <w:rPr>
          <w:rFonts w:asciiTheme="minorHAnsi" w:hAnsiTheme="minorHAnsi"/>
        </w:rPr>
        <w:t xml:space="preserve"> or example</w:t>
      </w:r>
      <w:r w:rsidRPr="007D475F">
        <w:rPr>
          <w:rFonts w:asciiTheme="minorHAnsi" w:hAnsiTheme="minorHAnsi"/>
        </w:rPr>
        <w:t xml:space="preserve"> of how the School Food Authority (SFA) separates its program food revenue from nonprogram food revenue </w:t>
      </w:r>
    </w:p>
    <w:p w:rsidR="00F536F0" w:rsidRDefault="00F536F0" w:rsidP="00F536F0">
      <w:pPr>
        <w:pStyle w:val="ListParagraph"/>
        <w:numPr>
          <w:ilvl w:val="0"/>
          <w:numId w:val="12"/>
        </w:numPr>
        <w:contextualSpacing w:val="0"/>
        <w:rPr>
          <w:rFonts w:asciiTheme="minorHAnsi" w:hAnsiTheme="minorHAnsi"/>
        </w:rPr>
      </w:pPr>
      <w:r w:rsidRPr="007D475F">
        <w:rPr>
          <w:rFonts w:asciiTheme="minorHAnsi" w:hAnsiTheme="minorHAnsi"/>
        </w:rPr>
        <w:t xml:space="preserve">Written explanation </w:t>
      </w:r>
      <w:r>
        <w:rPr>
          <w:rFonts w:asciiTheme="minorHAnsi" w:hAnsiTheme="minorHAnsi"/>
        </w:rPr>
        <w:t>or example</w:t>
      </w:r>
      <w:r w:rsidRPr="007D475F">
        <w:rPr>
          <w:rFonts w:asciiTheme="minorHAnsi" w:hAnsiTheme="minorHAnsi"/>
        </w:rPr>
        <w:t xml:space="preserve"> of how the SFA separates its program food costs from nonprogram food costs </w:t>
      </w:r>
    </w:p>
    <w:p w:rsidR="00324CA3" w:rsidRDefault="00324CA3" w:rsidP="00F536F0">
      <w:pPr>
        <w:pStyle w:val="ListParagraph"/>
        <w:numPr>
          <w:ilvl w:val="0"/>
          <w:numId w:val="12"/>
        </w:numPr>
        <w:contextualSpacing w:val="0"/>
        <w:rPr>
          <w:rFonts w:asciiTheme="minorHAnsi" w:hAnsiTheme="minorHAnsi"/>
        </w:rPr>
      </w:pPr>
      <w:r>
        <w:rPr>
          <w:rFonts w:asciiTheme="minorHAnsi" w:hAnsiTheme="minorHAnsi"/>
        </w:rPr>
        <w:t>Point of S</w:t>
      </w:r>
      <w:r w:rsidR="00864DDA">
        <w:rPr>
          <w:rFonts w:asciiTheme="minorHAnsi" w:hAnsiTheme="minorHAnsi"/>
        </w:rPr>
        <w:t>ale (POS)</w:t>
      </w:r>
      <w:r>
        <w:rPr>
          <w:rFonts w:asciiTheme="minorHAnsi" w:hAnsiTheme="minorHAnsi"/>
        </w:rPr>
        <w:t xml:space="preserve"> report for the month of review that captures all </w:t>
      </w:r>
      <w:r w:rsidR="00864DDA">
        <w:rPr>
          <w:rFonts w:asciiTheme="minorHAnsi" w:hAnsiTheme="minorHAnsi"/>
        </w:rPr>
        <w:t xml:space="preserve">nonprogram </w:t>
      </w:r>
      <w:r>
        <w:rPr>
          <w:rFonts w:asciiTheme="minorHAnsi" w:hAnsiTheme="minorHAnsi"/>
        </w:rPr>
        <w:t>items sold</w:t>
      </w:r>
      <w:r w:rsidR="00317B48">
        <w:rPr>
          <w:rFonts w:asciiTheme="minorHAnsi" w:hAnsiTheme="minorHAnsi"/>
        </w:rPr>
        <w:t>, prices included</w:t>
      </w:r>
    </w:p>
    <w:p w:rsidR="00324CA3" w:rsidRPr="007D475F" w:rsidRDefault="00864DDA" w:rsidP="00F536F0">
      <w:pPr>
        <w:pStyle w:val="ListParagraph"/>
        <w:numPr>
          <w:ilvl w:val="0"/>
          <w:numId w:val="12"/>
        </w:numPr>
        <w:contextualSpacing w:val="0"/>
        <w:rPr>
          <w:rFonts w:asciiTheme="minorHAnsi" w:hAnsiTheme="minorHAnsi"/>
        </w:rPr>
      </w:pPr>
      <w:r>
        <w:rPr>
          <w:rFonts w:asciiTheme="minorHAnsi" w:hAnsiTheme="minorHAnsi"/>
        </w:rPr>
        <w:t>Revenue</w:t>
      </w:r>
      <w:r w:rsidR="00324CA3">
        <w:rPr>
          <w:rFonts w:asciiTheme="minorHAnsi" w:hAnsiTheme="minorHAnsi"/>
        </w:rPr>
        <w:t xml:space="preserve"> or deposit report that corresponds with </w:t>
      </w:r>
      <w:r>
        <w:rPr>
          <w:rFonts w:asciiTheme="minorHAnsi" w:hAnsiTheme="minorHAnsi"/>
        </w:rPr>
        <w:t>the POS report requested above</w:t>
      </w:r>
    </w:p>
    <w:p w:rsidR="00F536F0" w:rsidRPr="007D475F" w:rsidRDefault="00F536F0" w:rsidP="00F536F0">
      <w:pPr>
        <w:pStyle w:val="ListParagraph"/>
        <w:numPr>
          <w:ilvl w:val="0"/>
          <w:numId w:val="15"/>
        </w:numPr>
        <w:contextualSpacing w:val="0"/>
        <w:rPr>
          <w:rFonts w:asciiTheme="minorHAnsi" w:hAnsiTheme="minorHAnsi"/>
        </w:rPr>
      </w:pPr>
      <w:r w:rsidRPr="007D475F">
        <w:rPr>
          <w:rFonts w:asciiTheme="minorHAnsi" w:hAnsiTheme="minorHAnsi"/>
        </w:rPr>
        <w:t>The SFA’s pricing methodology for nonprogram food items and adult meals</w:t>
      </w:r>
    </w:p>
    <w:p w:rsidR="00F536F0" w:rsidRPr="00215755" w:rsidRDefault="00F536F0" w:rsidP="00F536F0">
      <w:pPr>
        <w:pStyle w:val="ListParagraph"/>
        <w:numPr>
          <w:ilvl w:val="0"/>
          <w:numId w:val="15"/>
        </w:numPr>
        <w:contextualSpacing w:val="0"/>
        <w:rPr>
          <w:rFonts w:asciiTheme="minorHAnsi" w:hAnsiTheme="minorHAnsi"/>
          <w:sz w:val="24"/>
        </w:rPr>
      </w:pPr>
      <w:r w:rsidRPr="007D475F">
        <w:rPr>
          <w:rFonts w:asciiTheme="minorHAnsi" w:hAnsiTheme="minorHAnsi"/>
        </w:rPr>
        <w:t>A list of all adult meal prices</w:t>
      </w:r>
      <w:r>
        <w:rPr>
          <w:rFonts w:asciiTheme="minorHAnsi" w:hAnsiTheme="minorHAnsi"/>
        </w:rPr>
        <w:t xml:space="preserve"> </w:t>
      </w:r>
      <w:r w:rsidR="00864DDA">
        <w:rPr>
          <w:rFonts w:asciiTheme="minorHAnsi" w:hAnsiTheme="minorHAnsi"/>
        </w:rPr>
        <w:t>(</w:t>
      </w:r>
      <w:r>
        <w:rPr>
          <w:rFonts w:asciiTheme="minorHAnsi" w:hAnsiTheme="minorHAnsi"/>
        </w:rPr>
        <w:t>adult meal counts may need to be collected from previous school year</w:t>
      </w:r>
      <w:r w:rsidR="00864DDA">
        <w:rPr>
          <w:rFonts w:asciiTheme="minorHAnsi" w:hAnsiTheme="minorHAnsi"/>
        </w:rPr>
        <w:t>)</w:t>
      </w:r>
    </w:p>
    <w:p w:rsidR="00F536F0" w:rsidRDefault="00F536F0" w:rsidP="0076517B">
      <w:pPr>
        <w:pStyle w:val="SubheadTrebuchet"/>
        <w:numPr>
          <w:ilvl w:val="0"/>
          <w:numId w:val="11"/>
        </w:numPr>
      </w:pPr>
      <w:r w:rsidRPr="00E04850">
        <w:t>Indirect Costs</w:t>
      </w:r>
    </w:p>
    <w:p w:rsidR="00F536F0" w:rsidRDefault="00F536F0" w:rsidP="00F536F0">
      <w:pPr>
        <w:pStyle w:val="ListParagraph"/>
        <w:numPr>
          <w:ilvl w:val="0"/>
          <w:numId w:val="14"/>
        </w:numPr>
        <w:contextualSpacing w:val="0"/>
        <w:rPr>
          <w:rFonts w:asciiTheme="minorHAnsi" w:hAnsiTheme="minorHAnsi"/>
        </w:rPr>
      </w:pPr>
      <w:r w:rsidRPr="00235538">
        <w:rPr>
          <w:rFonts w:asciiTheme="minorHAnsi" w:hAnsiTheme="minorHAnsi"/>
        </w:rPr>
        <w:t>Support documentation for indirect cost billing to Fund 21</w:t>
      </w:r>
    </w:p>
    <w:p w:rsidR="00F536F0" w:rsidRPr="0076517B" w:rsidRDefault="00F536F0" w:rsidP="00E52705">
      <w:pPr>
        <w:pStyle w:val="ListParagraph"/>
        <w:numPr>
          <w:ilvl w:val="0"/>
          <w:numId w:val="14"/>
        </w:numPr>
        <w:contextualSpacing w:val="0"/>
        <w:rPr>
          <w:rFonts w:asciiTheme="minorHAnsi" w:hAnsiTheme="minorHAnsi"/>
        </w:rPr>
      </w:pPr>
      <w:r w:rsidRPr="0076517B">
        <w:rPr>
          <w:rFonts w:asciiTheme="minorHAnsi" w:hAnsiTheme="minorHAnsi"/>
        </w:rPr>
        <w:t>Additional information may need to be collected for direct changing of indirect cost pool items</w:t>
      </w:r>
    </w:p>
    <w:p w:rsidR="00787DFE" w:rsidRPr="00F536F0" w:rsidRDefault="00787DFE" w:rsidP="00960C4E">
      <w:pPr>
        <w:pStyle w:val="ListParagraph"/>
        <w:numPr>
          <w:ilvl w:val="0"/>
          <w:numId w:val="14"/>
        </w:numPr>
        <w:ind w:left="-720"/>
        <w:contextualSpacing w:val="0"/>
        <w:jc w:val="right"/>
        <w:rPr>
          <w:color w:val="5C6670" w:themeColor="text1"/>
          <w:sz w:val="18"/>
          <w:szCs w:val="18"/>
        </w:rPr>
      </w:pPr>
      <w:r>
        <w:rPr>
          <w:noProof/>
        </w:rPr>
        <mc:AlternateContent>
          <mc:Choice Requires="wps">
            <w:drawing>
              <wp:inline distT="0" distB="0" distL="0" distR="0" wp14:anchorId="278C5AFA" wp14:editId="4E8B037C">
                <wp:extent cx="7856220" cy="807720"/>
                <wp:effectExtent l="0" t="0" r="0" b="0"/>
                <wp:docPr id="2" name="Text Box 2"/>
                <wp:cNvGraphicFramePr/>
                <a:graphic xmlns:a="http://schemas.openxmlformats.org/drawingml/2006/main">
                  <a:graphicData uri="http://schemas.microsoft.com/office/word/2010/wordprocessingShape">
                    <wps:wsp>
                      <wps:cNvSpPr txBox="1"/>
                      <wps:spPr>
                        <a:xfrm>
                          <a:off x="0" y="0"/>
                          <a:ext cx="7856220" cy="807720"/>
                        </a:xfrm>
                        <a:prstGeom prst="rect">
                          <a:avLst/>
                        </a:prstGeom>
                        <a:solidFill>
                          <a:srgbClr val="86C440"/>
                        </a:solidFill>
                        <a:ln>
                          <a:noFill/>
                        </a:ln>
                        <a:effectLst/>
                        <a:extLst>
                          <a:ext uri="{C572A759-6A51-4108-AA02-DFA0A04FC94B}">
                            <ma14:wrappingTextBoxFlag xmlns:cx="http://schemas.microsoft.com/office/drawing/2014/chartex" xmlns:cx1="http://schemas.microsoft.com/office/drawing/2015/9/8/chartex" xmlns:w16se="http://schemas.microsoft.com/office/word/2015/wordml/symex"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F536F0" w:rsidRPr="00A0266C" w:rsidRDefault="00F536F0" w:rsidP="00F536F0">
                            <w:pPr>
                              <w:rPr>
                                <w:rFonts w:asciiTheme="minorHAnsi" w:hAnsiTheme="minorHAnsi"/>
                                <w:color w:val="5C6670" w:themeColor="text1"/>
                                <w:sz w:val="20"/>
                                <w:szCs w:val="20"/>
                              </w:rPr>
                            </w:pPr>
                            <w:r w:rsidRPr="00A0266C">
                              <w:rPr>
                                <w:rFonts w:asciiTheme="minorHAnsi" w:hAnsiTheme="minorHAnsi"/>
                                <w:color w:val="5C6670" w:themeColor="text1"/>
                                <w:sz w:val="20"/>
                                <w:szCs w:val="20"/>
                              </w:rPr>
                              <w:t>Where can I learn more?</w:t>
                            </w:r>
                          </w:p>
                          <w:p w:rsidR="00F536F0" w:rsidRPr="00A0266C" w:rsidRDefault="00750A48" w:rsidP="00A0266C">
                            <w:pPr>
                              <w:pStyle w:val="ListParagraph"/>
                              <w:numPr>
                                <w:ilvl w:val="0"/>
                                <w:numId w:val="10"/>
                              </w:numPr>
                              <w:contextualSpacing w:val="0"/>
                              <w:rPr>
                                <w:rFonts w:asciiTheme="minorHAnsi" w:hAnsiTheme="minorHAnsi"/>
                                <w:color w:val="5C6670" w:themeColor="text1"/>
                                <w:sz w:val="16"/>
                                <w:szCs w:val="16"/>
                              </w:rPr>
                            </w:pPr>
                            <w:hyperlink r:id="rId8" w:history="1">
                              <w:r w:rsidR="00F536F0" w:rsidRPr="00A0266C">
                                <w:rPr>
                                  <w:rStyle w:val="Hyperlink"/>
                                  <w:rFonts w:asciiTheme="minorHAnsi" w:hAnsiTheme="minorHAnsi"/>
                                  <w:sz w:val="16"/>
                                  <w:szCs w:val="16"/>
                                </w:rPr>
                                <w:t>http://www.cde.state.co.us/nutrition/nutrireviews</w:t>
                              </w:r>
                            </w:hyperlink>
                          </w:p>
                          <w:p w:rsidR="00F536F0" w:rsidRPr="00A0266C" w:rsidRDefault="00750A48" w:rsidP="00F536F0">
                            <w:pPr>
                              <w:pStyle w:val="ListParagraph"/>
                              <w:numPr>
                                <w:ilvl w:val="0"/>
                                <w:numId w:val="10"/>
                              </w:numPr>
                              <w:spacing w:after="60"/>
                              <w:rPr>
                                <w:rStyle w:val="Hyperlink"/>
                                <w:rFonts w:asciiTheme="minorHAnsi" w:hAnsiTheme="minorHAnsi"/>
                                <w:color w:val="5C6670" w:themeColor="text1"/>
                                <w:sz w:val="16"/>
                                <w:szCs w:val="16"/>
                              </w:rPr>
                            </w:pPr>
                            <w:hyperlink r:id="rId9" w:history="1">
                              <w:r w:rsidR="00F536F0" w:rsidRPr="00A0266C">
                                <w:rPr>
                                  <w:rStyle w:val="Hyperlink"/>
                                  <w:rFonts w:asciiTheme="minorHAnsi" w:hAnsiTheme="minorHAnsi"/>
                                  <w:sz w:val="16"/>
                                  <w:szCs w:val="16"/>
                                </w:rPr>
                                <w:t>http://www.cde.state.co.us/nutrition/nutritionfinancial</w:t>
                              </w:r>
                            </w:hyperlink>
                          </w:p>
                        </w:txbxContent>
                      </wps:txbx>
                      <wps:bodyPr rot="0" spcFirstLastPara="0" vertOverflow="overflow" horzOverflow="overflow" vert="horz" wrap="square" lIns="731520" tIns="182880" rIns="731520" bIns="182880" numCol="1" spcCol="0" rtlCol="0" fromWordArt="0" anchor="t" anchorCtr="0" forceAA="0" compatLnSpc="1">
                        <a:prstTxWarp prst="textNoShape">
                          <a:avLst/>
                        </a:prstTxWarp>
                        <a:noAutofit/>
                      </wps:bodyPr>
                    </wps:wsp>
                  </a:graphicData>
                </a:graphic>
              </wp:inline>
            </w:drawing>
          </mc:Choice>
          <mc:Fallback>
            <w:pict>
              <v:shapetype w14:anchorId="278C5AFA" id="_x0000_t202" coordsize="21600,21600" o:spt="202" path="m,l,21600r21600,l21600,xe">
                <v:stroke joinstyle="miter"/>
                <v:path gradientshapeok="t" o:connecttype="rect"/>
              </v:shapetype>
              <v:shape id="Text Box 2" o:spid="_x0000_s1026" type="#_x0000_t202" style="width:618.6pt;height:6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" fillcolor="#86c440" stroked="f">
                <v:textbox inset="57.6pt,14.4pt,57.6pt,14.4pt">
                  <w:txbxContent>
                    <w:p w:rsidR="00F536F0" w:rsidRPr="00A0266C" w:rsidRDefault="00F536F0" w:rsidP="00F536F0">
                      <w:pPr>
                        <w:rPr>
                          <w:rFonts w:asciiTheme="minorHAnsi" w:hAnsiTheme="minorHAnsi"/>
                          <w:color w:val="5C6670" w:themeColor="text1"/>
                          <w:sz w:val="20"/>
                          <w:szCs w:val="20"/>
                        </w:rPr>
                      </w:pPr>
                      <w:r w:rsidRPr="00A0266C">
                        <w:rPr>
                          <w:rFonts w:asciiTheme="minorHAnsi" w:hAnsiTheme="minorHAnsi"/>
                          <w:color w:val="5C6670" w:themeColor="text1"/>
                          <w:sz w:val="20"/>
                          <w:szCs w:val="20"/>
                        </w:rPr>
                        <w:t>Where can I learn more?</w:t>
                      </w:r>
                    </w:p>
                    <w:p w:rsidR="00F536F0" w:rsidRPr="00A0266C" w:rsidRDefault="00750A48" w:rsidP="00A0266C">
                      <w:pPr>
                        <w:pStyle w:val="ListParagraph"/>
                        <w:numPr>
                          <w:ilvl w:val="0"/>
                          <w:numId w:val="10"/>
                        </w:numPr>
                        <w:contextualSpacing w:val="0"/>
                        <w:rPr>
                          <w:rFonts w:asciiTheme="minorHAnsi" w:hAnsiTheme="minorHAnsi"/>
                          <w:color w:val="5C6670" w:themeColor="text1"/>
                          <w:sz w:val="16"/>
                          <w:szCs w:val="16"/>
                        </w:rPr>
                      </w:pPr>
                      <w:hyperlink r:id="rId10" w:history="1">
                        <w:r w:rsidR="00F536F0" w:rsidRPr="00A0266C">
                          <w:rPr>
                            <w:rStyle w:val="Hyperlink"/>
                            <w:rFonts w:asciiTheme="minorHAnsi" w:hAnsiTheme="minorHAnsi"/>
                            <w:sz w:val="16"/>
                            <w:szCs w:val="16"/>
                          </w:rPr>
                          <w:t>http://www.cde.state.co.us/nutrition/nutrireviews</w:t>
                        </w:r>
                      </w:hyperlink>
                    </w:p>
                    <w:p w:rsidR="00F536F0" w:rsidRPr="00A0266C" w:rsidRDefault="00750A48" w:rsidP="00F536F0">
                      <w:pPr>
                        <w:pStyle w:val="ListParagraph"/>
                        <w:numPr>
                          <w:ilvl w:val="0"/>
                          <w:numId w:val="10"/>
                        </w:numPr>
                        <w:spacing w:after="60"/>
                        <w:rPr>
                          <w:rStyle w:val="Hyperlink"/>
                          <w:rFonts w:asciiTheme="minorHAnsi" w:hAnsiTheme="minorHAnsi"/>
                          <w:color w:val="5C6670" w:themeColor="text1"/>
                          <w:sz w:val="16"/>
                          <w:szCs w:val="16"/>
                        </w:rPr>
                      </w:pPr>
                      <w:hyperlink r:id="rId11" w:history="1">
                        <w:r w:rsidR="00F536F0" w:rsidRPr="00A0266C">
                          <w:rPr>
                            <w:rStyle w:val="Hyperlink"/>
                            <w:rFonts w:asciiTheme="minorHAnsi" w:hAnsiTheme="minorHAnsi"/>
                            <w:sz w:val="16"/>
                            <w:szCs w:val="16"/>
                          </w:rPr>
                          <w:t>http://www.cde.state.co.us/nutrition/nutritionfinancial</w:t>
                        </w:r>
                      </w:hyperlink>
                    </w:p>
                  </w:txbxContent>
                </v:textbox>
                <w10:anchorlock/>
              </v:shape>
            </w:pict>
          </mc:Fallback>
        </mc:AlternateContent>
      </w:r>
    </w:p>
    <w:sectPr w:rsidR="00787DFE" w:rsidRPr="00F536F0" w:rsidSect="002C01FF">
      <w:headerReference w:type="default" r:id="rId12"/>
      <w:footerReference w:type="default" r:id="rId13"/>
      <w:headerReference w:type="first" r:id="rId14"/>
      <w:footerReference w:type="first" r:id="rId15"/>
      <w:pgSz w:w="12240" w:h="15840"/>
      <w:pgMar w:top="432" w:right="576" w:bottom="432" w:left="576" w:header="14"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50A48" w:rsidRDefault="00750A48" w:rsidP="00715744">
      <w:r>
        <w:separator/>
      </w:r>
    </w:p>
    <w:p w:rsidR="00750A48" w:rsidRDefault="00750A48"/>
  </w:endnote>
  <w:endnote w:type="continuationSeparator" w:id="0">
    <w:p w:rsidR="00750A48" w:rsidRDefault="00750A48" w:rsidP="00715744">
      <w:r>
        <w:continuationSeparator/>
      </w:r>
    </w:p>
    <w:p w:rsidR="00750A48" w:rsidRDefault="00750A4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MS PGothic">
    <w:panose1 w:val="020B0600070205080204"/>
    <w:charset w:val="80"/>
    <w:family w:val="swiss"/>
    <w:pitch w:val="variable"/>
    <w:sig w:usb0="E00002FF" w:usb1="6AC7FDFB" w:usb2="08000012" w:usb3="00000000" w:csb0="0002009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useo Slab 500">
    <w:panose1 w:val="00000000000000000000"/>
    <w:charset w:val="00"/>
    <w:family w:val="modern"/>
    <w:notTrueType/>
    <w:pitch w:val="variable"/>
    <w:sig w:usb0="A00000AF" w:usb1="4000004B" w:usb2="00000000" w:usb3="00000000" w:csb0="00000093" w:csb1="00000000"/>
  </w:font>
  <w:font w:name="Trebuchet MS">
    <w:panose1 w:val="020B0603020202020204"/>
    <w:charset w:val="00"/>
    <w:family w:val="swiss"/>
    <w:pitch w:val="variable"/>
    <w:sig w:usb0="00000687" w:usb1="00000000" w:usb2="00000000" w:usb3="00000000" w:csb0="0000009F" w:csb1="00000000"/>
  </w:font>
  <w:font w:name="Lucida Grande">
    <w:charset w:val="00"/>
    <w:family w:val="auto"/>
    <w:pitch w:val="variable"/>
    <w:sig w:usb0="E1000AEF" w:usb1="5000A1FF" w:usb2="00000000" w:usb3="00000000" w:csb0="000001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33BE" w:rsidRPr="002B3B48" w:rsidRDefault="006533BE" w:rsidP="004423DE">
    <w:pPr>
      <w:pStyle w:val="Footer"/>
      <w:ind w:left="-720"/>
      <w:jc w:val="right"/>
      <w:rPr>
        <w:color w:val="5C6670" w:themeColor="text1"/>
        <w:sz w:val="18"/>
        <w:szCs w:val="1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33BE" w:rsidRPr="00715744" w:rsidRDefault="00F536F0" w:rsidP="00715744">
    <w:pPr>
      <w:pStyle w:val="Footer"/>
      <w:jc w:val="right"/>
      <w:rPr>
        <w:color w:val="5C6670" w:themeColor="text1"/>
        <w:sz w:val="18"/>
        <w:szCs w:val="18"/>
      </w:rPr>
    </w:pPr>
    <w:r>
      <w:rPr>
        <w:color w:val="5C6670" w:themeColor="text1"/>
        <w:sz w:val="18"/>
        <w:szCs w:val="18"/>
      </w:rPr>
      <w:t>November 2017</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50A48" w:rsidRDefault="00750A48" w:rsidP="00715744">
      <w:r>
        <w:separator/>
      </w:r>
    </w:p>
    <w:p w:rsidR="00750A48" w:rsidRDefault="00750A48"/>
  </w:footnote>
  <w:footnote w:type="continuationSeparator" w:id="0">
    <w:p w:rsidR="00750A48" w:rsidRDefault="00750A48" w:rsidP="00715744">
      <w:r>
        <w:continuationSeparator/>
      </w:r>
    </w:p>
    <w:p w:rsidR="00750A48" w:rsidRDefault="00750A48"/>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357A" w:rsidRDefault="00D3357A" w:rsidP="005363FC">
    <w:pPr>
      <w:pStyle w:val="Header"/>
      <w:tabs>
        <w:tab w:val="clear" w:pos="4320"/>
        <w:tab w:val="clear" w:pos="8640"/>
        <w:tab w:val="left" w:pos="1820"/>
        <w:tab w:val="left" w:pos="3440"/>
        <w:tab w:val="left" w:pos="4373"/>
      </w:tabs>
    </w:pPr>
  </w:p>
  <w:p w:rsidR="006533BE" w:rsidRDefault="006533BE" w:rsidP="005363FC">
    <w:pPr>
      <w:pStyle w:val="Header"/>
      <w:tabs>
        <w:tab w:val="clear" w:pos="4320"/>
        <w:tab w:val="clear" w:pos="8640"/>
        <w:tab w:val="left" w:pos="1820"/>
        <w:tab w:val="left" w:pos="3440"/>
        <w:tab w:val="left" w:pos="4373"/>
      </w:tabs>
    </w:pPr>
    <w:r>
      <w:rPr>
        <w:noProof/>
      </w:rPr>
      <w:drawing>
        <wp:inline distT="0" distB="0" distL="0" distR="0" wp14:anchorId="3B43CFA7" wp14:editId="338212FC">
          <wp:extent cx="876300" cy="457200"/>
          <wp:effectExtent l="0" t="0" r="0" b="0"/>
          <wp:docPr id="23" name="Picture 23" descr="Colorado Department of Education" title="CDE Logo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_cde_shield_300_rgb.png"/>
                  <pic:cNvPicPr/>
                </pic:nvPicPr>
                <pic:blipFill>
                  <a:blip r:embed="rId1">
                    <a:extLst>
                      <a:ext uri="{28A0092B-C50C-407E-A947-70E740481C1C}">
                        <a14:useLocalDpi xmlns:a14="http://schemas.microsoft.com/office/drawing/2010/main" val="0"/>
                      </a:ext>
                    </a:extLst>
                  </a:blip>
                  <a:stretch>
                    <a:fillRect/>
                  </a:stretch>
                </pic:blipFill>
                <pic:spPr>
                  <a:xfrm>
                    <a:off x="0" y="0"/>
                    <a:ext cx="876300" cy="457200"/>
                  </a:xfrm>
                  <a:prstGeom prst="rect">
                    <a:avLst/>
                  </a:prstGeom>
                  <a:extLst>
                    <a:ext uri="{FAA26D3D-D897-4be2-8F04-BA451C77F1D7}">
                      <ma14:placeholderFlag xmlns:cx="http://schemas.microsoft.com/office/drawing/2014/chartex" xmlns:cx1="http://schemas.microsoft.com/office/drawing/2015/9/8/chartex" xmlns:w16se="http://schemas.microsoft.com/office/word/2015/wordml/symex"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inline>
      </w:drawing>
    </w:r>
  </w:p>
  <w:p w:rsidR="007A031E" w:rsidRDefault="007A031E" w:rsidP="007A031E">
    <w:pPr>
      <w:pStyle w:val="Header"/>
      <w:tabs>
        <w:tab w:val="clear" w:pos="4320"/>
        <w:tab w:val="clear" w:pos="8640"/>
        <w:tab w:val="left" w:pos="1820"/>
        <w:tab w:val="left" w:pos="3440"/>
        <w:tab w:val="left" w:pos="4373"/>
      </w:tabs>
      <w:jc w:val="right"/>
    </w:pPr>
    <w:r>
      <w:rPr>
        <w:rFonts w:ascii="Museo Slab 500" w:hAnsi="Museo Slab 500"/>
        <w:b/>
        <w:bCs/>
        <w:color w:val="919BA5" w:themeColor="text1" w:themeTint="A6"/>
        <w:sz w:val="18"/>
        <w:szCs w:val="18"/>
      </w:rPr>
      <w:t>Document Title</w:t>
    </w:r>
    <w:r>
      <w:rPr>
        <w:rFonts w:ascii="Museo Slab 500" w:hAnsi="Museo Slab 500"/>
        <w:b/>
        <w:bCs/>
        <w:color w:val="919BA5" w:themeColor="text1" w:themeTint="A6"/>
        <w:sz w:val="18"/>
        <w:szCs w:val="18"/>
      </w:rPr>
      <w:tab/>
    </w:r>
    <w:r w:rsidRPr="00CF122E">
      <w:rPr>
        <w:b/>
        <w:color w:val="919BA5" w:themeColor="text1" w:themeTint="A6"/>
        <w:szCs w:val="20"/>
      </w:rPr>
      <w:fldChar w:fldCharType="begin"/>
    </w:r>
    <w:r w:rsidRPr="00CF122E">
      <w:rPr>
        <w:b/>
        <w:color w:val="919BA5" w:themeColor="text1" w:themeTint="A6"/>
        <w:szCs w:val="20"/>
      </w:rPr>
      <w:instrText xml:space="preserve"> PAGE   \* MERGEFORMAT </w:instrText>
    </w:r>
    <w:r w:rsidRPr="00CF122E">
      <w:rPr>
        <w:b/>
        <w:color w:val="919BA5" w:themeColor="text1" w:themeTint="A6"/>
        <w:szCs w:val="20"/>
      </w:rPr>
      <w:fldChar w:fldCharType="separate"/>
    </w:r>
    <w:r w:rsidR="00A0266C">
      <w:rPr>
        <w:b/>
        <w:noProof/>
        <w:color w:val="919BA5" w:themeColor="text1" w:themeTint="A6"/>
        <w:szCs w:val="20"/>
      </w:rPr>
      <w:t>2</w:t>
    </w:r>
    <w:r w:rsidRPr="00CF122E">
      <w:rPr>
        <w:b/>
        <w:color w:val="919BA5" w:themeColor="text1" w:themeTint="A6"/>
        <w:szCs w:val="20"/>
      </w:rPr>
      <w:fldChar w:fldCharType="end"/>
    </w:r>
  </w:p>
  <w:p w:rsidR="006533BE" w:rsidRDefault="00750A48" w:rsidP="005363FC">
    <w:pPr>
      <w:pStyle w:val="Header"/>
      <w:tabs>
        <w:tab w:val="clear" w:pos="4320"/>
        <w:tab w:val="clear" w:pos="8640"/>
        <w:tab w:val="left" w:pos="4373"/>
      </w:tabs>
    </w:pPr>
    <w:r>
      <w:pict w14:anchorId="68211CFB">
        <v:rect id="_x0000_i1025" style="width:540pt;height:1pt" o:hralign="center" o:hrstd="t" o:hr="t" fillcolor="#aaa" stroked="f"/>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5FA3" w:rsidRDefault="00D869AC" w:rsidP="004423DE">
    <w:pPr>
      <w:pStyle w:val="Header"/>
      <w:ind w:left="-720"/>
    </w:pPr>
    <w:r>
      <w:rPr>
        <w:noProof/>
      </w:rPr>
      <w:drawing>
        <wp:anchor distT="0" distB="0" distL="114300" distR="114300" simplePos="0" relativeHeight="251659776" behindDoc="1" locked="1" layoutInCell="0" allowOverlap="0" wp14:anchorId="201F14CE" wp14:editId="636DF2B5">
          <wp:simplePos x="0" y="0"/>
          <wp:positionH relativeFrom="page">
            <wp:align>left</wp:align>
          </wp:positionH>
          <wp:positionV relativeFrom="page">
            <wp:posOffset>6350</wp:posOffset>
          </wp:positionV>
          <wp:extent cx="7764780" cy="1810385"/>
          <wp:effectExtent l="0" t="0" r="7620" b="0"/>
          <wp:wrapTopAndBottom/>
          <wp:docPr id="24" name="Picture 24" title="Colorado Department of Educaiton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actSheetHead08.tif"/>
                  <pic:cNvPicPr/>
                </pic:nvPicPr>
                <pic:blipFill>
                  <a:blip r:embed="rId1">
                    <a:extLst>
                      <a:ext uri="{28A0092B-C50C-407E-A947-70E740481C1C}">
                        <a14:useLocalDpi xmlns:a14="http://schemas.microsoft.com/office/drawing/2010/main" val="0"/>
                      </a:ext>
                    </a:extLst>
                  </a:blip>
                  <a:stretch>
                    <a:fillRect/>
                  </a:stretch>
                </pic:blipFill>
                <pic:spPr>
                  <a:xfrm>
                    <a:off x="0" y="0"/>
                    <a:ext cx="7764780" cy="1810512"/>
                  </a:xfrm>
                  <a:prstGeom prst="rect">
                    <a:avLst/>
                  </a:prstGeom>
                </pic:spPr>
              </pic:pic>
            </a:graphicData>
          </a:graphic>
          <wp14:sizeRelH relativeFrom="page">
            <wp14:pctWidth>0</wp14:pctWidth>
          </wp14:sizeRelH>
          <wp14:sizeRelV relativeFrom="page">
            <wp14:pctHeight>0</wp14:pctHeight>
          </wp14:sizeRelV>
        </wp:anchor>
      </w:drawing>
    </w:r>
    <w:r w:rsidR="004423DE" w:rsidRPr="00FB2F6E">
      <w:rPr>
        <w:noProof/>
      </w:rPr>
      <mc:AlternateContent>
        <mc:Choice Requires="wps">
          <w:drawing>
            <wp:inline distT="0" distB="0" distL="0" distR="0" wp14:anchorId="0C04FBB9" wp14:editId="3639A640">
              <wp:extent cx="3429000" cy="381663"/>
              <wp:effectExtent l="0" t="0" r="0" b="0"/>
              <wp:docPr id="9" name="Text Box 9"/>
              <wp:cNvGraphicFramePr/>
              <a:graphic xmlns:a="http://schemas.openxmlformats.org/drawingml/2006/main">
                <a:graphicData uri="http://schemas.microsoft.com/office/word/2010/wordprocessingShape">
                  <wps:wsp>
                    <wps:cNvSpPr txBox="1"/>
                    <wps:spPr>
                      <a:xfrm>
                        <a:off x="0" y="0"/>
                        <a:ext cx="3429000" cy="381663"/>
                      </a:xfrm>
                      <a:prstGeom prst="rect">
                        <a:avLst/>
                      </a:prstGeom>
                      <a:noFill/>
                      <a:ln w="6350">
                        <a:noFill/>
                      </a:ln>
                    </wps:spPr>
                    <wps:txbx>
                      <w:txbxContent>
                        <w:p w:rsidR="004423DE" w:rsidRPr="002E5F0E" w:rsidRDefault="004423DE" w:rsidP="00C703E3">
                          <w:pPr>
                            <w:pStyle w:val="Heading3"/>
                            <w:tabs>
                              <w:tab w:val="left" w:pos="720"/>
                            </w:tabs>
                            <w:spacing w:before="360"/>
                            <w:ind w:left="720"/>
                          </w:pPr>
                          <w:r>
                            <w:t>COLORADO DEPARTMENT OF EDUCATION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shapetype w14:anchorId="0C04FBB9" id="_x0000_t202" coordsize="21600,21600" o:spt="202" path="m,l,21600r21600,l21600,xe">
              <v:stroke joinstyle="miter"/>
              <v:path gradientshapeok="t" o:connecttype="rect"/>
            </v:shapetype>
            <v:shape id="Text Box 9" o:spid="_x0000_s1027" type="#_x0000_t202" style="width:270pt;height:30.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" filled="f" stroked="f" strokeweight=".5pt">
              <v:textbox inset="0,0,0,0">
                <w:txbxContent>
                  <w:p w:rsidR="004423DE" w:rsidRPr="002E5F0E" w:rsidRDefault="004423DE" w:rsidP="00C703E3">
                    <w:pPr>
                      <w:pStyle w:val="Heading3"/>
                      <w:tabs>
                        <w:tab w:val="left" w:pos="720"/>
                      </w:tabs>
                      <w:spacing w:before="360"/>
                      <w:ind w:left="720"/>
                    </w:pPr>
                    <w:r>
                      <w:t>COLORADO DEPARTMENT OF EDUCATION</w:t>
                    </w:r>
                  </w:p>
                </w:txbxContent>
              </v:textbox>
              <w10:anchorlock/>
            </v:shape>
          </w:pict>
        </mc:Fallback>
      </mc:AlternateContent>
    </w:r>
    <w:r w:rsidR="00DD5FA3" w:rsidRPr="00587144">
      <w:rPr>
        <w:rFonts w:eastAsia="Calibri" w:cs="Times New Roman"/>
        <w:noProof/>
        <w:szCs w:val="22"/>
      </w:rPr>
      <mc:AlternateContent>
        <mc:Choice Requires="wps">
          <w:drawing>
            <wp:inline distT="0" distB="0" distL="0" distR="0" wp14:anchorId="5CABA802" wp14:editId="40594EDC">
              <wp:extent cx="7498080" cy="847725"/>
              <wp:effectExtent l="0" t="0" r="7620" b="9525"/>
              <wp:docPr id="10" name="Text Box 10"/>
              <wp:cNvGraphicFramePr/>
              <a:graphic xmlns:a="http://schemas.openxmlformats.org/drawingml/2006/main">
                <a:graphicData uri="http://schemas.microsoft.com/office/word/2010/wordprocessingShape">
                  <wps:wsp>
                    <wps:cNvSpPr txBox="1"/>
                    <wps:spPr>
                      <a:xfrm>
                        <a:off x="0" y="0"/>
                        <a:ext cx="7498080" cy="847725"/>
                      </a:xfrm>
                      <a:prstGeom prst="rect">
                        <a:avLst/>
                      </a:prstGeom>
                      <a:noFill/>
                      <a:ln w="6350">
                        <a:noFill/>
                      </a:ln>
                    </wps:spPr>
                    <wps:txbx>
                      <w:txbxContent>
                        <w:p w:rsidR="00DD5FA3" w:rsidRPr="0094185F" w:rsidRDefault="00F536F0" w:rsidP="001A50C0">
                          <w:pPr>
                            <w:pStyle w:val="Heading1"/>
                            <w:rPr>
                              <w:rFonts w:asciiTheme="minorHAnsi" w:hAnsiTheme="minorHAnsi"/>
                            </w:rPr>
                          </w:pPr>
                          <w:r w:rsidRPr="0094185F">
                            <w:rPr>
                              <w:rFonts w:asciiTheme="minorHAnsi" w:hAnsiTheme="minorHAnsi"/>
                            </w:rPr>
                            <w:t xml:space="preserve">Resource Management </w:t>
                          </w:r>
                        </w:p>
                        <w:p w:rsidR="00DD5FA3" w:rsidRPr="0094185F" w:rsidRDefault="00F536F0" w:rsidP="001A50C0">
                          <w:pPr>
                            <w:pStyle w:val="Heading2"/>
                            <w:ind w:left="720"/>
                            <w:rPr>
                              <w:rFonts w:asciiTheme="minorHAnsi" w:hAnsiTheme="minorHAnsi"/>
                            </w:rPr>
                          </w:pPr>
                          <w:r w:rsidRPr="0094185F">
                            <w:rPr>
                              <w:rFonts w:asciiTheme="minorHAnsi" w:hAnsiTheme="minorHAnsi"/>
                            </w:rPr>
                            <w:t>Comprehensive Review Checklist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shape w14:anchorId="5CABA802" id="Text Box 10" o:spid="_x0000_s1028" type="#_x0000_t202" style="width:590.4pt;height:6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" filled="f" stroked="f" strokeweight=".5pt">
              <v:textbox inset="0,0,0,0">
                <w:txbxContent>
                  <w:p w:rsidR="00DD5FA3" w:rsidRPr="0094185F" w:rsidRDefault="00F536F0" w:rsidP="001A50C0">
                    <w:pPr>
                      <w:pStyle w:val="Heading1"/>
                      <w:rPr>
                        <w:rFonts w:asciiTheme="minorHAnsi" w:hAnsiTheme="minorHAnsi"/>
                      </w:rPr>
                    </w:pPr>
                    <w:r w:rsidRPr="0094185F">
                      <w:rPr>
                        <w:rFonts w:asciiTheme="minorHAnsi" w:hAnsiTheme="minorHAnsi"/>
                      </w:rPr>
                      <w:t xml:space="preserve">Resource Management </w:t>
                    </w:r>
                  </w:p>
                  <w:p w:rsidR="00DD5FA3" w:rsidRPr="0094185F" w:rsidRDefault="00F536F0" w:rsidP="001A50C0">
                    <w:pPr>
                      <w:pStyle w:val="Heading2"/>
                      <w:ind w:left="720"/>
                      <w:rPr>
                        <w:rFonts w:asciiTheme="minorHAnsi" w:hAnsiTheme="minorHAnsi"/>
                      </w:rPr>
                    </w:pPr>
                    <w:r w:rsidRPr="0094185F">
                      <w:rPr>
                        <w:rFonts w:asciiTheme="minorHAnsi" w:hAnsiTheme="minorHAnsi"/>
                      </w:rPr>
                      <w:t>Comprehensive Review Checklist</w:t>
                    </w:r>
                  </w:p>
                </w:txbxContent>
              </v:textbox>
              <w10:anchorlock/>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D"/>
    <w:multiLevelType w:val="singleLevel"/>
    <w:tmpl w:val="7D54A348"/>
    <w:lvl w:ilvl="0">
      <w:start w:val="1"/>
      <w:numFmt w:val="decimal"/>
      <w:lvlText w:val="%1."/>
      <w:lvlJc w:val="left"/>
      <w:pPr>
        <w:tabs>
          <w:tab w:val="num" w:pos="1440"/>
        </w:tabs>
        <w:ind w:left="1440" w:hanging="360"/>
      </w:pPr>
    </w:lvl>
  </w:abstractNum>
  <w:abstractNum w:abstractNumId="1" w15:restartNumberingAfterBreak="0">
    <w:nsid w:val="027858BB"/>
    <w:multiLevelType w:val="hybridMultilevel"/>
    <w:tmpl w:val="E0AE07D6"/>
    <w:lvl w:ilvl="0" w:tplc="189EACDA">
      <w:start w:val="1"/>
      <w:numFmt w:val="bullet"/>
      <w:pStyle w:val="BodyBullet"/>
      <w:lvlText w:val=""/>
      <w:lvlJc w:val="left"/>
      <w:pPr>
        <w:ind w:left="144" w:hanging="144"/>
      </w:pPr>
      <w:rPr>
        <w:rFonts w:ascii="Symbol" w:hAnsi="Symbol" w:hint="default"/>
      </w:rPr>
    </w:lvl>
    <w:lvl w:ilvl="1" w:tplc="04090003" w:tentative="1">
      <w:start w:val="1"/>
      <w:numFmt w:val="bullet"/>
      <w:lvlText w:val="o"/>
      <w:lvlJc w:val="left"/>
      <w:pPr>
        <w:ind w:left="1224" w:hanging="360"/>
      </w:pPr>
      <w:rPr>
        <w:rFonts w:ascii="Courier New" w:hAnsi="Courier New" w:cs="Courier New" w:hint="default"/>
      </w:rPr>
    </w:lvl>
    <w:lvl w:ilvl="2" w:tplc="04090005" w:tentative="1">
      <w:start w:val="1"/>
      <w:numFmt w:val="bullet"/>
      <w:lvlText w:val=""/>
      <w:lvlJc w:val="left"/>
      <w:pPr>
        <w:ind w:left="1944" w:hanging="360"/>
      </w:pPr>
      <w:rPr>
        <w:rFonts w:ascii="Wingdings" w:hAnsi="Wingdings" w:hint="default"/>
      </w:rPr>
    </w:lvl>
    <w:lvl w:ilvl="3" w:tplc="04090001" w:tentative="1">
      <w:start w:val="1"/>
      <w:numFmt w:val="bullet"/>
      <w:lvlText w:val=""/>
      <w:lvlJc w:val="left"/>
      <w:pPr>
        <w:ind w:left="2664" w:hanging="360"/>
      </w:pPr>
      <w:rPr>
        <w:rFonts w:ascii="Symbol" w:hAnsi="Symbol" w:hint="default"/>
      </w:rPr>
    </w:lvl>
    <w:lvl w:ilvl="4" w:tplc="04090003" w:tentative="1">
      <w:start w:val="1"/>
      <w:numFmt w:val="bullet"/>
      <w:lvlText w:val="o"/>
      <w:lvlJc w:val="left"/>
      <w:pPr>
        <w:ind w:left="3384" w:hanging="360"/>
      </w:pPr>
      <w:rPr>
        <w:rFonts w:ascii="Courier New" w:hAnsi="Courier New" w:cs="Courier New" w:hint="default"/>
      </w:rPr>
    </w:lvl>
    <w:lvl w:ilvl="5" w:tplc="04090005" w:tentative="1">
      <w:start w:val="1"/>
      <w:numFmt w:val="bullet"/>
      <w:lvlText w:val=""/>
      <w:lvlJc w:val="left"/>
      <w:pPr>
        <w:ind w:left="4104" w:hanging="360"/>
      </w:pPr>
      <w:rPr>
        <w:rFonts w:ascii="Wingdings" w:hAnsi="Wingdings" w:hint="default"/>
      </w:rPr>
    </w:lvl>
    <w:lvl w:ilvl="6" w:tplc="04090001" w:tentative="1">
      <w:start w:val="1"/>
      <w:numFmt w:val="bullet"/>
      <w:lvlText w:val=""/>
      <w:lvlJc w:val="left"/>
      <w:pPr>
        <w:ind w:left="4824" w:hanging="360"/>
      </w:pPr>
      <w:rPr>
        <w:rFonts w:ascii="Symbol" w:hAnsi="Symbol" w:hint="default"/>
      </w:rPr>
    </w:lvl>
    <w:lvl w:ilvl="7" w:tplc="04090003" w:tentative="1">
      <w:start w:val="1"/>
      <w:numFmt w:val="bullet"/>
      <w:lvlText w:val="o"/>
      <w:lvlJc w:val="left"/>
      <w:pPr>
        <w:ind w:left="5544" w:hanging="360"/>
      </w:pPr>
      <w:rPr>
        <w:rFonts w:ascii="Courier New" w:hAnsi="Courier New" w:cs="Courier New" w:hint="default"/>
      </w:rPr>
    </w:lvl>
    <w:lvl w:ilvl="8" w:tplc="04090005" w:tentative="1">
      <w:start w:val="1"/>
      <w:numFmt w:val="bullet"/>
      <w:lvlText w:val=""/>
      <w:lvlJc w:val="left"/>
      <w:pPr>
        <w:ind w:left="6264" w:hanging="360"/>
      </w:pPr>
      <w:rPr>
        <w:rFonts w:ascii="Wingdings" w:hAnsi="Wingdings" w:hint="default"/>
      </w:rPr>
    </w:lvl>
  </w:abstractNum>
  <w:abstractNum w:abstractNumId="2" w15:restartNumberingAfterBreak="0">
    <w:nsid w:val="19656360"/>
    <w:multiLevelType w:val="hybridMultilevel"/>
    <w:tmpl w:val="65DC2E70"/>
    <w:lvl w:ilvl="0" w:tplc="69D6A03E">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EAA05DF"/>
    <w:multiLevelType w:val="hybridMultilevel"/>
    <w:tmpl w:val="E4F67632"/>
    <w:lvl w:ilvl="0" w:tplc="CD06FB86">
      <w:start w:val="1"/>
      <w:numFmt w:val="bullet"/>
      <w:lvlText w:val="•"/>
      <w:lvlJc w:val="left"/>
      <w:pPr>
        <w:tabs>
          <w:tab w:val="num" w:pos="720"/>
        </w:tabs>
        <w:ind w:left="720" w:hanging="360"/>
      </w:pPr>
      <w:rPr>
        <w:rFonts w:ascii="Arial" w:hAnsi="Arial" w:hint="default"/>
      </w:rPr>
    </w:lvl>
    <w:lvl w:ilvl="1" w:tplc="07DCEE08" w:tentative="1">
      <w:start w:val="1"/>
      <w:numFmt w:val="bullet"/>
      <w:lvlText w:val="•"/>
      <w:lvlJc w:val="left"/>
      <w:pPr>
        <w:tabs>
          <w:tab w:val="num" w:pos="1440"/>
        </w:tabs>
        <w:ind w:left="1440" w:hanging="360"/>
      </w:pPr>
      <w:rPr>
        <w:rFonts w:ascii="Arial" w:hAnsi="Arial" w:hint="default"/>
      </w:rPr>
    </w:lvl>
    <w:lvl w:ilvl="2" w:tplc="29680246">
      <w:start w:val="1"/>
      <w:numFmt w:val="bullet"/>
      <w:lvlText w:val="•"/>
      <w:lvlJc w:val="left"/>
      <w:pPr>
        <w:tabs>
          <w:tab w:val="num" w:pos="2160"/>
        </w:tabs>
        <w:ind w:left="2160" w:hanging="360"/>
      </w:pPr>
      <w:rPr>
        <w:rFonts w:ascii="Arial" w:hAnsi="Arial" w:hint="default"/>
      </w:rPr>
    </w:lvl>
    <w:lvl w:ilvl="3" w:tplc="A760AECA" w:tentative="1">
      <w:start w:val="1"/>
      <w:numFmt w:val="bullet"/>
      <w:lvlText w:val="•"/>
      <w:lvlJc w:val="left"/>
      <w:pPr>
        <w:tabs>
          <w:tab w:val="num" w:pos="2880"/>
        </w:tabs>
        <w:ind w:left="2880" w:hanging="360"/>
      </w:pPr>
      <w:rPr>
        <w:rFonts w:ascii="Arial" w:hAnsi="Arial" w:hint="default"/>
      </w:rPr>
    </w:lvl>
    <w:lvl w:ilvl="4" w:tplc="033EAB9A" w:tentative="1">
      <w:start w:val="1"/>
      <w:numFmt w:val="bullet"/>
      <w:lvlText w:val="•"/>
      <w:lvlJc w:val="left"/>
      <w:pPr>
        <w:tabs>
          <w:tab w:val="num" w:pos="3600"/>
        </w:tabs>
        <w:ind w:left="3600" w:hanging="360"/>
      </w:pPr>
      <w:rPr>
        <w:rFonts w:ascii="Arial" w:hAnsi="Arial" w:hint="default"/>
      </w:rPr>
    </w:lvl>
    <w:lvl w:ilvl="5" w:tplc="D2547678" w:tentative="1">
      <w:start w:val="1"/>
      <w:numFmt w:val="bullet"/>
      <w:lvlText w:val="•"/>
      <w:lvlJc w:val="left"/>
      <w:pPr>
        <w:tabs>
          <w:tab w:val="num" w:pos="4320"/>
        </w:tabs>
        <w:ind w:left="4320" w:hanging="360"/>
      </w:pPr>
      <w:rPr>
        <w:rFonts w:ascii="Arial" w:hAnsi="Arial" w:hint="default"/>
      </w:rPr>
    </w:lvl>
    <w:lvl w:ilvl="6" w:tplc="352C37FE" w:tentative="1">
      <w:start w:val="1"/>
      <w:numFmt w:val="bullet"/>
      <w:lvlText w:val="•"/>
      <w:lvlJc w:val="left"/>
      <w:pPr>
        <w:tabs>
          <w:tab w:val="num" w:pos="5040"/>
        </w:tabs>
        <w:ind w:left="5040" w:hanging="360"/>
      </w:pPr>
      <w:rPr>
        <w:rFonts w:ascii="Arial" w:hAnsi="Arial" w:hint="default"/>
      </w:rPr>
    </w:lvl>
    <w:lvl w:ilvl="7" w:tplc="7876BB44" w:tentative="1">
      <w:start w:val="1"/>
      <w:numFmt w:val="bullet"/>
      <w:lvlText w:val="•"/>
      <w:lvlJc w:val="left"/>
      <w:pPr>
        <w:tabs>
          <w:tab w:val="num" w:pos="5760"/>
        </w:tabs>
        <w:ind w:left="5760" w:hanging="360"/>
      </w:pPr>
      <w:rPr>
        <w:rFonts w:ascii="Arial" w:hAnsi="Arial" w:hint="default"/>
      </w:rPr>
    </w:lvl>
    <w:lvl w:ilvl="8" w:tplc="D00AA7A6"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25E03329"/>
    <w:multiLevelType w:val="hybridMultilevel"/>
    <w:tmpl w:val="66AEBCD0"/>
    <w:lvl w:ilvl="0" w:tplc="69D6A03E">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7D85F18">
      <w:numFmt w:val="bullet"/>
      <w:lvlText w:val=""/>
      <w:lvlJc w:val="left"/>
      <w:pPr>
        <w:ind w:left="2880" w:hanging="360"/>
      </w:pPr>
      <w:rPr>
        <w:rFonts w:ascii="Symbol" w:eastAsiaTheme="minorEastAsia" w:hAnsi="Symbol" w:cstheme="minorBidi"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C950E73"/>
    <w:multiLevelType w:val="hybridMultilevel"/>
    <w:tmpl w:val="D610B1EC"/>
    <w:lvl w:ilvl="0" w:tplc="ADC03592">
      <w:start w:val="1"/>
      <w:numFmt w:val="decimal"/>
      <w:lvlText w:val="%1."/>
      <w:lvlJc w:val="left"/>
      <w:pPr>
        <w:ind w:left="360" w:hanging="360"/>
      </w:pPr>
    </w:lvl>
    <w:lvl w:ilvl="1" w:tplc="04090019">
      <w:start w:val="1"/>
      <w:numFmt w:val="lowerLetter"/>
      <w:lvlText w:val="%2."/>
      <w:lvlJc w:val="left"/>
      <w:pPr>
        <w:ind w:left="1080" w:hanging="360"/>
      </w:pPr>
    </w:lvl>
    <w:lvl w:ilvl="2" w:tplc="57A4C2EE">
      <w:start w:val="1"/>
      <w:numFmt w:val="bullet"/>
      <w:pStyle w:val="SubheadTrebuchet"/>
      <w:lvlText w:val=""/>
      <w:lvlJc w:val="left"/>
      <w:pPr>
        <w:ind w:left="1800" w:hanging="180"/>
      </w:pPr>
      <w:rPr>
        <w:rFonts w:ascii="Symbol" w:hAnsi="Symbol"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2CE21E37"/>
    <w:multiLevelType w:val="hybridMultilevel"/>
    <w:tmpl w:val="C2C47B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35233EAD"/>
    <w:multiLevelType w:val="hybridMultilevel"/>
    <w:tmpl w:val="F73ED1CC"/>
    <w:lvl w:ilvl="0" w:tplc="69D6A03E">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F6E2181"/>
    <w:multiLevelType w:val="hybridMultilevel"/>
    <w:tmpl w:val="397E08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4B4556C0"/>
    <w:multiLevelType w:val="hybridMultilevel"/>
    <w:tmpl w:val="19A2BA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D3E5BF6"/>
    <w:multiLevelType w:val="hybridMultilevel"/>
    <w:tmpl w:val="0E5EAA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2FC2AB1"/>
    <w:multiLevelType w:val="hybridMultilevel"/>
    <w:tmpl w:val="1390F2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64C70344"/>
    <w:multiLevelType w:val="hybridMultilevel"/>
    <w:tmpl w:val="D8A850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664C492A"/>
    <w:multiLevelType w:val="hybridMultilevel"/>
    <w:tmpl w:val="3DDED1AC"/>
    <w:lvl w:ilvl="0" w:tplc="2E585840">
      <w:start w:val="1"/>
      <w:numFmt w:val="bullet"/>
      <w:lvlText w:val=""/>
      <w:lvlJc w:val="left"/>
      <w:pPr>
        <w:ind w:left="720" w:hanging="360"/>
      </w:pPr>
      <w:rPr>
        <w:rFonts w:ascii="Wingdings" w:eastAsiaTheme="minorEastAsia"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C624616"/>
    <w:multiLevelType w:val="hybridMultilevel"/>
    <w:tmpl w:val="06B22936"/>
    <w:lvl w:ilvl="0" w:tplc="42EE1C72">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429157D"/>
    <w:multiLevelType w:val="multilevel"/>
    <w:tmpl w:val="541044D2"/>
    <w:styleLink w:val="BulletedList2ndLevel"/>
    <w:lvl w:ilvl="0">
      <w:start w:val="1"/>
      <w:numFmt w:val="bullet"/>
      <w:lvlText w:val=""/>
      <w:lvlJc w:val="left"/>
      <w:pPr>
        <w:tabs>
          <w:tab w:val="num" w:pos="900"/>
        </w:tabs>
        <w:ind w:left="900" w:hanging="360"/>
      </w:pPr>
      <w:rPr>
        <w:rFonts w:ascii="Symbol" w:hAnsi="Symbol" w:hint="default"/>
      </w:rPr>
    </w:lvl>
    <w:lvl w:ilvl="1">
      <w:start w:val="1"/>
      <w:numFmt w:val="bullet"/>
      <w:lvlText w:val=""/>
      <w:lvlJc w:val="left"/>
      <w:pPr>
        <w:tabs>
          <w:tab w:val="num" w:pos="1440"/>
        </w:tabs>
        <w:ind w:left="1440" w:hanging="360"/>
      </w:pPr>
      <w:rPr>
        <w:rFonts w:ascii="Wingdings 2" w:hAnsi="Wingdings 2" w:hint="default"/>
        <w:sz w:val="16"/>
        <w:szCs w:val="16"/>
      </w:rPr>
    </w:lvl>
    <w:lvl w:ilvl="2">
      <w:start w:val="1"/>
      <w:numFmt w:val="bullet"/>
      <w:lvlText w:val=""/>
      <w:lvlJc w:val="left"/>
      <w:pPr>
        <w:tabs>
          <w:tab w:val="num" w:pos="2340"/>
        </w:tabs>
        <w:ind w:left="2340" w:hanging="360"/>
      </w:pPr>
      <w:rPr>
        <w:rFonts w:ascii="Wingdings" w:hAnsi="Wingdings" w:hint="default"/>
      </w:rPr>
    </w:lvl>
    <w:lvl w:ilvl="3">
      <w:start w:val="1"/>
      <w:numFmt w:val="bullet"/>
      <w:lvlText w:val=""/>
      <w:lvlJc w:val="left"/>
      <w:pPr>
        <w:tabs>
          <w:tab w:val="num" w:pos="3060"/>
        </w:tabs>
        <w:ind w:left="3060" w:hanging="360"/>
      </w:pPr>
      <w:rPr>
        <w:rFonts w:ascii="Symbol" w:hAnsi="Symbol" w:hint="default"/>
      </w:rPr>
    </w:lvl>
    <w:lvl w:ilvl="4">
      <w:start w:val="1"/>
      <w:numFmt w:val="bullet"/>
      <w:lvlText w:val="o"/>
      <w:lvlJc w:val="left"/>
      <w:pPr>
        <w:tabs>
          <w:tab w:val="num" w:pos="3780"/>
        </w:tabs>
        <w:ind w:left="3780" w:hanging="360"/>
      </w:pPr>
      <w:rPr>
        <w:rFonts w:ascii="Courier New" w:hAnsi="Courier New" w:cs="Courier New" w:hint="default"/>
      </w:rPr>
    </w:lvl>
    <w:lvl w:ilvl="5">
      <w:start w:val="1"/>
      <w:numFmt w:val="bullet"/>
      <w:lvlText w:val=""/>
      <w:lvlJc w:val="left"/>
      <w:pPr>
        <w:tabs>
          <w:tab w:val="num" w:pos="4500"/>
        </w:tabs>
        <w:ind w:left="4500" w:hanging="360"/>
      </w:pPr>
      <w:rPr>
        <w:rFonts w:ascii="Wingdings" w:hAnsi="Wingdings" w:hint="default"/>
      </w:rPr>
    </w:lvl>
    <w:lvl w:ilvl="6">
      <w:start w:val="1"/>
      <w:numFmt w:val="bullet"/>
      <w:lvlText w:val=""/>
      <w:lvlJc w:val="left"/>
      <w:pPr>
        <w:tabs>
          <w:tab w:val="num" w:pos="5220"/>
        </w:tabs>
        <w:ind w:left="5220" w:hanging="360"/>
      </w:pPr>
      <w:rPr>
        <w:rFonts w:ascii="Symbol" w:hAnsi="Symbol" w:hint="default"/>
      </w:rPr>
    </w:lvl>
    <w:lvl w:ilvl="7">
      <w:start w:val="1"/>
      <w:numFmt w:val="bullet"/>
      <w:lvlText w:val="o"/>
      <w:lvlJc w:val="left"/>
      <w:pPr>
        <w:tabs>
          <w:tab w:val="num" w:pos="5940"/>
        </w:tabs>
        <w:ind w:left="5940" w:hanging="360"/>
      </w:pPr>
      <w:rPr>
        <w:rFonts w:ascii="Courier New" w:hAnsi="Courier New" w:cs="Courier New" w:hint="default"/>
      </w:rPr>
    </w:lvl>
    <w:lvl w:ilvl="8">
      <w:start w:val="1"/>
      <w:numFmt w:val="bullet"/>
      <w:lvlText w:val=""/>
      <w:lvlJc w:val="left"/>
      <w:pPr>
        <w:tabs>
          <w:tab w:val="num" w:pos="6660"/>
        </w:tabs>
        <w:ind w:left="6660" w:hanging="360"/>
      </w:pPr>
      <w:rPr>
        <w:rFonts w:ascii="Wingdings" w:hAnsi="Wingdings" w:hint="default"/>
      </w:rPr>
    </w:lvl>
  </w:abstractNum>
  <w:abstractNum w:abstractNumId="16" w15:restartNumberingAfterBreak="0">
    <w:nsid w:val="78D835FD"/>
    <w:multiLevelType w:val="hybridMultilevel"/>
    <w:tmpl w:val="BDFC1CFC"/>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4"/>
  </w:num>
  <w:num w:numId="2">
    <w:abstractNumId w:val="14"/>
  </w:num>
  <w:num w:numId="3">
    <w:abstractNumId w:val="15"/>
  </w:num>
  <w:num w:numId="4">
    <w:abstractNumId w:val="14"/>
  </w:num>
  <w:num w:numId="5">
    <w:abstractNumId w:val="15"/>
  </w:num>
  <w:num w:numId="6">
    <w:abstractNumId w:val="8"/>
  </w:num>
  <w:num w:numId="7">
    <w:abstractNumId w:val="11"/>
  </w:num>
  <w:num w:numId="8">
    <w:abstractNumId w:val="1"/>
  </w:num>
  <w:num w:numId="9">
    <w:abstractNumId w:val="16"/>
  </w:num>
  <w:num w:numId="10">
    <w:abstractNumId w:val="12"/>
  </w:num>
  <w:num w:numId="11">
    <w:abstractNumId w:val="5"/>
  </w:num>
  <w:num w:numId="12">
    <w:abstractNumId w:val="13"/>
  </w:num>
  <w:num w:numId="13">
    <w:abstractNumId w:val="7"/>
  </w:num>
  <w:num w:numId="14">
    <w:abstractNumId w:val="4"/>
  </w:num>
  <w:num w:numId="15">
    <w:abstractNumId w:val="2"/>
  </w:num>
  <w:num w:numId="16">
    <w:abstractNumId w:val="0"/>
  </w:num>
  <w:num w:numId="17">
    <w:abstractNumId w:val="6"/>
  </w:num>
  <w:num w:numId="18">
    <w:abstractNumId w:val="3"/>
  </w:num>
  <w:num w:numId="19">
    <w:abstractNumId w:val="9"/>
  </w:num>
  <w:num w:numId="2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5FA3"/>
    <w:rsid w:val="0004746F"/>
    <w:rsid w:val="0007438A"/>
    <w:rsid w:val="000B457F"/>
    <w:rsid w:val="00100C29"/>
    <w:rsid w:val="001076C1"/>
    <w:rsid w:val="001472C2"/>
    <w:rsid w:val="0016007D"/>
    <w:rsid w:val="00186D02"/>
    <w:rsid w:val="001A50C0"/>
    <w:rsid w:val="001D283A"/>
    <w:rsid w:val="0026412F"/>
    <w:rsid w:val="002821B7"/>
    <w:rsid w:val="00294F34"/>
    <w:rsid w:val="0029762E"/>
    <w:rsid w:val="00297951"/>
    <w:rsid w:val="002B3B48"/>
    <w:rsid w:val="002C01FF"/>
    <w:rsid w:val="002F6C0D"/>
    <w:rsid w:val="00317B48"/>
    <w:rsid w:val="00324CA3"/>
    <w:rsid w:val="00381C34"/>
    <w:rsid w:val="004110D1"/>
    <w:rsid w:val="004155D4"/>
    <w:rsid w:val="0042335A"/>
    <w:rsid w:val="004423DE"/>
    <w:rsid w:val="0045250F"/>
    <w:rsid w:val="00481A14"/>
    <w:rsid w:val="0049770E"/>
    <w:rsid w:val="005363FC"/>
    <w:rsid w:val="005414AF"/>
    <w:rsid w:val="00546AAC"/>
    <w:rsid w:val="005667FB"/>
    <w:rsid w:val="0057352B"/>
    <w:rsid w:val="005832E4"/>
    <w:rsid w:val="00587144"/>
    <w:rsid w:val="005C0951"/>
    <w:rsid w:val="00624562"/>
    <w:rsid w:val="00633510"/>
    <w:rsid w:val="006461F0"/>
    <w:rsid w:val="006533BE"/>
    <w:rsid w:val="006D0275"/>
    <w:rsid w:val="00715744"/>
    <w:rsid w:val="00731C9D"/>
    <w:rsid w:val="00736A92"/>
    <w:rsid w:val="00745D7A"/>
    <w:rsid w:val="00750A48"/>
    <w:rsid w:val="0076517B"/>
    <w:rsid w:val="00787DFE"/>
    <w:rsid w:val="0079066B"/>
    <w:rsid w:val="00797D8E"/>
    <w:rsid w:val="007A031E"/>
    <w:rsid w:val="007B38CB"/>
    <w:rsid w:val="00821179"/>
    <w:rsid w:val="008428F4"/>
    <w:rsid w:val="00846456"/>
    <w:rsid w:val="00864DDA"/>
    <w:rsid w:val="00872AA3"/>
    <w:rsid w:val="008D1EE1"/>
    <w:rsid w:val="008E1B8D"/>
    <w:rsid w:val="008E79B2"/>
    <w:rsid w:val="00915CEE"/>
    <w:rsid w:val="0094185F"/>
    <w:rsid w:val="00960C4E"/>
    <w:rsid w:val="009B3797"/>
    <w:rsid w:val="009C473B"/>
    <w:rsid w:val="00A0266C"/>
    <w:rsid w:val="00A16A16"/>
    <w:rsid w:val="00A76F21"/>
    <w:rsid w:val="00A827B0"/>
    <w:rsid w:val="00AA71C5"/>
    <w:rsid w:val="00AA7976"/>
    <w:rsid w:val="00AB2BAE"/>
    <w:rsid w:val="00AC1803"/>
    <w:rsid w:val="00AE7E7C"/>
    <w:rsid w:val="00AF6335"/>
    <w:rsid w:val="00B50833"/>
    <w:rsid w:val="00B75D0F"/>
    <w:rsid w:val="00B82660"/>
    <w:rsid w:val="00BA2515"/>
    <w:rsid w:val="00BB17E4"/>
    <w:rsid w:val="00BF62CD"/>
    <w:rsid w:val="00C4391D"/>
    <w:rsid w:val="00C50F78"/>
    <w:rsid w:val="00C56BAF"/>
    <w:rsid w:val="00C7031E"/>
    <w:rsid w:val="00C703E3"/>
    <w:rsid w:val="00CA487A"/>
    <w:rsid w:val="00CB09FF"/>
    <w:rsid w:val="00CB0A4C"/>
    <w:rsid w:val="00CC2F33"/>
    <w:rsid w:val="00D1749B"/>
    <w:rsid w:val="00D319FB"/>
    <w:rsid w:val="00D3357A"/>
    <w:rsid w:val="00D515B8"/>
    <w:rsid w:val="00D869AC"/>
    <w:rsid w:val="00D93ED1"/>
    <w:rsid w:val="00DB46F9"/>
    <w:rsid w:val="00DD5FA3"/>
    <w:rsid w:val="00E92333"/>
    <w:rsid w:val="00ED32A8"/>
    <w:rsid w:val="00F43ECA"/>
    <w:rsid w:val="00F536F0"/>
    <w:rsid w:val="00F70D5B"/>
    <w:rsid w:val="00F75245"/>
    <w:rsid w:val="00F94F78"/>
    <w:rsid w:val="00FB2F6E"/>
    <w:rsid w:val="00FD1B96"/>
    <w:rsid w:val="00FE34D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1"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iPriority="0"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46456"/>
    <w:rPr>
      <w:rFonts w:ascii="Calibri" w:hAnsi="Calibri"/>
      <w:sz w:val="22"/>
    </w:rPr>
  </w:style>
  <w:style w:type="paragraph" w:styleId="Heading1">
    <w:name w:val="heading 1"/>
    <w:next w:val="Normal"/>
    <w:link w:val="Heading1Char"/>
    <w:autoRedefine/>
    <w:uiPriority w:val="9"/>
    <w:qFormat/>
    <w:rsid w:val="001A50C0"/>
    <w:pPr>
      <w:pBdr>
        <w:bottom w:val="single" w:sz="8" w:space="0" w:color="9AA3AC" w:themeColor="text1" w:themeTint="99"/>
      </w:pBdr>
      <w:tabs>
        <w:tab w:val="left" w:pos="90"/>
      </w:tabs>
      <w:spacing w:before="120"/>
      <w:ind w:left="720"/>
      <w:outlineLvl w:val="0"/>
    </w:pPr>
    <w:rPr>
      <w:rFonts w:ascii="Museo Slab 500" w:eastAsiaTheme="minorHAnsi" w:hAnsi="Museo Slab 500"/>
      <w:bCs/>
      <w:color w:val="FFFFFF" w:themeColor="background1"/>
      <w:sz w:val="48"/>
      <w:szCs w:val="30"/>
    </w:rPr>
  </w:style>
  <w:style w:type="paragraph" w:styleId="Heading2">
    <w:name w:val="heading 2"/>
    <w:basedOn w:val="Normal"/>
    <w:next w:val="Normal"/>
    <w:link w:val="Heading2Char"/>
    <w:uiPriority w:val="9"/>
    <w:unhideWhenUsed/>
    <w:qFormat/>
    <w:rsid w:val="00CB0A4C"/>
    <w:pPr>
      <w:keepNext/>
      <w:keepLines/>
      <w:spacing w:before="120"/>
      <w:outlineLvl w:val="1"/>
    </w:pPr>
    <w:rPr>
      <w:rFonts w:ascii="Museo Slab 500" w:eastAsiaTheme="majorEastAsia" w:hAnsi="Museo Slab 500" w:cstheme="majorBidi"/>
      <w:b/>
      <w:bCs/>
      <w:color w:val="FFFFFF" w:themeColor="background1"/>
      <w:sz w:val="32"/>
      <w:szCs w:val="26"/>
    </w:rPr>
  </w:style>
  <w:style w:type="paragraph" w:styleId="Heading3">
    <w:name w:val="heading 3"/>
    <w:basedOn w:val="Normal"/>
    <w:next w:val="Normal"/>
    <w:link w:val="Heading3Char"/>
    <w:uiPriority w:val="9"/>
    <w:semiHidden/>
    <w:unhideWhenUsed/>
    <w:qFormat/>
    <w:rsid w:val="00BB17E4"/>
    <w:pPr>
      <w:keepNext/>
      <w:keepLines/>
      <w:spacing w:before="200"/>
      <w:outlineLvl w:val="2"/>
    </w:pPr>
    <w:rPr>
      <w:rFonts w:eastAsiaTheme="majorEastAsia" w:cstheme="majorBidi"/>
      <w:bCs/>
      <w:color w:val="FFFFFF" w:themeColor="background1"/>
      <w:sz w:val="20"/>
    </w:rPr>
  </w:style>
  <w:style w:type="paragraph" w:styleId="Heading4">
    <w:name w:val="heading 4"/>
    <w:basedOn w:val="Normal"/>
    <w:next w:val="Normal"/>
    <w:link w:val="Heading4Char"/>
    <w:uiPriority w:val="9"/>
    <w:semiHidden/>
    <w:unhideWhenUsed/>
    <w:qFormat/>
    <w:rsid w:val="00587144"/>
    <w:pPr>
      <w:keepNext/>
      <w:keepLines/>
      <w:spacing w:before="200"/>
      <w:outlineLvl w:val="3"/>
    </w:pPr>
    <w:rPr>
      <w:rFonts w:asciiTheme="majorHAnsi" w:eastAsiaTheme="majorEastAsia" w:hAnsiTheme="majorHAnsi" w:cstheme="majorBidi"/>
      <w:b/>
      <w:bCs/>
      <w:i/>
      <w:iCs/>
      <w:color w:val="488BC9"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ofContentsTitle">
    <w:name w:val="Table of Contents Title"/>
    <w:basedOn w:val="Normal"/>
    <w:next w:val="TOC1"/>
    <w:autoRedefine/>
    <w:rsid w:val="00960C4E"/>
    <w:pPr>
      <w:spacing w:after="240" w:line="300" w:lineRule="auto"/>
    </w:pPr>
    <w:rPr>
      <w:rFonts w:ascii="Museo Slab 500" w:hAnsi="Museo Slab 500"/>
      <w:color w:val="5C6670" w:themeColor="text1"/>
      <w:sz w:val="36"/>
      <w:szCs w:val="36"/>
    </w:rPr>
  </w:style>
  <w:style w:type="paragraph" w:customStyle="1" w:styleId="HeadingMuseo">
    <w:name w:val="Heading Museo"/>
    <w:basedOn w:val="Heading1"/>
    <w:qFormat/>
    <w:rsid w:val="00846456"/>
    <w:pPr>
      <w:pBdr>
        <w:bottom w:val="single" w:sz="8" w:space="1" w:color="9AA3AC" w:themeColor="text1" w:themeTint="99"/>
      </w:pBdr>
    </w:pPr>
  </w:style>
  <w:style w:type="paragraph" w:customStyle="1" w:styleId="SubheadTrebuchet">
    <w:name w:val="Subhead Trebuchet"/>
    <w:basedOn w:val="Normal"/>
    <w:next w:val="Normal"/>
    <w:autoRedefine/>
    <w:qFormat/>
    <w:rsid w:val="0076517B"/>
    <w:pPr>
      <w:numPr>
        <w:ilvl w:val="2"/>
        <w:numId w:val="11"/>
      </w:numPr>
      <w:spacing w:before="60"/>
    </w:pPr>
    <w:rPr>
      <w:rFonts w:ascii="Trebuchet MS" w:hAnsi="Trebuchet MS"/>
      <w:b/>
      <w:sz w:val="24"/>
    </w:rPr>
  </w:style>
  <w:style w:type="paragraph" w:styleId="TOC3">
    <w:name w:val="toc 3"/>
    <w:basedOn w:val="TOC2"/>
    <w:next w:val="Normal"/>
    <w:autoRedefine/>
    <w:uiPriority w:val="39"/>
    <w:unhideWhenUsed/>
    <w:rsid w:val="00846456"/>
    <w:pPr>
      <w:spacing w:after="100"/>
      <w:ind w:left="440"/>
    </w:pPr>
  </w:style>
  <w:style w:type="paragraph" w:styleId="TOC5">
    <w:name w:val="toc 5"/>
    <w:basedOn w:val="Normal"/>
    <w:next w:val="Normal"/>
    <w:autoRedefine/>
    <w:uiPriority w:val="39"/>
    <w:semiHidden/>
    <w:unhideWhenUsed/>
    <w:rsid w:val="00846456"/>
    <w:pPr>
      <w:spacing w:after="100"/>
      <w:ind w:left="880"/>
    </w:pPr>
  </w:style>
  <w:style w:type="paragraph" w:styleId="Title">
    <w:name w:val="Title"/>
    <w:basedOn w:val="Normal"/>
    <w:next w:val="Normal"/>
    <w:link w:val="TitleChar"/>
    <w:autoRedefine/>
    <w:qFormat/>
    <w:rsid w:val="00846456"/>
    <w:pPr>
      <w:spacing w:before="1000" w:after="1000"/>
      <w:jc w:val="center"/>
    </w:pPr>
    <w:rPr>
      <w:rFonts w:ascii="Museo Slab 500" w:eastAsiaTheme="minorHAnsi" w:hAnsi="Museo Slab 500" w:cs="Times New Roman"/>
      <w:color w:val="5C6670" w:themeColor="text1"/>
      <w:spacing w:val="20"/>
      <w:sz w:val="64"/>
      <w:szCs w:val="72"/>
    </w:rPr>
  </w:style>
  <w:style w:type="character" w:customStyle="1" w:styleId="TitleChar">
    <w:name w:val="Title Char"/>
    <w:basedOn w:val="DefaultParagraphFont"/>
    <w:link w:val="Title"/>
    <w:rsid w:val="00846456"/>
    <w:rPr>
      <w:rFonts w:ascii="Museo Slab 500" w:eastAsiaTheme="minorHAnsi" w:hAnsi="Museo Slab 500" w:cs="Times New Roman"/>
      <w:color w:val="5C6670" w:themeColor="text1"/>
      <w:spacing w:val="20"/>
      <w:sz w:val="64"/>
      <w:szCs w:val="72"/>
    </w:rPr>
  </w:style>
  <w:style w:type="paragraph" w:customStyle="1" w:styleId="Subhead">
    <w:name w:val="Subhead"/>
    <w:basedOn w:val="Normal"/>
    <w:next w:val="Normal"/>
    <w:autoRedefine/>
    <w:qFormat/>
    <w:rsid w:val="006D0275"/>
    <w:pPr>
      <w:spacing w:before="120" w:after="60"/>
    </w:pPr>
    <w:rPr>
      <w:rFonts w:ascii="Trebuchet MS" w:hAnsi="Trebuchet MS"/>
      <w:b/>
      <w:sz w:val="28"/>
      <w:u w:val="single"/>
    </w:rPr>
  </w:style>
  <w:style w:type="paragraph" w:customStyle="1" w:styleId="SummaryHeadline">
    <w:name w:val="Summary Headline"/>
    <w:basedOn w:val="Heading1"/>
    <w:autoRedefine/>
    <w:rsid w:val="00846456"/>
    <w:pPr>
      <w:pBdr>
        <w:bottom w:val="single" w:sz="8" w:space="1" w:color="9AA3AC" w:themeColor="text1" w:themeTint="99"/>
      </w:pBdr>
      <w:spacing w:before="0" w:after="60"/>
    </w:pPr>
    <w:rPr>
      <w:b/>
      <w:sz w:val="36"/>
      <w:szCs w:val="36"/>
    </w:rPr>
  </w:style>
  <w:style w:type="character" w:customStyle="1" w:styleId="Heading1Char">
    <w:name w:val="Heading 1 Char"/>
    <w:basedOn w:val="DefaultParagraphFont"/>
    <w:link w:val="Heading1"/>
    <w:uiPriority w:val="9"/>
    <w:rsid w:val="001A50C0"/>
    <w:rPr>
      <w:rFonts w:ascii="Museo Slab 500" w:eastAsiaTheme="minorHAnsi" w:hAnsi="Museo Slab 500"/>
      <w:bCs/>
      <w:color w:val="FFFFFF" w:themeColor="background1"/>
      <w:sz w:val="48"/>
      <w:szCs w:val="30"/>
    </w:rPr>
  </w:style>
  <w:style w:type="paragraph" w:styleId="Caption">
    <w:name w:val="caption"/>
    <w:basedOn w:val="Normal"/>
    <w:next w:val="Normal"/>
    <w:autoRedefine/>
    <w:uiPriority w:val="35"/>
    <w:unhideWhenUsed/>
    <w:qFormat/>
    <w:rsid w:val="00846456"/>
    <w:pPr>
      <w:spacing w:after="120"/>
    </w:pPr>
    <w:rPr>
      <w:b/>
      <w:bCs/>
      <w:color w:val="5C6670" w:themeColor="text1"/>
      <w:sz w:val="18"/>
      <w:szCs w:val="18"/>
    </w:rPr>
  </w:style>
  <w:style w:type="paragraph" w:styleId="TOC2">
    <w:name w:val="toc 2"/>
    <w:basedOn w:val="SubheadTrebuchet"/>
    <w:next w:val="TOC3"/>
    <w:autoRedefine/>
    <w:uiPriority w:val="39"/>
    <w:unhideWhenUsed/>
    <w:rsid w:val="00846456"/>
    <w:pPr>
      <w:tabs>
        <w:tab w:val="right" w:pos="7200"/>
      </w:tabs>
      <w:spacing w:after="120"/>
    </w:pPr>
    <w:rPr>
      <w:b w:val="0"/>
      <w:sz w:val="20"/>
    </w:rPr>
  </w:style>
  <w:style w:type="character" w:customStyle="1" w:styleId="apple-style-span">
    <w:name w:val="apple-style-span"/>
    <w:basedOn w:val="DefaultParagraphFont"/>
    <w:rsid w:val="00846456"/>
  </w:style>
  <w:style w:type="paragraph" w:styleId="BalloonText">
    <w:name w:val="Balloon Text"/>
    <w:basedOn w:val="Normal"/>
    <w:link w:val="BalloonTextChar"/>
    <w:uiPriority w:val="99"/>
    <w:semiHidden/>
    <w:unhideWhenUsed/>
    <w:rsid w:val="00846456"/>
    <w:rPr>
      <w:rFonts w:ascii="Lucida Grande" w:hAnsi="Lucida Grande" w:cs="Lucida Grande"/>
      <w:sz w:val="18"/>
      <w:szCs w:val="18"/>
    </w:rPr>
  </w:style>
  <w:style w:type="paragraph" w:styleId="BodyText">
    <w:name w:val="Body Text"/>
    <w:aliases w:val="Body Text Calibri"/>
    <w:basedOn w:val="Normal"/>
    <w:link w:val="BodyTextChar"/>
    <w:uiPriority w:val="99"/>
    <w:unhideWhenUsed/>
    <w:rsid w:val="00846456"/>
    <w:pPr>
      <w:spacing w:after="100" w:afterAutospacing="1"/>
    </w:pPr>
  </w:style>
  <w:style w:type="character" w:customStyle="1" w:styleId="BodyTextChar">
    <w:name w:val="Body Text Char"/>
    <w:aliases w:val="Body Text Calibri Char"/>
    <w:basedOn w:val="DefaultParagraphFont"/>
    <w:link w:val="BodyText"/>
    <w:uiPriority w:val="99"/>
    <w:rsid w:val="00846456"/>
    <w:rPr>
      <w:rFonts w:ascii="Calibri" w:hAnsi="Calibri"/>
      <w:sz w:val="22"/>
    </w:rPr>
  </w:style>
  <w:style w:type="character" w:customStyle="1" w:styleId="BalloonTextChar">
    <w:name w:val="Balloon Text Char"/>
    <w:basedOn w:val="DefaultParagraphFont"/>
    <w:link w:val="BalloonText"/>
    <w:uiPriority w:val="99"/>
    <w:semiHidden/>
    <w:rsid w:val="00846456"/>
    <w:rPr>
      <w:rFonts w:ascii="Lucida Grande" w:hAnsi="Lucida Grande" w:cs="Lucida Grande"/>
      <w:sz w:val="18"/>
      <w:szCs w:val="18"/>
    </w:rPr>
  </w:style>
  <w:style w:type="numbering" w:customStyle="1" w:styleId="BulletedList2ndLevel">
    <w:name w:val="Bulleted List 2nd Level"/>
    <w:basedOn w:val="NoList"/>
    <w:uiPriority w:val="99"/>
    <w:rsid w:val="00846456"/>
    <w:pPr>
      <w:numPr>
        <w:numId w:val="3"/>
      </w:numPr>
    </w:pPr>
  </w:style>
  <w:style w:type="table" w:styleId="ColorfulShading-Accent1">
    <w:name w:val="Colorful Shading Accent 1"/>
    <w:basedOn w:val="TableNormal"/>
    <w:uiPriority w:val="71"/>
    <w:rsid w:val="00846456"/>
    <w:rPr>
      <w:color w:val="5C6670" w:themeColor="text1"/>
    </w:rPr>
    <w:tblPr>
      <w:tblStyleRowBandSize w:val="1"/>
      <w:tblStyleColBandSize w:val="1"/>
      <w:tblBorders>
        <w:top w:val="single" w:sz="24" w:space="0" w:color="FFC846" w:themeColor="accent2"/>
        <w:left w:val="single" w:sz="4" w:space="0" w:color="488BC9" w:themeColor="accent1"/>
        <w:bottom w:val="single" w:sz="4" w:space="0" w:color="488BC9" w:themeColor="accent1"/>
        <w:right w:val="single" w:sz="4" w:space="0" w:color="488BC9" w:themeColor="accent1"/>
        <w:insideH w:val="single" w:sz="4" w:space="0" w:color="FFFFFF" w:themeColor="background1"/>
        <w:insideV w:val="single" w:sz="4" w:space="0" w:color="FFFFFF" w:themeColor="background1"/>
      </w:tblBorders>
    </w:tblPr>
    <w:tcPr>
      <w:shd w:val="clear" w:color="auto" w:fill="ECF3F9" w:themeFill="accent1" w:themeFillTint="19"/>
    </w:tcPr>
    <w:tblStylePr w:type="firstRow">
      <w:rPr>
        <w:b/>
        <w:bCs/>
      </w:rPr>
      <w:tblPr/>
      <w:tcPr>
        <w:tcBorders>
          <w:top w:val="nil"/>
          <w:left w:val="nil"/>
          <w:bottom w:val="single" w:sz="24" w:space="0" w:color="FFC84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37E" w:themeFill="accent1" w:themeFillShade="99"/>
      </w:tcPr>
    </w:tblStylePr>
    <w:tblStylePr w:type="firstCol">
      <w:rPr>
        <w:color w:val="FFFFFF" w:themeColor="background1"/>
      </w:rPr>
      <w:tblPr/>
      <w:tcPr>
        <w:tcBorders>
          <w:top w:val="nil"/>
          <w:left w:val="nil"/>
          <w:bottom w:val="nil"/>
          <w:right w:val="nil"/>
          <w:insideH w:val="single" w:sz="4" w:space="0" w:color="25537E" w:themeColor="accent1" w:themeShade="99"/>
          <w:insideV w:val="nil"/>
        </w:tcBorders>
        <w:shd w:val="clear" w:color="auto" w:fill="25537E"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5537E" w:themeFill="accent1" w:themeFillShade="99"/>
      </w:tcPr>
    </w:tblStylePr>
    <w:tblStylePr w:type="band1Vert">
      <w:tblPr/>
      <w:tcPr>
        <w:shd w:val="clear" w:color="auto" w:fill="B5D0E9" w:themeFill="accent1" w:themeFillTint="66"/>
      </w:tcPr>
    </w:tblStylePr>
    <w:tblStylePr w:type="band1Horz">
      <w:tblPr/>
      <w:tcPr>
        <w:shd w:val="clear" w:color="auto" w:fill="A3C4E4" w:themeFill="accent1" w:themeFillTint="7F"/>
      </w:tcPr>
    </w:tblStylePr>
    <w:tblStylePr w:type="neCell">
      <w:rPr>
        <w:color w:val="5C6670" w:themeColor="text1"/>
      </w:rPr>
    </w:tblStylePr>
    <w:tblStylePr w:type="nwCell">
      <w:rPr>
        <w:color w:val="5C6670" w:themeColor="text1"/>
      </w:rPr>
    </w:tblStylePr>
  </w:style>
  <w:style w:type="character" w:styleId="EndnoteReference">
    <w:name w:val="endnote reference"/>
    <w:basedOn w:val="DefaultParagraphFont"/>
    <w:semiHidden/>
    <w:rsid w:val="00846456"/>
    <w:rPr>
      <w:vertAlign w:val="superscript"/>
    </w:rPr>
  </w:style>
  <w:style w:type="paragraph" w:styleId="EndnoteText">
    <w:name w:val="endnote text"/>
    <w:basedOn w:val="Normal"/>
    <w:link w:val="EndnoteTextChar"/>
    <w:semiHidden/>
    <w:rsid w:val="00846456"/>
    <w:rPr>
      <w:rFonts w:eastAsia="Times New Roman" w:cs="Times New Roman"/>
      <w:szCs w:val="20"/>
    </w:rPr>
  </w:style>
  <w:style w:type="character" w:customStyle="1" w:styleId="EndnoteTextChar">
    <w:name w:val="Endnote Text Char"/>
    <w:basedOn w:val="DefaultParagraphFont"/>
    <w:link w:val="EndnoteText"/>
    <w:semiHidden/>
    <w:rsid w:val="00846456"/>
    <w:rPr>
      <w:rFonts w:ascii="Calibri" w:eastAsia="Times New Roman" w:hAnsi="Calibri" w:cs="Times New Roman"/>
      <w:sz w:val="22"/>
      <w:szCs w:val="20"/>
    </w:rPr>
  </w:style>
  <w:style w:type="paragraph" w:customStyle="1" w:styleId="Endnotes">
    <w:name w:val="Endnotes"/>
    <w:basedOn w:val="Normal"/>
    <w:qFormat/>
    <w:rsid w:val="00846456"/>
    <w:rPr>
      <w:rFonts w:asciiTheme="majorHAnsi" w:hAnsiTheme="majorHAnsi"/>
      <w:sz w:val="18"/>
      <w:szCs w:val="18"/>
    </w:rPr>
  </w:style>
  <w:style w:type="paragraph" w:styleId="Footer">
    <w:name w:val="footer"/>
    <w:basedOn w:val="Normal"/>
    <w:link w:val="FooterChar"/>
    <w:uiPriority w:val="99"/>
    <w:unhideWhenUsed/>
    <w:rsid w:val="00846456"/>
    <w:pPr>
      <w:tabs>
        <w:tab w:val="center" w:pos="4320"/>
        <w:tab w:val="right" w:pos="8640"/>
      </w:tabs>
    </w:pPr>
  </w:style>
  <w:style w:type="character" w:customStyle="1" w:styleId="FooterChar">
    <w:name w:val="Footer Char"/>
    <w:basedOn w:val="DefaultParagraphFont"/>
    <w:link w:val="Footer"/>
    <w:uiPriority w:val="99"/>
    <w:rsid w:val="00846456"/>
    <w:rPr>
      <w:rFonts w:ascii="Calibri" w:hAnsi="Calibri"/>
      <w:sz w:val="22"/>
    </w:rPr>
  </w:style>
  <w:style w:type="paragraph" w:styleId="Header">
    <w:name w:val="header"/>
    <w:basedOn w:val="Normal"/>
    <w:link w:val="HeaderChar"/>
    <w:uiPriority w:val="99"/>
    <w:unhideWhenUsed/>
    <w:rsid w:val="00846456"/>
    <w:pPr>
      <w:tabs>
        <w:tab w:val="center" w:pos="4320"/>
        <w:tab w:val="right" w:pos="8640"/>
      </w:tabs>
    </w:pPr>
  </w:style>
  <w:style w:type="character" w:customStyle="1" w:styleId="HeaderChar">
    <w:name w:val="Header Char"/>
    <w:basedOn w:val="DefaultParagraphFont"/>
    <w:link w:val="Header"/>
    <w:uiPriority w:val="99"/>
    <w:rsid w:val="00846456"/>
    <w:rPr>
      <w:rFonts w:ascii="Calibri" w:hAnsi="Calibri"/>
      <w:sz w:val="22"/>
    </w:rPr>
  </w:style>
  <w:style w:type="character" w:customStyle="1" w:styleId="Heading2Char">
    <w:name w:val="Heading 2 Char"/>
    <w:basedOn w:val="DefaultParagraphFont"/>
    <w:link w:val="Heading2"/>
    <w:uiPriority w:val="9"/>
    <w:rsid w:val="00CB0A4C"/>
    <w:rPr>
      <w:rFonts w:ascii="Museo Slab 500" w:eastAsiaTheme="majorEastAsia" w:hAnsi="Museo Slab 500" w:cstheme="majorBidi"/>
      <w:b/>
      <w:bCs/>
      <w:color w:val="FFFFFF" w:themeColor="background1"/>
      <w:sz w:val="32"/>
      <w:szCs w:val="26"/>
    </w:rPr>
  </w:style>
  <w:style w:type="character" w:customStyle="1" w:styleId="Heading3Char">
    <w:name w:val="Heading 3 Char"/>
    <w:basedOn w:val="DefaultParagraphFont"/>
    <w:link w:val="Heading3"/>
    <w:uiPriority w:val="9"/>
    <w:semiHidden/>
    <w:rsid w:val="00BB17E4"/>
    <w:rPr>
      <w:rFonts w:ascii="Calibri" w:eastAsiaTheme="majorEastAsia" w:hAnsi="Calibri" w:cstheme="majorBidi"/>
      <w:bCs/>
      <w:color w:val="FFFFFF" w:themeColor="background1"/>
      <w:sz w:val="20"/>
    </w:rPr>
  </w:style>
  <w:style w:type="character" w:styleId="Hyperlink">
    <w:name w:val="Hyperlink"/>
    <w:basedOn w:val="DefaultParagraphFont"/>
    <w:rsid w:val="00AE7E7C"/>
    <w:rPr>
      <w:color w:val="65503C"/>
      <w:u w:val="single"/>
    </w:rPr>
  </w:style>
  <w:style w:type="character" w:styleId="IntenseEmphasis">
    <w:name w:val="Intense Emphasis"/>
    <w:basedOn w:val="DefaultParagraphFont"/>
    <w:uiPriority w:val="21"/>
    <w:qFormat/>
    <w:rsid w:val="00846456"/>
    <w:rPr>
      <w:b/>
      <w:bCs/>
      <w:i/>
      <w:iCs/>
      <w:color w:val="auto"/>
    </w:rPr>
  </w:style>
  <w:style w:type="paragraph" w:styleId="IntenseQuote">
    <w:name w:val="Intense Quote"/>
    <w:basedOn w:val="Normal"/>
    <w:next w:val="Normal"/>
    <w:link w:val="IntenseQuoteChar"/>
    <w:uiPriority w:val="30"/>
    <w:qFormat/>
    <w:rsid w:val="00846456"/>
    <w:pPr>
      <w:pBdr>
        <w:bottom w:val="single" w:sz="4" w:space="4" w:color="488BC9" w:themeColor="accent1"/>
      </w:pBdr>
      <w:spacing w:before="200" w:after="280"/>
      <w:ind w:left="936" w:right="936"/>
    </w:pPr>
    <w:rPr>
      <w:b/>
      <w:bCs/>
      <w:i/>
      <w:iCs/>
    </w:rPr>
  </w:style>
  <w:style w:type="character" w:customStyle="1" w:styleId="IntenseQuoteChar">
    <w:name w:val="Intense Quote Char"/>
    <w:basedOn w:val="DefaultParagraphFont"/>
    <w:link w:val="IntenseQuote"/>
    <w:uiPriority w:val="30"/>
    <w:rsid w:val="00846456"/>
    <w:rPr>
      <w:rFonts w:ascii="Calibri" w:hAnsi="Calibri"/>
      <w:b/>
      <w:bCs/>
      <w:i/>
      <w:iCs/>
      <w:sz w:val="22"/>
    </w:rPr>
  </w:style>
  <w:style w:type="table" w:styleId="LightList-Accent1">
    <w:name w:val="Light List Accent 1"/>
    <w:basedOn w:val="TableNormal"/>
    <w:uiPriority w:val="61"/>
    <w:rsid w:val="00846456"/>
    <w:tblPr>
      <w:tblStyleRowBandSize w:val="1"/>
      <w:tblStyleColBandSize w:val="1"/>
      <w:tblBorders>
        <w:top w:val="single" w:sz="8" w:space="0" w:color="488BC9" w:themeColor="accent1"/>
        <w:left w:val="single" w:sz="8" w:space="0" w:color="488BC9" w:themeColor="accent1"/>
        <w:bottom w:val="single" w:sz="8" w:space="0" w:color="488BC9" w:themeColor="accent1"/>
        <w:right w:val="single" w:sz="8" w:space="0" w:color="488BC9" w:themeColor="accent1"/>
      </w:tblBorders>
    </w:tblPr>
    <w:tblStylePr w:type="firstRow">
      <w:pPr>
        <w:spacing w:before="0" w:after="0" w:line="240" w:lineRule="auto"/>
      </w:pPr>
      <w:rPr>
        <w:b/>
        <w:bCs/>
        <w:color w:val="FFFFFF" w:themeColor="background1"/>
      </w:rPr>
      <w:tblPr/>
      <w:tcPr>
        <w:shd w:val="clear" w:color="auto" w:fill="488BC9" w:themeFill="accent1"/>
      </w:tcPr>
    </w:tblStylePr>
    <w:tblStylePr w:type="lastRow">
      <w:pPr>
        <w:spacing w:before="0" w:after="0" w:line="240" w:lineRule="auto"/>
      </w:pPr>
      <w:rPr>
        <w:b/>
        <w:bCs/>
      </w:rPr>
      <w:tblPr/>
      <w:tcPr>
        <w:tcBorders>
          <w:top w:val="double" w:sz="6" w:space="0" w:color="488BC9" w:themeColor="accent1"/>
          <w:left w:val="single" w:sz="8" w:space="0" w:color="488BC9" w:themeColor="accent1"/>
          <w:bottom w:val="single" w:sz="8" w:space="0" w:color="488BC9" w:themeColor="accent1"/>
          <w:right w:val="single" w:sz="8" w:space="0" w:color="488BC9" w:themeColor="accent1"/>
        </w:tcBorders>
      </w:tcPr>
    </w:tblStylePr>
    <w:tblStylePr w:type="firstCol">
      <w:rPr>
        <w:b/>
        <w:bCs/>
      </w:rPr>
    </w:tblStylePr>
    <w:tblStylePr w:type="lastCol">
      <w:rPr>
        <w:b/>
        <w:bCs/>
      </w:rPr>
    </w:tblStylePr>
    <w:tblStylePr w:type="band1Vert">
      <w:tblPr/>
      <w:tcPr>
        <w:tcBorders>
          <w:top w:val="single" w:sz="8" w:space="0" w:color="488BC9" w:themeColor="accent1"/>
          <w:left w:val="single" w:sz="8" w:space="0" w:color="488BC9" w:themeColor="accent1"/>
          <w:bottom w:val="single" w:sz="8" w:space="0" w:color="488BC9" w:themeColor="accent1"/>
          <w:right w:val="single" w:sz="8" w:space="0" w:color="488BC9" w:themeColor="accent1"/>
        </w:tcBorders>
      </w:tcPr>
    </w:tblStylePr>
    <w:tblStylePr w:type="band1Horz">
      <w:tblPr/>
      <w:tcPr>
        <w:tcBorders>
          <w:top w:val="single" w:sz="8" w:space="0" w:color="488BC9" w:themeColor="accent1"/>
          <w:left w:val="single" w:sz="8" w:space="0" w:color="488BC9" w:themeColor="accent1"/>
          <w:bottom w:val="single" w:sz="8" w:space="0" w:color="488BC9" w:themeColor="accent1"/>
          <w:right w:val="single" w:sz="8" w:space="0" w:color="488BC9" w:themeColor="accent1"/>
        </w:tcBorders>
      </w:tcPr>
    </w:tblStylePr>
  </w:style>
  <w:style w:type="table" w:styleId="LightList-Accent2">
    <w:name w:val="Light List Accent 2"/>
    <w:basedOn w:val="TableNormal"/>
    <w:uiPriority w:val="61"/>
    <w:rsid w:val="00846456"/>
    <w:tblPr>
      <w:tblStyleRowBandSize w:val="1"/>
      <w:tblStyleColBandSize w:val="1"/>
      <w:tblBorders>
        <w:top w:val="single" w:sz="8" w:space="0" w:color="FFC846" w:themeColor="accent2"/>
        <w:left w:val="single" w:sz="8" w:space="0" w:color="FFC846" w:themeColor="accent2"/>
        <w:bottom w:val="single" w:sz="8" w:space="0" w:color="FFC846" w:themeColor="accent2"/>
        <w:right w:val="single" w:sz="8" w:space="0" w:color="FFC846" w:themeColor="accent2"/>
      </w:tblBorders>
    </w:tblPr>
    <w:tblStylePr w:type="firstRow">
      <w:pPr>
        <w:spacing w:before="0" w:after="0" w:line="240" w:lineRule="auto"/>
      </w:pPr>
      <w:rPr>
        <w:b/>
        <w:bCs/>
        <w:color w:val="FFFFFF" w:themeColor="background1"/>
      </w:rPr>
      <w:tblPr/>
      <w:tcPr>
        <w:shd w:val="clear" w:color="auto" w:fill="FFC846" w:themeFill="accent2"/>
      </w:tcPr>
    </w:tblStylePr>
    <w:tblStylePr w:type="lastRow">
      <w:pPr>
        <w:spacing w:before="0" w:after="0" w:line="240" w:lineRule="auto"/>
      </w:pPr>
      <w:rPr>
        <w:b/>
        <w:bCs/>
      </w:rPr>
      <w:tblPr/>
      <w:tcPr>
        <w:tcBorders>
          <w:top w:val="double" w:sz="6" w:space="0" w:color="FFC846" w:themeColor="accent2"/>
          <w:left w:val="single" w:sz="8" w:space="0" w:color="FFC846" w:themeColor="accent2"/>
          <w:bottom w:val="single" w:sz="8" w:space="0" w:color="FFC846" w:themeColor="accent2"/>
          <w:right w:val="single" w:sz="8" w:space="0" w:color="FFC846" w:themeColor="accent2"/>
        </w:tcBorders>
      </w:tcPr>
    </w:tblStylePr>
    <w:tblStylePr w:type="firstCol">
      <w:rPr>
        <w:b/>
        <w:bCs/>
      </w:rPr>
    </w:tblStylePr>
    <w:tblStylePr w:type="lastCol">
      <w:rPr>
        <w:b/>
        <w:bCs/>
      </w:rPr>
    </w:tblStylePr>
    <w:tblStylePr w:type="band1Vert">
      <w:tblPr/>
      <w:tcPr>
        <w:tcBorders>
          <w:top w:val="single" w:sz="8" w:space="0" w:color="FFC846" w:themeColor="accent2"/>
          <w:left w:val="single" w:sz="8" w:space="0" w:color="FFC846" w:themeColor="accent2"/>
          <w:bottom w:val="single" w:sz="8" w:space="0" w:color="FFC846" w:themeColor="accent2"/>
          <w:right w:val="single" w:sz="8" w:space="0" w:color="FFC846" w:themeColor="accent2"/>
        </w:tcBorders>
      </w:tcPr>
    </w:tblStylePr>
    <w:tblStylePr w:type="band1Horz">
      <w:tblPr/>
      <w:tcPr>
        <w:tcBorders>
          <w:top w:val="single" w:sz="8" w:space="0" w:color="FFC846" w:themeColor="accent2"/>
          <w:left w:val="single" w:sz="8" w:space="0" w:color="FFC846" w:themeColor="accent2"/>
          <w:bottom w:val="single" w:sz="8" w:space="0" w:color="FFC846" w:themeColor="accent2"/>
          <w:right w:val="single" w:sz="8" w:space="0" w:color="FFC846" w:themeColor="accent2"/>
        </w:tcBorders>
      </w:tcPr>
    </w:tblStylePr>
  </w:style>
  <w:style w:type="table" w:styleId="LightList-Accent5">
    <w:name w:val="Light List Accent 5"/>
    <w:basedOn w:val="TableNormal"/>
    <w:uiPriority w:val="61"/>
    <w:rsid w:val="00846456"/>
    <w:tblPr>
      <w:tblStyleRowBandSize w:val="1"/>
      <w:tblStyleColBandSize w:val="1"/>
      <w:tblBorders>
        <w:top w:val="single" w:sz="8" w:space="0" w:color="46797A" w:themeColor="accent5"/>
        <w:left w:val="single" w:sz="8" w:space="0" w:color="46797A" w:themeColor="accent5"/>
        <w:bottom w:val="single" w:sz="8" w:space="0" w:color="46797A" w:themeColor="accent5"/>
        <w:right w:val="single" w:sz="8" w:space="0" w:color="46797A" w:themeColor="accent5"/>
      </w:tblBorders>
    </w:tblPr>
    <w:tblStylePr w:type="firstRow">
      <w:pPr>
        <w:spacing w:before="0" w:after="0" w:line="240" w:lineRule="auto"/>
      </w:pPr>
      <w:rPr>
        <w:b/>
        <w:bCs/>
        <w:color w:val="FFFFFF" w:themeColor="background1"/>
      </w:rPr>
      <w:tblPr/>
      <w:tcPr>
        <w:shd w:val="clear" w:color="auto" w:fill="46797A" w:themeFill="accent5"/>
      </w:tcPr>
    </w:tblStylePr>
    <w:tblStylePr w:type="lastRow">
      <w:pPr>
        <w:spacing w:before="0" w:after="0" w:line="240" w:lineRule="auto"/>
      </w:pPr>
      <w:rPr>
        <w:b/>
        <w:bCs/>
      </w:rPr>
      <w:tblPr/>
      <w:tcPr>
        <w:tcBorders>
          <w:top w:val="double" w:sz="6" w:space="0" w:color="46797A" w:themeColor="accent5"/>
          <w:left w:val="single" w:sz="8" w:space="0" w:color="46797A" w:themeColor="accent5"/>
          <w:bottom w:val="single" w:sz="8" w:space="0" w:color="46797A" w:themeColor="accent5"/>
          <w:right w:val="single" w:sz="8" w:space="0" w:color="46797A" w:themeColor="accent5"/>
        </w:tcBorders>
      </w:tcPr>
    </w:tblStylePr>
    <w:tblStylePr w:type="firstCol">
      <w:rPr>
        <w:b/>
        <w:bCs/>
      </w:rPr>
    </w:tblStylePr>
    <w:tblStylePr w:type="lastCol">
      <w:rPr>
        <w:b/>
        <w:bCs/>
      </w:rPr>
    </w:tblStylePr>
    <w:tblStylePr w:type="band1Vert">
      <w:tblPr/>
      <w:tcPr>
        <w:tcBorders>
          <w:top w:val="single" w:sz="8" w:space="0" w:color="46797A" w:themeColor="accent5"/>
          <w:left w:val="single" w:sz="8" w:space="0" w:color="46797A" w:themeColor="accent5"/>
          <w:bottom w:val="single" w:sz="8" w:space="0" w:color="46797A" w:themeColor="accent5"/>
          <w:right w:val="single" w:sz="8" w:space="0" w:color="46797A" w:themeColor="accent5"/>
        </w:tcBorders>
      </w:tcPr>
    </w:tblStylePr>
    <w:tblStylePr w:type="band1Horz">
      <w:tblPr/>
      <w:tcPr>
        <w:tcBorders>
          <w:top w:val="single" w:sz="8" w:space="0" w:color="46797A" w:themeColor="accent5"/>
          <w:left w:val="single" w:sz="8" w:space="0" w:color="46797A" w:themeColor="accent5"/>
          <w:bottom w:val="single" w:sz="8" w:space="0" w:color="46797A" w:themeColor="accent5"/>
          <w:right w:val="single" w:sz="8" w:space="0" w:color="46797A" w:themeColor="accent5"/>
        </w:tcBorders>
      </w:tcPr>
    </w:tblStylePr>
  </w:style>
  <w:style w:type="table" w:styleId="LightShading">
    <w:name w:val="Light Shading"/>
    <w:basedOn w:val="TableNormal"/>
    <w:uiPriority w:val="60"/>
    <w:rsid w:val="00846456"/>
    <w:rPr>
      <w:color w:val="454C53" w:themeColor="text1" w:themeShade="BF"/>
    </w:rPr>
    <w:tblPr>
      <w:tblStyleRowBandSize w:val="1"/>
      <w:tblStyleColBandSize w:val="1"/>
      <w:tblBorders>
        <w:top w:val="single" w:sz="8" w:space="0" w:color="5C6670" w:themeColor="text1"/>
        <w:bottom w:val="single" w:sz="8" w:space="0" w:color="5C6670" w:themeColor="text1"/>
      </w:tblBorders>
    </w:tblPr>
    <w:tblStylePr w:type="firstRow">
      <w:pPr>
        <w:spacing w:before="0" w:after="0" w:line="240" w:lineRule="auto"/>
      </w:pPr>
      <w:rPr>
        <w:b/>
        <w:bCs/>
      </w:rPr>
      <w:tblPr/>
      <w:tcPr>
        <w:tcBorders>
          <w:top w:val="single" w:sz="8" w:space="0" w:color="5C6670" w:themeColor="text1"/>
          <w:left w:val="nil"/>
          <w:bottom w:val="single" w:sz="8" w:space="0" w:color="5C6670" w:themeColor="text1"/>
          <w:right w:val="nil"/>
          <w:insideH w:val="nil"/>
          <w:insideV w:val="nil"/>
        </w:tcBorders>
      </w:tcPr>
    </w:tblStylePr>
    <w:tblStylePr w:type="lastRow">
      <w:pPr>
        <w:spacing w:before="0" w:after="0" w:line="240" w:lineRule="auto"/>
      </w:pPr>
      <w:rPr>
        <w:b/>
        <w:bCs/>
      </w:rPr>
      <w:tblPr/>
      <w:tcPr>
        <w:tcBorders>
          <w:top w:val="single" w:sz="8" w:space="0" w:color="5C6670" w:themeColor="text1"/>
          <w:left w:val="nil"/>
          <w:bottom w:val="single" w:sz="8" w:space="0" w:color="5C667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5D9DD" w:themeFill="text1" w:themeFillTint="3F"/>
      </w:tcPr>
    </w:tblStylePr>
    <w:tblStylePr w:type="band1Horz">
      <w:tblPr/>
      <w:tcPr>
        <w:tcBorders>
          <w:left w:val="nil"/>
          <w:right w:val="nil"/>
          <w:insideH w:val="nil"/>
          <w:insideV w:val="nil"/>
        </w:tcBorders>
        <w:shd w:val="clear" w:color="auto" w:fill="D5D9DD" w:themeFill="text1" w:themeFillTint="3F"/>
      </w:tcPr>
    </w:tblStylePr>
  </w:style>
  <w:style w:type="table" w:styleId="LightShading-Accent1">
    <w:name w:val="Light Shading Accent 1"/>
    <w:basedOn w:val="TableNormal"/>
    <w:uiPriority w:val="60"/>
    <w:rsid w:val="00846456"/>
    <w:rPr>
      <w:color w:val="2E689D" w:themeColor="accent1" w:themeShade="BF"/>
    </w:rPr>
    <w:tblPr>
      <w:tblStyleRowBandSize w:val="1"/>
      <w:tblStyleColBandSize w:val="1"/>
      <w:tblBorders>
        <w:top w:val="single" w:sz="8" w:space="0" w:color="488BC9" w:themeColor="accent1"/>
        <w:bottom w:val="single" w:sz="8" w:space="0" w:color="488BC9" w:themeColor="accent1"/>
      </w:tblBorders>
    </w:tblPr>
    <w:tblStylePr w:type="firstRow">
      <w:pPr>
        <w:spacing w:before="0" w:after="0" w:line="240" w:lineRule="auto"/>
      </w:pPr>
      <w:rPr>
        <w:b/>
        <w:bCs/>
      </w:rPr>
      <w:tblPr/>
      <w:tcPr>
        <w:tcBorders>
          <w:top w:val="single" w:sz="8" w:space="0" w:color="488BC9" w:themeColor="accent1"/>
          <w:left w:val="nil"/>
          <w:bottom w:val="single" w:sz="8" w:space="0" w:color="488BC9" w:themeColor="accent1"/>
          <w:right w:val="nil"/>
          <w:insideH w:val="nil"/>
          <w:insideV w:val="nil"/>
        </w:tcBorders>
      </w:tcPr>
    </w:tblStylePr>
    <w:tblStylePr w:type="lastRow">
      <w:pPr>
        <w:spacing w:before="0" w:after="0" w:line="240" w:lineRule="auto"/>
      </w:pPr>
      <w:rPr>
        <w:b/>
        <w:bCs/>
      </w:rPr>
      <w:tblPr/>
      <w:tcPr>
        <w:tcBorders>
          <w:top w:val="single" w:sz="8" w:space="0" w:color="488BC9" w:themeColor="accent1"/>
          <w:left w:val="nil"/>
          <w:bottom w:val="single" w:sz="8" w:space="0" w:color="488BC9"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1E2F1" w:themeFill="accent1" w:themeFillTint="3F"/>
      </w:tcPr>
    </w:tblStylePr>
    <w:tblStylePr w:type="band1Horz">
      <w:tblPr/>
      <w:tcPr>
        <w:tcBorders>
          <w:left w:val="nil"/>
          <w:right w:val="nil"/>
          <w:insideH w:val="nil"/>
          <w:insideV w:val="nil"/>
        </w:tcBorders>
        <w:shd w:val="clear" w:color="auto" w:fill="D1E2F1" w:themeFill="accent1" w:themeFillTint="3F"/>
      </w:tcPr>
    </w:tblStylePr>
  </w:style>
  <w:style w:type="table" w:styleId="LightShading-Accent3">
    <w:name w:val="Light Shading Accent 3"/>
    <w:basedOn w:val="TableNormal"/>
    <w:uiPriority w:val="60"/>
    <w:rsid w:val="00846456"/>
    <w:rPr>
      <w:color w:val="69962C" w:themeColor="accent3" w:themeShade="BF"/>
    </w:rPr>
    <w:tblPr>
      <w:tblStyleRowBandSize w:val="1"/>
      <w:tblStyleColBandSize w:val="1"/>
      <w:tblBorders>
        <w:top w:val="single" w:sz="8" w:space="0" w:color="8DC63F" w:themeColor="accent3"/>
        <w:bottom w:val="single" w:sz="8" w:space="0" w:color="8DC63F" w:themeColor="accent3"/>
      </w:tblBorders>
    </w:tblPr>
    <w:tblStylePr w:type="firstRow">
      <w:pPr>
        <w:spacing w:before="0" w:after="0" w:line="240" w:lineRule="auto"/>
      </w:pPr>
      <w:rPr>
        <w:b/>
        <w:bCs/>
      </w:rPr>
      <w:tblPr/>
      <w:tcPr>
        <w:tcBorders>
          <w:top w:val="single" w:sz="8" w:space="0" w:color="8DC63F" w:themeColor="accent3"/>
          <w:left w:val="nil"/>
          <w:bottom w:val="single" w:sz="8" w:space="0" w:color="8DC63F" w:themeColor="accent3"/>
          <w:right w:val="nil"/>
          <w:insideH w:val="nil"/>
          <w:insideV w:val="nil"/>
        </w:tcBorders>
      </w:tcPr>
    </w:tblStylePr>
    <w:tblStylePr w:type="lastRow">
      <w:pPr>
        <w:spacing w:before="0" w:after="0" w:line="240" w:lineRule="auto"/>
      </w:pPr>
      <w:rPr>
        <w:b/>
        <w:bCs/>
      </w:rPr>
      <w:tblPr/>
      <w:tcPr>
        <w:tcBorders>
          <w:top w:val="single" w:sz="8" w:space="0" w:color="8DC63F" w:themeColor="accent3"/>
          <w:left w:val="nil"/>
          <w:bottom w:val="single" w:sz="8" w:space="0" w:color="8DC63F"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F1CF" w:themeFill="accent3" w:themeFillTint="3F"/>
      </w:tcPr>
    </w:tblStylePr>
    <w:tblStylePr w:type="band1Horz">
      <w:tblPr/>
      <w:tcPr>
        <w:tcBorders>
          <w:left w:val="nil"/>
          <w:right w:val="nil"/>
          <w:insideH w:val="nil"/>
          <w:insideV w:val="nil"/>
        </w:tcBorders>
        <w:shd w:val="clear" w:color="auto" w:fill="E2F1CF" w:themeFill="accent3" w:themeFillTint="3F"/>
      </w:tcPr>
    </w:tblStylePr>
  </w:style>
  <w:style w:type="paragraph" w:styleId="ListParagraph">
    <w:name w:val="List Paragraph"/>
    <w:basedOn w:val="Normal"/>
    <w:uiPriority w:val="34"/>
    <w:qFormat/>
    <w:rsid w:val="00846456"/>
    <w:pPr>
      <w:ind w:left="720"/>
      <w:contextualSpacing/>
    </w:pPr>
  </w:style>
  <w:style w:type="table" w:styleId="MediumGrid3-Accent1">
    <w:name w:val="Medium Grid 3 Accent 1"/>
    <w:basedOn w:val="TableNormal"/>
    <w:uiPriority w:val="69"/>
    <w:rsid w:val="00846456"/>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1E2F1"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88BC9"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88BC9"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88BC9"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88BC9"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3C4E4"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3C4E4" w:themeFill="accent1" w:themeFillTint="7F"/>
      </w:tcPr>
    </w:tblStylePr>
  </w:style>
  <w:style w:type="table" w:styleId="MediumList1-Accent1">
    <w:name w:val="Medium List 1 Accent 1"/>
    <w:basedOn w:val="TableNormal"/>
    <w:uiPriority w:val="65"/>
    <w:rsid w:val="00846456"/>
    <w:rPr>
      <w:color w:val="5C6670" w:themeColor="text1"/>
    </w:rPr>
    <w:tblPr>
      <w:tblStyleRowBandSize w:val="1"/>
      <w:tblStyleColBandSize w:val="1"/>
      <w:tblBorders>
        <w:top w:val="single" w:sz="8" w:space="0" w:color="488BC9" w:themeColor="accent1"/>
        <w:bottom w:val="single" w:sz="8" w:space="0" w:color="488BC9" w:themeColor="accent1"/>
      </w:tblBorders>
    </w:tblPr>
    <w:tblStylePr w:type="firstRow">
      <w:rPr>
        <w:rFonts w:asciiTheme="majorHAnsi" w:eastAsiaTheme="majorEastAsia" w:hAnsiTheme="majorHAnsi" w:cstheme="majorBidi"/>
      </w:rPr>
      <w:tblPr/>
      <w:tcPr>
        <w:tcBorders>
          <w:top w:val="nil"/>
          <w:bottom w:val="single" w:sz="8" w:space="0" w:color="488BC9" w:themeColor="accent1"/>
        </w:tcBorders>
      </w:tcPr>
    </w:tblStylePr>
    <w:tblStylePr w:type="lastRow">
      <w:rPr>
        <w:b/>
        <w:bCs/>
        <w:color w:val="8FC6E8" w:themeColor="text2"/>
      </w:rPr>
      <w:tblPr/>
      <w:tcPr>
        <w:tcBorders>
          <w:top w:val="single" w:sz="8" w:space="0" w:color="488BC9" w:themeColor="accent1"/>
          <w:bottom w:val="single" w:sz="8" w:space="0" w:color="488BC9" w:themeColor="accent1"/>
        </w:tcBorders>
      </w:tcPr>
    </w:tblStylePr>
    <w:tblStylePr w:type="firstCol">
      <w:rPr>
        <w:b/>
        <w:bCs/>
      </w:rPr>
    </w:tblStylePr>
    <w:tblStylePr w:type="lastCol">
      <w:rPr>
        <w:b/>
        <w:bCs/>
      </w:rPr>
      <w:tblPr/>
      <w:tcPr>
        <w:tcBorders>
          <w:top w:val="single" w:sz="8" w:space="0" w:color="488BC9" w:themeColor="accent1"/>
          <w:bottom w:val="single" w:sz="8" w:space="0" w:color="488BC9" w:themeColor="accent1"/>
        </w:tcBorders>
      </w:tcPr>
    </w:tblStylePr>
    <w:tblStylePr w:type="band1Vert">
      <w:tblPr/>
      <w:tcPr>
        <w:shd w:val="clear" w:color="auto" w:fill="D1E2F1" w:themeFill="accent1" w:themeFillTint="3F"/>
      </w:tcPr>
    </w:tblStylePr>
    <w:tblStylePr w:type="band1Horz">
      <w:tblPr/>
      <w:tcPr>
        <w:shd w:val="clear" w:color="auto" w:fill="D1E2F1" w:themeFill="accent1" w:themeFillTint="3F"/>
      </w:tcPr>
    </w:tblStylePr>
  </w:style>
  <w:style w:type="table" w:styleId="MediumList1-Accent6">
    <w:name w:val="Medium List 1 Accent 6"/>
    <w:basedOn w:val="TableNormal"/>
    <w:uiPriority w:val="65"/>
    <w:rsid w:val="00846456"/>
    <w:rPr>
      <w:color w:val="5C6670" w:themeColor="text1"/>
    </w:rPr>
    <w:tblPr>
      <w:tblStyleRowBandSize w:val="1"/>
      <w:tblStyleColBandSize w:val="1"/>
      <w:tblBorders>
        <w:top w:val="single" w:sz="8" w:space="0" w:color="EF7521" w:themeColor="accent6"/>
        <w:bottom w:val="single" w:sz="8" w:space="0" w:color="EF7521" w:themeColor="accent6"/>
      </w:tblBorders>
    </w:tblPr>
    <w:tblStylePr w:type="firstRow">
      <w:rPr>
        <w:rFonts w:asciiTheme="majorHAnsi" w:eastAsiaTheme="majorEastAsia" w:hAnsiTheme="majorHAnsi" w:cstheme="majorBidi"/>
      </w:rPr>
      <w:tblPr/>
      <w:tcPr>
        <w:tcBorders>
          <w:top w:val="nil"/>
          <w:bottom w:val="single" w:sz="8" w:space="0" w:color="EF7521" w:themeColor="accent6"/>
        </w:tcBorders>
      </w:tcPr>
    </w:tblStylePr>
    <w:tblStylePr w:type="lastRow">
      <w:rPr>
        <w:b/>
        <w:bCs/>
        <w:color w:val="8FC6E8" w:themeColor="text2"/>
      </w:rPr>
      <w:tblPr/>
      <w:tcPr>
        <w:tcBorders>
          <w:top w:val="single" w:sz="8" w:space="0" w:color="EF7521" w:themeColor="accent6"/>
          <w:bottom w:val="single" w:sz="8" w:space="0" w:color="EF7521" w:themeColor="accent6"/>
        </w:tcBorders>
      </w:tcPr>
    </w:tblStylePr>
    <w:tblStylePr w:type="firstCol">
      <w:rPr>
        <w:b/>
        <w:bCs/>
      </w:rPr>
    </w:tblStylePr>
    <w:tblStylePr w:type="lastCol">
      <w:rPr>
        <w:b/>
        <w:bCs/>
      </w:rPr>
      <w:tblPr/>
      <w:tcPr>
        <w:tcBorders>
          <w:top w:val="single" w:sz="8" w:space="0" w:color="EF7521" w:themeColor="accent6"/>
          <w:bottom w:val="single" w:sz="8" w:space="0" w:color="EF7521" w:themeColor="accent6"/>
        </w:tcBorders>
      </w:tcPr>
    </w:tblStylePr>
    <w:tblStylePr w:type="band1Vert">
      <w:tblPr/>
      <w:tcPr>
        <w:shd w:val="clear" w:color="auto" w:fill="FBDCC7" w:themeFill="accent6" w:themeFillTint="3F"/>
      </w:tcPr>
    </w:tblStylePr>
    <w:tblStylePr w:type="band1Horz">
      <w:tblPr/>
      <w:tcPr>
        <w:shd w:val="clear" w:color="auto" w:fill="FBDCC7" w:themeFill="accent6" w:themeFillTint="3F"/>
      </w:tcPr>
    </w:tblStylePr>
  </w:style>
  <w:style w:type="table" w:styleId="MediumShading1-Accent1">
    <w:name w:val="Medium Shading 1 Accent 1"/>
    <w:basedOn w:val="TableNormal"/>
    <w:uiPriority w:val="63"/>
    <w:rsid w:val="00846456"/>
    <w:tblPr>
      <w:tblStyleRowBandSize w:val="1"/>
      <w:tblStyleColBandSize w:val="1"/>
      <w:tblBorders>
        <w:top w:val="single" w:sz="8" w:space="0" w:color="75A7D6" w:themeColor="accent1" w:themeTint="BF"/>
        <w:left w:val="single" w:sz="8" w:space="0" w:color="75A7D6" w:themeColor="accent1" w:themeTint="BF"/>
        <w:bottom w:val="single" w:sz="8" w:space="0" w:color="75A7D6" w:themeColor="accent1" w:themeTint="BF"/>
        <w:right w:val="single" w:sz="8" w:space="0" w:color="75A7D6" w:themeColor="accent1" w:themeTint="BF"/>
        <w:insideH w:val="single" w:sz="8" w:space="0" w:color="75A7D6" w:themeColor="accent1" w:themeTint="BF"/>
      </w:tblBorders>
    </w:tblPr>
    <w:tblStylePr w:type="firstRow">
      <w:pPr>
        <w:spacing w:before="0" w:after="0" w:line="240" w:lineRule="auto"/>
      </w:pPr>
      <w:rPr>
        <w:b/>
        <w:bCs/>
        <w:color w:val="FFFFFF" w:themeColor="background1"/>
      </w:rPr>
      <w:tblPr/>
      <w:tcPr>
        <w:tcBorders>
          <w:top w:val="single" w:sz="8" w:space="0" w:color="75A7D6" w:themeColor="accent1" w:themeTint="BF"/>
          <w:left w:val="single" w:sz="8" w:space="0" w:color="75A7D6" w:themeColor="accent1" w:themeTint="BF"/>
          <w:bottom w:val="single" w:sz="8" w:space="0" w:color="75A7D6" w:themeColor="accent1" w:themeTint="BF"/>
          <w:right w:val="single" w:sz="8" w:space="0" w:color="75A7D6" w:themeColor="accent1" w:themeTint="BF"/>
          <w:insideH w:val="nil"/>
          <w:insideV w:val="nil"/>
        </w:tcBorders>
        <w:shd w:val="clear" w:color="auto" w:fill="488BC9" w:themeFill="accent1"/>
      </w:tcPr>
    </w:tblStylePr>
    <w:tblStylePr w:type="lastRow">
      <w:pPr>
        <w:spacing w:before="0" w:after="0" w:line="240" w:lineRule="auto"/>
      </w:pPr>
      <w:rPr>
        <w:b/>
        <w:bCs/>
      </w:rPr>
      <w:tblPr/>
      <w:tcPr>
        <w:tcBorders>
          <w:top w:val="double" w:sz="6" w:space="0" w:color="75A7D6" w:themeColor="accent1" w:themeTint="BF"/>
          <w:left w:val="single" w:sz="8" w:space="0" w:color="75A7D6" w:themeColor="accent1" w:themeTint="BF"/>
          <w:bottom w:val="single" w:sz="8" w:space="0" w:color="75A7D6" w:themeColor="accent1" w:themeTint="BF"/>
          <w:right w:val="single" w:sz="8" w:space="0" w:color="75A7D6" w:themeColor="accent1" w:themeTint="BF"/>
          <w:insideH w:val="nil"/>
          <w:insideV w:val="nil"/>
        </w:tcBorders>
      </w:tcPr>
    </w:tblStylePr>
    <w:tblStylePr w:type="firstCol">
      <w:rPr>
        <w:b/>
        <w:bCs/>
      </w:rPr>
    </w:tblStylePr>
    <w:tblStylePr w:type="lastCol">
      <w:rPr>
        <w:b/>
        <w:bCs/>
      </w:rPr>
    </w:tblStylePr>
    <w:tblStylePr w:type="band1Vert">
      <w:tblPr/>
      <w:tcPr>
        <w:shd w:val="clear" w:color="auto" w:fill="D1E2F1" w:themeFill="accent1" w:themeFillTint="3F"/>
      </w:tcPr>
    </w:tblStylePr>
    <w:tblStylePr w:type="band1Horz">
      <w:tblPr/>
      <w:tcPr>
        <w:tcBorders>
          <w:insideH w:val="nil"/>
          <w:insideV w:val="nil"/>
        </w:tcBorders>
        <w:shd w:val="clear" w:color="auto" w:fill="D1E2F1" w:themeFill="accent1"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846456"/>
    <w:tblPr>
      <w:tblStyleRowBandSize w:val="1"/>
      <w:tblStyleColBandSize w:val="1"/>
      <w:tblBorders>
        <w:top w:val="single" w:sz="8" w:space="0" w:color="67A6A8" w:themeColor="accent5" w:themeTint="BF"/>
        <w:left w:val="single" w:sz="8" w:space="0" w:color="67A6A8" w:themeColor="accent5" w:themeTint="BF"/>
        <w:bottom w:val="single" w:sz="8" w:space="0" w:color="67A6A8" w:themeColor="accent5" w:themeTint="BF"/>
        <w:right w:val="single" w:sz="8" w:space="0" w:color="67A6A8" w:themeColor="accent5" w:themeTint="BF"/>
        <w:insideH w:val="single" w:sz="8" w:space="0" w:color="67A6A8" w:themeColor="accent5" w:themeTint="BF"/>
      </w:tblBorders>
    </w:tblPr>
    <w:tblStylePr w:type="firstRow">
      <w:pPr>
        <w:spacing w:before="0" w:after="0" w:line="240" w:lineRule="auto"/>
      </w:pPr>
      <w:rPr>
        <w:b/>
        <w:bCs/>
        <w:color w:val="FFFFFF" w:themeColor="background1"/>
      </w:rPr>
      <w:tblPr/>
      <w:tcPr>
        <w:tcBorders>
          <w:top w:val="single" w:sz="8" w:space="0" w:color="67A6A8" w:themeColor="accent5" w:themeTint="BF"/>
          <w:left w:val="single" w:sz="8" w:space="0" w:color="67A6A8" w:themeColor="accent5" w:themeTint="BF"/>
          <w:bottom w:val="single" w:sz="8" w:space="0" w:color="67A6A8" w:themeColor="accent5" w:themeTint="BF"/>
          <w:right w:val="single" w:sz="8" w:space="0" w:color="67A6A8" w:themeColor="accent5" w:themeTint="BF"/>
          <w:insideH w:val="nil"/>
          <w:insideV w:val="nil"/>
        </w:tcBorders>
        <w:shd w:val="clear" w:color="auto" w:fill="46797A" w:themeFill="accent5"/>
      </w:tcPr>
    </w:tblStylePr>
    <w:tblStylePr w:type="lastRow">
      <w:pPr>
        <w:spacing w:before="0" w:after="0" w:line="240" w:lineRule="auto"/>
      </w:pPr>
      <w:rPr>
        <w:b/>
        <w:bCs/>
      </w:rPr>
      <w:tblPr/>
      <w:tcPr>
        <w:tcBorders>
          <w:top w:val="double" w:sz="6" w:space="0" w:color="67A6A8" w:themeColor="accent5" w:themeTint="BF"/>
          <w:left w:val="single" w:sz="8" w:space="0" w:color="67A6A8" w:themeColor="accent5" w:themeTint="BF"/>
          <w:bottom w:val="single" w:sz="8" w:space="0" w:color="67A6A8" w:themeColor="accent5" w:themeTint="BF"/>
          <w:right w:val="single" w:sz="8" w:space="0" w:color="67A6A8" w:themeColor="accent5" w:themeTint="BF"/>
          <w:insideH w:val="nil"/>
          <w:insideV w:val="nil"/>
        </w:tcBorders>
      </w:tcPr>
    </w:tblStylePr>
    <w:tblStylePr w:type="firstCol">
      <w:rPr>
        <w:b/>
        <w:bCs/>
      </w:rPr>
    </w:tblStylePr>
    <w:tblStylePr w:type="lastCol">
      <w:rPr>
        <w:b/>
        <w:bCs/>
      </w:rPr>
    </w:tblStylePr>
    <w:tblStylePr w:type="band1Vert">
      <w:tblPr/>
      <w:tcPr>
        <w:shd w:val="clear" w:color="auto" w:fill="CDE1E2" w:themeFill="accent5" w:themeFillTint="3F"/>
      </w:tcPr>
    </w:tblStylePr>
    <w:tblStylePr w:type="band1Horz">
      <w:tblPr/>
      <w:tcPr>
        <w:tcBorders>
          <w:insideH w:val="nil"/>
          <w:insideV w:val="nil"/>
        </w:tcBorders>
        <w:shd w:val="clear" w:color="auto" w:fill="CDE1E2" w:themeFill="accent5" w:themeFillTint="3F"/>
      </w:tcPr>
    </w:tblStylePr>
    <w:tblStylePr w:type="band2Horz">
      <w:tblPr/>
      <w:tcPr>
        <w:tcBorders>
          <w:insideH w:val="nil"/>
          <w:insideV w:val="nil"/>
        </w:tcBorders>
      </w:tcPr>
    </w:tblStylePr>
  </w:style>
  <w:style w:type="character" w:styleId="PlaceholderText">
    <w:name w:val="Placeholder Text"/>
    <w:basedOn w:val="DefaultParagraphFont"/>
    <w:uiPriority w:val="99"/>
    <w:semiHidden/>
    <w:rsid w:val="00846456"/>
    <w:rPr>
      <w:color w:val="808080"/>
    </w:rPr>
  </w:style>
  <w:style w:type="paragraph" w:styleId="Quote">
    <w:name w:val="Quote"/>
    <w:basedOn w:val="Normal"/>
    <w:next w:val="Normal"/>
    <w:link w:val="QuoteChar"/>
    <w:uiPriority w:val="29"/>
    <w:qFormat/>
    <w:rsid w:val="00846456"/>
    <w:rPr>
      <w:i/>
      <w:iCs/>
    </w:rPr>
  </w:style>
  <w:style w:type="character" w:customStyle="1" w:styleId="QuoteChar">
    <w:name w:val="Quote Char"/>
    <w:basedOn w:val="DefaultParagraphFont"/>
    <w:link w:val="Quote"/>
    <w:uiPriority w:val="29"/>
    <w:rsid w:val="00846456"/>
    <w:rPr>
      <w:rFonts w:ascii="Calibri" w:hAnsi="Calibri"/>
      <w:i/>
      <w:iCs/>
      <w:sz w:val="22"/>
    </w:rPr>
  </w:style>
  <w:style w:type="character" w:styleId="Strong">
    <w:name w:val="Strong"/>
    <w:basedOn w:val="DefaultParagraphFont"/>
    <w:uiPriority w:val="1"/>
    <w:qFormat/>
    <w:rsid w:val="00846456"/>
    <w:rPr>
      <w:b/>
      <w:bCs/>
      <w:color w:val="auto"/>
    </w:rPr>
  </w:style>
  <w:style w:type="character" w:styleId="SubtleEmphasis">
    <w:name w:val="Subtle Emphasis"/>
    <w:basedOn w:val="DefaultParagraphFont"/>
    <w:uiPriority w:val="19"/>
    <w:qFormat/>
    <w:rsid w:val="00846456"/>
    <w:rPr>
      <w:i/>
      <w:iCs/>
      <w:color w:val="auto"/>
    </w:rPr>
  </w:style>
  <w:style w:type="character" w:styleId="SubtleReference">
    <w:name w:val="Subtle Reference"/>
    <w:basedOn w:val="DefaultParagraphFont"/>
    <w:uiPriority w:val="31"/>
    <w:qFormat/>
    <w:rsid w:val="00846456"/>
    <w:rPr>
      <w:smallCaps/>
      <w:color w:val="auto"/>
      <w:u w:val="single"/>
    </w:rPr>
  </w:style>
  <w:style w:type="table" w:styleId="TableGrid">
    <w:name w:val="Table Grid"/>
    <w:basedOn w:val="TableNormal"/>
    <w:uiPriority w:val="59"/>
    <w:rsid w:val="00846456"/>
    <w:rPr>
      <w:sz w:val="22"/>
      <w:szCs w:val="22"/>
      <w:lang w:bidi="en-US"/>
    </w:rPr>
    <w:tblPr>
      <w:tblBorders>
        <w:top w:val="single" w:sz="4" w:space="0" w:color="5C6670" w:themeColor="text1"/>
        <w:left w:val="single" w:sz="4" w:space="0" w:color="5C6670" w:themeColor="text1"/>
        <w:bottom w:val="single" w:sz="4" w:space="0" w:color="5C6670" w:themeColor="text1"/>
        <w:right w:val="single" w:sz="4" w:space="0" w:color="5C6670" w:themeColor="text1"/>
        <w:insideH w:val="single" w:sz="4" w:space="0" w:color="5C6670" w:themeColor="text1"/>
        <w:insideV w:val="single" w:sz="4" w:space="0" w:color="5C6670" w:themeColor="text1"/>
      </w:tblBorders>
    </w:tblPr>
  </w:style>
  <w:style w:type="paragraph" w:styleId="TOC1">
    <w:name w:val="toc 1"/>
    <w:basedOn w:val="Heading1"/>
    <w:next w:val="SubheadTrebuchet"/>
    <w:autoRedefine/>
    <w:uiPriority w:val="39"/>
    <w:unhideWhenUsed/>
    <w:qFormat/>
    <w:rsid w:val="00846456"/>
    <w:pPr>
      <w:tabs>
        <w:tab w:val="right" w:pos="7200"/>
      </w:tabs>
      <w:spacing w:before="240" w:after="60"/>
    </w:pPr>
    <w:rPr>
      <w:sz w:val="24"/>
    </w:rPr>
  </w:style>
  <w:style w:type="table" w:styleId="TableWeb1">
    <w:name w:val="Table Web 1"/>
    <w:basedOn w:val="TableNormal"/>
    <w:rsid w:val="00846456"/>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C4">
    <w:name w:val="toc 4"/>
    <w:basedOn w:val="TOC3"/>
    <w:next w:val="TOC5"/>
    <w:autoRedefine/>
    <w:uiPriority w:val="39"/>
    <w:semiHidden/>
    <w:unhideWhenUsed/>
    <w:qFormat/>
    <w:rsid w:val="00846456"/>
    <w:pPr>
      <w:ind w:left="660"/>
    </w:pPr>
  </w:style>
  <w:style w:type="paragraph" w:styleId="TOCHeading">
    <w:name w:val="TOC Heading"/>
    <w:basedOn w:val="Heading1"/>
    <w:next w:val="Normal"/>
    <w:uiPriority w:val="39"/>
    <w:semiHidden/>
    <w:unhideWhenUsed/>
    <w:qFormat/>
    <w:rsid w:val="00846456"/>
    <w:pPr>
      <w:keepNext/>
      <w:keepLines/>
      <w:pBdr>
        <w:bottom w:val="none" w:sz="0" w:space="0" w:color="auto"/>
      </w:pBdr>
      <w:tabs>
        <w:tab w:val="clear" w:pos="90"/>
      </w:tabs>
      <w:spacing w:before="480"/>
      <w:outlineLvl w:val="9"/>
    </w:pPr>
    <w:rPr>
      <w:rFonts w:asciiTheme="majorHAnsi" w:eastAsiaTheme="majorEastAsia" w:hAnsiTheme="majorHAnsi" w:cstheme="majorBidi"/>
      <w:b/>
      <w:sz w:val="32"/>
      <w:szCs w:val="32"/>
    </w:rPr>
  </w:style>
  <w:style w:type="character" w:customStyle="1" w:styleId="Heading4Char">
    <w:name w:val="Heading 4 Char"/>
    <w:basedOn w:val="DefaultParagraphFont"/>
    <w:link w:val="Heading4"/>
    <w:uiPriority w:val="9"/>
    <w:semiHidden/>
    <w:rsid w:val="00587144"/>
    <w:rPr>
      <w:rFonts w:asciiTheme="majorHAnsi" w:eastAsiaTheme="majorEastAsia" w:hAnsiTheme="majorHAnsi" w:cstheme="majorBidi"/>
      <w:b/>
      <w:bCs/>
      <w:i/>
      <w:iCs/>
      <w:color w:val="488BC9" w:themeColor="accent1"/>
      <w:sz w:val="22"/>
    </w:rPr>
  </w:style>
  <w:style w:type="paragraph" w:customStyle="1" w:styleId="Body">
    <w:name w:val="Body"/>
    <w:basedOn w:val="Normal"/>
    <w:uiPriority w:val="99"/>
    <w:rsid w:val="007B38CB"/>
    <w:pPr>
      <w:suppressAutoHyphens/>
      <w:autoSpaceDE w:val="0"/>
      <w:autoSpaceDN w:val="0"/>
      <w:adjustRightInd w:val="0"/>
      <w:spacing w:after="180"/>
      <w:textAlignment w:val="center"/>
    </w:pPr>
    <w:rPr>
      <w:rFonts w:eastAsiaTheme="minorHAnsi" w:cs="Calibri"/>
      <w:color w:val="4E5758"/>
      <w:szCs w:val="22"/>
    </w:rPr>
  </w:style>
  <w:style w:type="paragraph" w:customStyle="1" w:styleId="BodyBullet">
    <w:name w:val="Body Bullet"/>
    <w:basedOn w:val="Body"/>
    <w:qFormat/>
    <w:rsid w:val="007B38CB"/>
    <w:pPr>
      <w:numPr>
        <w:numId w:val="8"/>
      </w:numPr>
    </w:pPr>
  </w:style>
  <w:style w:type="character" w:styleId="FollowedHyperlink">
    <w:name w:val="FollowedHyperlink"/>
    <w:basedOn w:val="DefaultParagraphFont"/>
    <w:uiPriority w:val="99"/>
    <w:semiHidden/>
    <w:unhideWhenUsed/>
    <w:rsid w:val="00F536F0"/>
    <w:rPr>
      <w:color w:val="18375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97950729">
      <w:bodyDiv w:val="1"/>
      <w:marLeft w:val="0"/>
      <w:marRight w:val="0"/>
      <w:marTop w:val="0"/>
      <w:marBottom w:val="0"/>
      <w:divBdr>
        <w:top w:val="none" w:sz="0" w:space="0" w:color="auto"/>
        <w:left w:val="none" w:sz="0" w:space="0" w:color="auto"/>
        <w:bottom w:val="none" w:sz="0" w:space="0" w:color="auto"/>
        <w:right w:val="none" w:sz="0" w:space="0" w:color="auto"/>
      </w:divBdr>
      <w:divsChild>
        <w:div w:id="429935117">
          <w:marLeft w:val="1800"/>
          <w:marRight w:val="0"/>
          <w:marTop w:val="100"/>
          <w:marBottom w:val="0"/>
          <w:divBdr>
            <w:top w:val="none" w:sz="0" w:space="0" w:color="auto"/>
            <w:left w:val="none" w:sz="0" w:space="0" w:color="auto"/>
            <w:bottom w:val="none" w:sz="0" w:space="0" w:color="auto"/>
            <w:right w:val="none" w:sz="0" w:space="0" w:color="auto"/>
          </w:divBdr>
        </w:div>
        <w:div w:id="1635871227">
          <w:marLeft w:val="1800"/>
          <w:marRight w:val="0"/>
          <w:marTop w:val="100"/>
          <w:marBottom w:val="0"/>
          <w:divBdr>
            <w:top w:val="none" w:sz="0" w:space="0" w:color="auto"/>
            <w:left w:val="none" w:sz="0" w:space="0" w:color="auto"/>
            <w:bottom w:val="none" w:sz="0" w:space="0" w:color="auto"/>
            <w:right w:val="none" w:sz="0" w:space="0" w:color="auto"/>
          </w:divBdr>
        </w:div>
        <w:div w:id="1456631152">
          <w:marLeft w:val="1800"/>
          <w:marRight w:val="0"/>
          <w:marTop w:val="100"/>
          <w:marBottom w:val="0"/>
          <w:divBdr>
            <w:top w:val="none" w:sz="0" w:space="0" w:color="auto"/>
            <w:left w:val="none" w:sz="0" w:space="0" w:color="auto"/>
            <w:bottom w:val="none" w:sz="0" w:space="0" w:color="auto"/>
            <w:right w:val="none" w:sz="0" w:space="0" w:color="auto"/>
          </w:divBdr>
        </w:div>
        <w:div w:id="1582834646">
          <w:marLeft w:val="1800"/>
          <w:marRight w:val="0"/>
          <w:marTop w:val="10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de.state.co.us/nutrition/nutrireviews"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de.state.co.us/nutrition/nutritionfinancial"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www.cde.state.co.us/nutrition/nutrireviews" TargetMode="External"/><Relationship Id="rId4" Type="http://schemas.openxmlformats.org/officeDocument/2006/relationships/settings" Target="settings.xml"/><Relationship Id="rId9" Type="http://schemas.openxmlformats.org/officeDocument/2006/relationships/hyperlink" Target="http://www.cde.state.co.us/nutrition/nutritionfinancial" TargetMode="Externa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tif"/></Relationships>
</file>

<file path=word/theme/_rels/theme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BCo CDE MS Color Palette FINAL">
  <a:themeElements>
    <a:clrScheme name="BCo CDE MS Color Palette FINAL">
      <a:dk1>
        <a:srgbClr val="5C6670"/>
      </a:dk1>
      <a:lt1>
        <a:sysClr val="window" lastClr="FFFFFF"/>
      </a:lt1>
      <a:dk2>
        <a:srgbClr val="8FC6E8"/>
      </a:dk2>
      <a:lt2>
        <a:srgbClr val="D3CCBC"/>
      </a:lt2>
      <a:accent1>
        <a:srgbClr val="488BC9"/>
      </a:accent1>
      <a:accent2>
        <a:srgbClr val="FFC846"/>
      </a:accent2>
      <a:accent3>
        <a:srgbClr val="8DC63F"/>
      </a:accent3>
      <a:accent4>
        <a:srgbClr val="6D3A5D"/>
      </a:accent4>
      <a:accent5>
        <a:srgbClr val="46797A"/>
      </a:accent5>
      <a:accent6>
        <a:srgbClr val="EF7521"/>
      </a:accent6>
      <a:hlink>
        <a:srgbClr val="101E8E"/>
      </a:hlink>
      <a:folHlink>
        <a:srgbClr val="18375D"/>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Grid">
      <a:fillStyleLst>
        <a:solidFill>
          <a:schemeClr val="phClr"/>
        </a:solidFill>
        <a:solidFill>
          <a:schemeClr val="phClr">
            <a:tint val="50000"/>
          </a:schemeClr>
        </a:solidFill>
        <a:gradFill rotWithShape="1">
          <a:gsLst>
            <a:gs pos="0">
              <a:schemeClr val="phClr"/>
            </a:gs>
            <a:gs pos="90000">
              <a:schemeClr val="phClr">
                <a:shade val="100000"/>
              </a:schemeClr>
            </a:gs>
            <a:gs pos="100000">
              <a:schemeClr val="phClr">
                <a:shade val="85000"/>
              </a:schemeClr>
            </a:gs>
          </a:gsLst>
          <a:path path="circle">
            <a:fillToRect l="100000" t="100000" r="100000" b="100000"/>
          </a:path>
        </a:gradFill>
      </a:fillStyleLst>
      <a:lnStyleLst>
        <a:ln w="10000" cap="flat" cmpd="sng" algn="ctr">
          <a:solidFill>
            <a:schemeClr val="phClr"/>
          </a:solidFill>
          <a:prstDash val="solid"/>
        </a:ln>
        <a:ln w="19050" cap="flat" cmpd="sng" algn="ctr">
          <a:solidFill>
            <a:schemeClr val="phClr"/>
          </a:solidFill>
          <a:prstDash val="solid"/>
        </a:ln>
        <a:ln w="47625" cap="flat" cmpd="dbl" algn="ctr">
          <a:solidFill>
            <a:schemeClr val="phClr"/>
          </a:solidFill>
          <a:prstDash val="solid"/>
        </a:ln>
      </a:lnStyleLst>
      <a:effectStyleLst>
        <a:effectStyle>
          <a:effectLst/>
        </a:effectStyle>
        <a:effectStyle>
          <a:effectLst>
            <a:outerShdw blurRad="31750" dist="25400" dir="5400000" rotWithShape="0">
              <a:srgbClr val="000000">
                <a:alpha val="50000"/>
              </a:srgbClr>
            </a:outerShdw>
          </a:effectLst>
        </a:effectStyle>
        <a:effectStyle>
          <a:effectLst>
            <a:outerShdw blurRad="38100" dist="25400" dir="5400000" rotWithShape="0">
              <a:srgbClr val="000000">
                <a:alpha val="45000"/>
              </a:srgbClr>
            </a:outerShdw>
          </a:effectLst>
          <a:scene3d>
            <a:camera prst="orthographicFront">
              <a:rot lat="0" lon="0" rev="0"/>
            </a:camera>
            <a:lightRig rig="brightRoom" dir="t"/>
          </a:scene3d>
          <a:sp3d extrusionH="12700" contourW="25400" prstMaterial="flat">
            <a:bevelT w="63500" h="152400" prst="angle"/>
            <a:contourClr>
              <a:schemeClr val="phClr">
                <a:shade val="30000"/>
              </a:schemeClr>
            </a:contourClr>
          </a:sp3d>
        </a:effectStyle>
      </a:effectStyleLst>
      <a:bgFillStyleLst>
        <a:solidFill>
          <a:schemeClr val="phClr"/>
        </a:solidFill>
        <a:solidFill>
          <a:schemeClr val="phClr">
            <a:tint val="90000"/>
            <a:shade val="93000"/>
            <a:satMod val="150000"/>
          </a:schemeClr>
        </a:solidFill>
        <a:blipFill rotWithShape="1">
          <a:blip xmlns:r="http://schemas.openxmlformats.org/officeDocument/2006/relationships" r:embed="rId1">
            <a:duotone>
              <a:schemeClr val="phClr">
                <a:tint val="95000"/>
              </a:schemeClr>
              <a:schemeClr val="phClr">
                <a:shade val="93000"/>
                <a:satMod val="110000"/>
              </a:schemeClr>
            </a:duotone>
          </a:blip>
          <a:tile tx="0" ty="0" sx="100000" sy="10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9003A6-1DF5-4BE7-959D-81FA6016F8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436</Words>
  <Characters>2490</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2921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2017-11-14T21:50:00Z</dcterms:created>
  <dcterms:modified xsi:type="dcterms:W3CDTF">2017-11-16T18:59:00Z</dcterms:modified>
</cp:coreProperties>
</file>