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64" w:type="dxa"/>
        <w:tblInd w:w="18" w:type="dxa"/>
        <w:tblLayout w:type="fixed"/>
        <w:tblLook w:val="04A0" w:firstRow="1" w:lastRow="0" w:firstColumn="1" w:lastColumn="0" w:noHBand="0" w:noVBand="1"/>
      </w:tblPr>
      <w:tblGrid>
        <w:gridCol w:w="628"/>
        <w:gridCol w:w="60"/>
        <w:gridCol w:w="8852"/>
        <w:gridCol w:w="24"/>
      </w:tblGrid>
      <w:tr w:rsidR="004C63D3" w:rsidRPr="009732F4" w14:paraId="6BCCEBE2" w14:textId="77777777" w:rsidTr="00BF1038">
        <w:trPr>
          <w:trHeight w:val="620"/>
        </w:trPr>
        <w:tc>
          <w:tcPr>
            <w:tcW w:w="9564" w:type="dxa"/>
            <w:gridSpan w:val="4"/>
            <w:shd w:val="clear" w:color="auto" w:fill="66FFCC"/>
          </w:tcPr>
          <w:p w14:paraId="0BD454FC" w14:textId="2B30FEFB" w:rsidR="005D20B0" w:rsidRPr="005D20B0" w:rsidRDefault="004C63D3" w:rsidP="005D20B0">
            <w:pPr>
              <w:spacing w:beforeLines="60" w:before="144" w:afterLines="60" w:after="144"/>
              <w:jc w:val="center"/>
              <w:rPr>
                <w:b/>
                <w:sz w:val="28"/>
                <w:szCs w:val="28"/>
              </w:rPr>
            </w:pPr>
            <w:r w:rsidRPr="00196F96">
              <w:rPr>
                <w:b/>
                <w:sz w:val="28"/>
                <w:szCs w:val="28"/>
              </w:rPr>
              <w:t>Off-Site Questions</w:t>
            </w:r>
          </w:p>
        </w:tc>
      </w:tr>
      <w:tr w:rsidR="005D20B0" w:rsidRPr="009732F4" w14:paraId="10669FFC" w14:textId="77777777" w:rsidTr="00BF1038">
        <w:trPr>
          <w:trHeight w:val="620"/>
        </w:trPr>
        <w:tc>
          <w:tcPr>
            <w:tcW w:w="9564" w:type="dxa"/>
            <w:gridSpan w:val="4"/>
            <w:shd w:val="clear" w:color="auto" w:fill="D9D9D9" w:themeFill="background1" w:themeFillShade="D9"/>
          </w:tcPr>
          <w:p w14:paraId="7E6F56EC" w14:textId="2A70DA90" w:rsidR="005D20B0" w:rsidRPr="005D20B0" w:rsidRDefault="005D20B0" w:rsidP="006C1519">
            <w:pPr>
              <w:spacing w:beforeLines="60" w:before="144" w:afterLines="60" w:after="144"/>
              <w:jc w:val="center"/>
              <w:rPr>
                <w:b/>
                <w:sz w:val="24"/>
                <w:szCs w:val="24"/>
              </w:rPr>
            </w:pPr>
            <w:r w:rsidRPr="005D20B0">
              <w:rPr>
                <w:b/>
                <w:sz w:val="24"/>
                <w:szCs w:val="24"/>
              </w:rPr>
              <w:t xml:space="preserve">Maintenance of the Nonprofit School Food Service </w:t>
            </w:r>
            <w:r w:rsidR="000051F1" w:rsidRPr="005D20B0">
              <w:rPr>
                <w:b/>
                <w:sz w:val="24"/>
                <w:szCs w:val="24"/>
              </w:rPr>
              <w:t>Account -</w:t>
            </w:r>
            <w:r w:rsidR="003D434C">
              <w:rPr>
                <w:b/>
                <w:sz w:val="24"/>
                <w:szCs w:val="24"/>
              </w:rPr>
              <w:t xml:space="preserve"> Last Audited School Year (SY </w:t>
            </w:r>
            <w:r w:rsidR="00406E09">
              <w:rPr>
                <w:b/>
                <w:sz w:val="24"/>
                <w:szCs w:val="24"/>
              </w:rPr>
              <w:t>2020-21</w:t>
            </w:r>
            <w:r w:rsidR="003D434C">
              <w:rPr>
                <w:b/>
                <w:sz w:val="24"/>
                <w:szCs w:val="24"/>
              </w:rPr>
              <w:t>)</w:t>
            </w:r>
          </w:p>
        </w:tc>
      </w:tr>
      <w:tr w:rsidR="004C63D3" w:rsidRPr="00F81E6E" w14:paraId="31D92C6F" w14:textId="77777777" w:rsidTr="00BF1038">
        <w:trPr>
          <w:trHeight w:val="2411"/>
        </w:trPr>
        <w:tc>
          <w:tcPr>
            <w:tcW w:w="628" w:type="dxa"/>
            <w:shd w:val="clear" w:color="auto" w:fill="auto"/>
          </w:tcPr>
          <w:p w14:paraId="1B2DC9BA" w14:textId="77777777" w:rsidR="004C63D3" w:rsidRDefault="003834BB" w:rsidP="00933A3E">
            <w:pPr>
              <w:spacing w:beforeLines="60" w:before="144" w:afterLines="60" w:after="144"/>
              <w:rPr>
                <w:rFonts w:cstheme="minorHAnsi"/>
              </w:rPr>
            </w:pPr>
            <w:r>
              <w:rPr>
                <w:rFonts w:cstheme="minorHAnsi"/>
              </w:rPr>
              <w:t>700</w:t>
            </w:r>
            <w:r w:rsidR="004C63D3" w:rsidRPr="00F81E6E">
              <w:rPr>
                <w:rFonts w:cstheme="minorHAnsi"/>
              </w:rPr>
              <w:t>.</w:t>
            </w:r>
          </w:p>
          <w:p w14:paraId="2F8240FA" w14:textId="41E0BE12" w:rsidR="005D20B0" w:rsidRPr="00F81E6E" w:rsidRDefault="005D20B0" w:rsidP="00933A3E">
            <w:pPr>
              <w:spacing w:beforeLines="60" w:before="144" w:afterLines="60" w:after="144"/>
              <w:rPr>
                <w:rFonts w:cstheme="minorHAnsi"/>
              </w:rPr>
            </w:pPr>
          </w:p>
        </w:tc>
        <w:tc>
          <w:tcPr>
            <w:tcW w:w="8936" w:type="dxa"/>
            <w:gridSpan w:val="3"/>
          </w:tcPr>
          <w:p w14:paraId="68FF165C" w14:textId="02422BE4" w:rsidR="004C63D3" w:rsidRDefault="003834BB" w:rsidP="003834BB">
            <w:pPr>
              <w:spacing w:beforeLines="60" w:before="144" w:afterLines="60" w:after="144"/>
              <w:rPr>
                <w:rFonts w:eastAsia="Times New Roman" w:cstheme="minorHAnsi"/>
                <w:color w:val="000000"/>
              </w:rPr>
            </w:pPr>
            <w:r>
              <w:rPr>
                <w:rFonts w:eastAsia="Times New Roman" w:cstheme="minorHAnsi"/>
                <w:color w:val="000000"/>
              </w:rPr>
              <w:t>Question:</w:t>
            </w:r>
            <w:r w:rsidR="005D20B0">
              <w:rPr>
                <w:rFonts w:eastAsia="Times New Roman" w:cstheme="minorHAnsi"/>
                <w:color w:val="000000"/>
              </w:rPr>
              <w:t xml:space="preserve"> </w:t>
            </w:r>
            <w:r w:rsidR="005D20B0" w:rsidRPr="005D20B0">
              <w:rPr>
                <w:rFonts w:eastAsia="Times New Roman" w:cstheme="minorHAnsi"/>
                <w:color w:val="000000"/>
              </w:rPr>
              <w:t xml:space="preserve">Did the SFA </w:t>
            </w:r>
            <w:proofErr w:type="gramStart"/>
            <w:r w:rsidR="005D20B0" w:rsidRPr="005D20B0">
              <w:rPr>
                <w:rFonts w:eastAsia="Times New Roman" w:cstheme="minorHAnsi"/>
                <w:color w:val="000000"/>
              </w:rPr>
              <w:t>have the ability to</w:t>
            </w:r>
            <w:proofErr w:type="gramEnd"/>
            <w:r w:rsidR="005D20B0" w:rsidRPr="005D20B0">
              <w:rPr>
                <w:rFonts w:eastAsia="Times New Roman" w:cstheme="minorHAnsi"/>
                <w:color w:val="000000"/>
              </w:rPr>
              <w:t xml:space="preserve"> accurately track all revenues and expenditures for the nonprofit school food service separately from all other transactions?</w:t>
            </w:r>
          </w:p>
          <w:p w14:paraId="5A9FDE24" w14:textId="77777777" w:rsidR="008B0426" w:rsidRDefault="003834BB" w:rsidP="000B1937">
            <w:pPr>
              <w:spacing w:after="60"/>
              <w:ind w:left="29"/>
              <w:rPr>
                <w:rFonts w:cstheme="minorHAnsi"/>
                <w:color w:val="FF0000"/>
              </w:rPr>
            </w:pPr>
            <w:r>
              <w:rPr>
                <w:rFonts w:cstheme="minorHAnsi"/>
                <w:b/>
                <w:color w:val="FF0000"/>
              </w:rPr>
              <w:t>Tips</w:t>
            </w:r>
            <w:r w:rsidRPr="0035601F">
              <w:rPr>
                <w:rFonts w:cstheme="minorHAnsi"/>
                <w:color w:val="FF0000"/>
              </w:rPr>
              <w:t>:</w:t>
            </w:r>
            <w:r w:rsidR="005143D6" w:rsidRPr="0035601F">
              <w:rPr>
                <w:rFonts w:cstheme="minorHAnsi"/>
                <w:color w:val="FF0000"/>
              </w:rPr>
              <w:t xml:space="preserve"> </w:t>
            </w:r>
            <w:r w:rsidR="00A67906" w:rsidRPr="009468B7">
              <w:rPr>
                <w:rFonts w:cstheme="minorHAnsi"/>
                <w:color w:val="FF0000"/>
              </w:rPr>
              <w:t xml:space="preserve">SFAs should have the ability to monitor funds available for food service operations, identify shortfalls, and budget appropriately. </w:t>
            </w:r>
          </w:p>
          <w:p w14:paraId="390148E0" w14:textId="6C1151D4" w:rsidR="006C1519" w:rsidRDefault="0035601F" w:rsidP="000B1937">
            <w:pPr>
              <w:spacing w:after="60"/>
              <w:ind w:left="29"/>
              <w:rPr>
                <w:rStyle w:val="Hyperlink"/>
                <w:rFonts w:ascii="Times New Roman" w:eastAsia="Times New Roman" w:hAnsi="Times New Roman" w:cs="Times New Roman"/>
                <w:sz w:val="24"/>
                <w:szCs w:val="24"/>
                <w:u w:val="none"/>
              </w:rPr>
            </w:pPr>
            <w:r w:rsidRPr="0035601F">
              <w:rPr>
                <w:rFonts w:cstheme="minorHAnsi"/>
                <w:color w:val="FF0000"/>
              </w:rPr>
              <w:t>In CO</w:t>
            </w:r>
            <w:r w:rsidR="001045FE">
              <w:rPr>
                <w:rFonts w:cstheme="minorHAnsi"/>
                <w:color w:val="FF0000"/>
              </w:rPr>
              <w:t xml:space="preserve"> </w:t>
            </w:r>
            <w:r w:rsidRPr="008B1872">
              <w:rPr>
                <w:rFonts w:cstheme="minorHAnsi"/>
                <w:color w:val="FF0000"/>
              </w:rPr>
              <w:t xml:space="preserve">public </w:t>
            </w:r>
            <w:r w:rsidR="008B1872">
              <w:rPr>
                <w:rFonts w:cstheme="minorHAnsi"/>
                <w:color w:val="FF0000"/>
              </w:rPr>
              <w:t>SFAs</w:t>
            </w:r>
            <w:r w:rsidR="000B1937">
              <w:rPr>
                <w:rFonts w:cstheme="minorHAnsi"/>
                <w:color w:val="FF0000"/>
              </w:rPr>
              <w:t xml:space="preserve"> </w:t>
            </w:r>
            <w:r w:rsidRPr="0035601F">
              <w:rPr>
                <w:rFonts w:cstheme="minorHAnsi"/>
                <w:color w:val="FF0000"/>
              </w:rPr>
              <w:t>are required to annually report food service activity</w:t>
            </w:r>
            <w:r w:rsidR="001045FE">
              <w:rPr>
                <w:rFonts w:cstheme="minorHAnsi"/>
                <w:color w:val="FF0000"/>
              </w:rPr>
              <w:t xml:space="preserve"> in a separate fund (Fund 21) </w:t>
            </w:r>
            <w:r w:rsidR="000B1937">
              <w:rPr>
                <w:rFonts w:cstheme="minorHAnsi"/>
                <w:color w:val="FF0000"/>
              </w:rPr>
              <w:t xml:space="preserve">while following </w:t>
            </w:r>
            <w:r w:rsidR="001045FE">
              <w:rPr>
                <w:rFonts w:cstheme="minorHAnsi"/>
                <w:color w:val="FF0000"/>
              </w:rPr>
              <w:t xml:space="preserve">the </w:t>
            </w:r>
            <w:hyperlink r:id="rId8" w:history="1">
              <w:r w:rsidR="001045FE" w:rsidRPr="001045FE">
                <w:rPr>
                  <w:rStyle w:val="Hyperlink"/>
                  <w:rFonts w:eastAsia="Times New Roman" w:cstheme="minorHAnsi"/>
                  <w:sz w:val="24"/>
                  <w:szCs w:val="24"/>
                </w:rPr>
                <w:t>CDE Chart of Accounts</w:t>
              </w:r>
            </w:hyperlink>
            <w:r w:rsidR="001045FE" w:rsidRPr="001045FE">
              <w:rPr>
                <w:rStyle w:val="Hyperlink"/>
                <w:rFonts w:eastAsia="Times New Roman" w:cstheme="minorHAnsi"/>
                <w:sz w:val="24"/>
                <w:szCs w:val="24"/>
                <w:u w:val="none"/>
              </w:rPr>
              <w:t>.</w:t>
            </w:r>
            <w:r w:rsidR="001045FE" w:rsidRPr="001045FE">
              <w:rPr>
                <w:rStyle w:val="Hyperlink"/>
                <w:rFonts w:ascii="Times New Roman" w:eastAsia="Times New Roman" w:hAnsi="Times New Roman" w:cs="Times New Roman"/>
                <w:sz w:val="24"/>
                <w:szCs w:val="24"/>
                <w:u w:val="none"/>
              </w:rPr>
              <w:t xml:space="preserve"> </w:t>
            </w:r>
          </w:p>
          <w:p w14:paraId="741E6D38" w14:textId="27DF9BAC" w:rsidR="005143D6" w:rsidRDefault="008B0426" w:rsidP="000B1937">
            <w:pPr>
              <w:spacing w:after="60"/>
              <w:ind w:left="29"/>
              <w:rPr>
                <w:rFonts w:cstheme="minorHAnsi"/>
                <w:color w:val="FF0000"/>
              </w:rPr>
            </w:pPr>
            <w:r w:rsidRPr="0035601F">
              <w:rPr>
                <w:rFonts w:cstheme="minorHAnsi"/>
                <w:color w:val="FF0000"/>
              </w:rPr>
              <w:t xml:space="preserve">Nonpublic SFAs are allowed to commingle </w:t>
            </w:r>
            <w:r w:rsidR="000051F1" w:rsidRPr="0035601F">
              <w:rPr>
                <w:rFonts w:cstheme="minorHAnsi"/>
                <w:color w:val="FF0000"/>
              </w:rPr>
              <w:t>funds but</w:t>
            </w:r>
            <w:r w:rsidRPr="0035601F">
              <w:rPr>
                <w:rFonts w:cstheme="minorHAnsi"/>
                <w:color w:val="FF0000"/>
              </w:rPr>
              <w:t xml:space="preserve"> must have the ability to track their nonprofit food service account revenue and expenses. </w:t>
            </w:r>
            <w:r w:rsidRPr="009468B7">
              <w:rPr>
                <w:rFonts w:cstheme="minorHAnsi"/>
                <w:color w:val="FF0000"/>
              </w:rPr>
              <w:t>Nonpublic SFAs should be able to generate a report that isolates food service activity</w:t>
            </w:r>
            <w:r w:rsidR="008B1872">
              <w:rPr>
                <w:rFonts w:cstheme="minorHAnsi"/>
                <w:color w:val="FF0000"/>
              </w:rPr>
              <w:t>.</w:t>
            </w:r>
          </w:p>
          <w:p w14:paraId="4261F01B" w14:textId="15609FF8" w:rsidR="008B0426" w:rsidRDefault="000B1937" w:rsidP="00AF793A">
            <w:pPr>
              <w:pStyle w:val="NoSpacing"/>
              <w:numPr>
                <w:ilvl w:val="0"/>
                <w:numId w:val="1"/>
              </w:numPr>
              <w:rPr>
                <w:rFonts w:cstheme="minorHAnsi"/>
                <w:color w:val="FF0000"/>
              </w:rPr>
            </w:pPr>
            <w:r w:rsidRPr="000B1937">
              <w:rPr>
                <w:rFonts w:cstheme="minorHAnsi"/>
                <w:b/>
                <w:color w:val="FF0000"/>
              </w:rPr>
              <w:t xml:space="preserve">Yes </w:t>
            </w:r>
            <w:r w:rsidRPr="000B1937">
              <w:rPr>
                <w:rFonts w:cstheme="minorHAnsi"/>
                <w:color w:val="FF0000"/>
              </w:rPr>
              <w:t xml:space="preserve">– the SFA has a </w:t>
            </w:r>
            <w:r w:rsidR="008B0426">
              <w:rPr>
                <w:rFonts w:cstheme="minorHAnsi"/>
                <w:color w:val="FF0000"/>
              </w:rPr>
              <w:t xml:space="preserve">separate fund (Fund 21) or the ability to isolate all food service activity. </w:t>
            </w:r>
          </w:p>
          <w:p w14:paraId="628773C1" w14:textId="264D439E" w:rsidR="00A67906" w:rsidRPr="008C41CE" w:rsidRDefault="00A67906" w:rsidP="00AF793A">
            <w:pPr>
              <w:pStyle w:val="NoSpacing"/>
              <w:numPr>
                <w:ilvl w:val="1"/>
                <w:numId w:val="1"/>
              </w:numPr>
              <w:rPr>
                <w:rFonts w:cstheme="minorHAnsi"/>
                <w:i/>
                <w:color w:val="FF0000"/>
              </w:rPr>
            </w:pPr>
            <w:r w:rsidRPr="008C41CE">
              <w:rPr>
                <w:rFonts w:cstheme="minorHAnsi"/>
                <w:i/>
                <w:color w:val="FF0000"/>
              </w:rPr>
              <w:t>Describe the method used in the comments box, such as having a separate account only for food se</w:t>
            </w:r>
            <w:r w:rsidR="00065A5C">
              <w:rPr>
                <w:rFonts w:cstheme="minorHAnsi"/>
                <w:i/>
                <w:color w:val="FF0000"/>
              </w:rPr>
              <w:t>rvice revenues and expenditures</w:t>
            </w:r>
            <w:r w:rsidRPr="008C41CE">
              <w:rPr>
                <w:rFonts w:cstheme="minorHAnsi"/>
                <w:i/>
                <w:color w:val="FF0000"/>
              </w:rPr>
              <w:t xml:space="preserve"> </w:t>
            </w:r>
            <w:r w:rsidR="00065A5C">
              <w:rPr>
                <w:rFonts w:cstheme="minorHAnsi"/>
                <w:i/>
                <w:color w:val="FF0000"/>
              </w:rPr>
              <w:t>(Fund 21).</w:t>
            </w:r>
          </w:p>
          <w:p w14:paraId="528ACCA1" w14:textId="0C12BF46" w:rsidR="00626703" w:rsidRPr="009A4013" w:rsidRDefault="000B1937" w:rsidP="00681C78">
            <w:pPr>
              <w:pStyle w:val="NoSpacing"/>
              <w:numPr>
                <w:ilvl w:val="0"/>
                <w:numId w:val="1"/>
              </w:numPr>
              <w:rPr>
                <w:rFonts w:cstheme="minorHAnsi"/>
                <w:color w:val="FF0000"/>
              </w:rPr>
            </w:pPr>
            <w:r w:rsidRPr="000B1937">
              <w:rPr>
                <w:rFonts w:cstheme="minorHAnsi"/>
                <w:b/>
                <w:color w:val="FF0000"/>
              </w:rPr>
              <w:t>No</w:t>
            </w:r>
            <w:r w:rsidRPr="000B1937">
              <w:rPr>
                <w:rFonts w:cstheme="minorHAnsi"/>
                <w:color w:val="FF0000"/>
              </w:rPr>
              <w:t xml:space="preserve"> – the SFA does not separate their revenues and expenses for the nonprofit food service account</w:t>
            </w:r>
          </w:p>
        </w:tc>
      </w:tr>
      <w:tr w:rsidR="003834BB" w:rsidRPr="00F81E6E" w14:paraId="43023C6F" w14:textId="77777777" w:rsidTr="00BF1038">
        <w:trPr>
          <w:trHeight w:val="5219"/>
        </w:trPr>
        <w:tc>
          <w:tcPr>
            <w:tcW w:w="628" w:type="dxa"/>
            <w:shd w:val="clear" w:color="auto" w:fill="auto"/>
          </w:tcPr>
          <w:p w14:paraId="6F7611B4" w14:textId="34275C9E" w:rsidR="003834BB" w:rsidRDefault="005D20B0" w:rsidP="00933A3E">
            <w:pPr>
              <w:spacing w:beforeLines="60" w:before="144" w:afterLines="60" w:after="144"/>
              <w:rPr>
                <w:rFonts w:cstheme="minorHAnsi"/>
              </w:rPr>
            </w:pPr>
            <w:r>
              <w:rPr>
                <w:rFonts w:cstheme="minorHAnsi"/>
              </w:rPr>
              <w:t>701.</w:t>
            </w:r>
          </w:p>
        </w:tc>
        <w:tc>
          <w:tcPr>
            <w:tcW w:w="8936" w:type="dxa"/>
            <w:gridSpan w:val="3"/>
          </w:tcPr>
          <w:p w14:paraId="52056498" w14:textId="284FBB22" w:rsidR="005D20B0" w:rsidRDefault="005D20B0" w:rsidP="005D20B0">
            <w:pPr>
              <w:spacing w:beforeLines="60" w:before="144" w:afterLines="60" w:after="144"/>
              <w:rPr>
                <w:rFonts w:eastAsia="Times New Roman" w:cstheme="minorHAnsi"/>
                <w:color w:val="000000"/>
              </w:rPr>
            </w:pPr>
            <w:r>
              <w:rPr>
                <w:rFonts w:eastAsia="Times New Roman" w:cstheme="minorHAnsi"/>
                <w:color w:val="000000"/>
              </w:rPr>
              <w:t xml:space="preserve">Question: </w:t>
            </w:r>
            <w:r w:rsidRPr="005D20B0">
              <w:rPr>
                <w:rFonts w:eastAsia="Times New Roman" w:cstheme="minorHAnsi"/>
                <w:color w:val="000000"/>
              </w:rPr>
              <w:t xml:space="preserve">At the end of the SFA’s RM review period, did the food service have net cash resources that exceeded three months' average expenditures?  </w:t>
            </w:r>
          </w:p>
          <w:p w14:paraId="1758D505" w14:textId="38F5E1F6" w:rsidR="00BB295E" w:rsidRDefault="00BB295E" w:rsidP="00BB295E">
            <w:pPr>
              <w:spacing w:beforeLines="60" w:before="144" w:after="40"/>
              <w:rPr>
                <w:rFonts w:cstheme="minorHAnsi"/>
                <w:color w:val="FF0000"/>
              </w:rPr>
            </w:pPr>
            <w:r>
              <w:rPr>
                <w:rFonts w:cstheme="minorHAnsi"/>
                <w:b/>
                <w:color w:val="FF0000"/>
              </w:rPr>
              <w:t xml:space="preserve">Tips: </w:t>
            </w:r>
            <w:r>
              <w:rPr>
                <w:rFonts w:cstheme="minorHAnsi"/>
                <w:color w:val="FF0000"/>
              </w:rPr>
              <w:t xml:space="preserve">SFAs need to maintain </w:t>
            </w:r>
            <w:r w:rsidR="00925532">
              <w:rPr>
                <w:rFonts w:cstheme="minorHAnsi"/>
                <w:color w:val="FF0000"/>
              </w:rPr>
              <w:t>a fund balance</w:t>
            </w:r>
            <w:r>
              <w:rPr>
                <w:rFonts w:cstheme="minorHAnsi"/>
                <w:color w:val="FF0000"/>
              </w:rPr>
              <w:t xml:space="preserve"> t</w:t>
            </w:r>
            <w:r w:rsidRPr="00712E81">
              <w:rPr>
                <w:rFonts w:cstheme="minorHAnsi"/>
                <w:color w:val="FF0000"/>
              </w:rPr>
              <w:t xml:space="preserve">hat does not exceed more than three months of average expenditures.  </w:t>
            </w:r>
            <w:r w:rsidR="00925532" w:rsidRPr="00925532">
              <w:rPr>
                <w:rFonts w:cstheme="minorHAnsi"/>
                <w:color w:val="FF0000"/>
              </w:rPr>
              <w:t xml:space="preserve">This can be calculated by taking the total annual expenses divided by nine months then multiplying by three to get a </w:t>
            </w:r>
            <w:r w:rsidR="000051F1" w:rsidRPr="00925532">
              <w:rPr>
                <w:rFonts w:cstheme="minorHAnsi"/>
                <w:color w:val="FF0000"/>
              </w:rPr>
              <w:t>three-month</w:t>
            </w:r>
            <w:r w:rsidR="00925532" w:rsidRPr="00925532">
              <w:rPr>
                <w:rFonts w:cstheme="minorHAnsi"/>
                <w:color w:val="FF0000"/>
              </w:rPr>
              <w:t xml:space="preserve"> average.  If the districts fund balance exceeds this amount, they are in violation of having excess funds and need to submit a spending plan to </w:t>
            </w:r>
            <w:r w:rsidR="00925532">
              <w:rPr>
                <w:rFonts w:cstheme="minorHAnsi"/>
                <w:color w:val="FF0000"/>
              </w:rPr>
              <w:t>CDE</w:t>
            </w:r>
            <w:r w:rsidR="00925532" w:rsidRPr="00925532">
              <w:rPr>
                <w:rFonts w:cstheme="minorHAnsi"/>
                <w:color w:val="FF0000"/>
              </w:rPr>
              <w:t xml:space="preserve"> for approval.  </w:t>
            </w:r>
            <w:r>
              <w:rPr>
                <w:rFonts w:cstheme="minorHAnsi"/>
                <w:color w:val="FF0000"/>
              </w:rPr>
              <w:t xml:space="preserve">The spending plan </w:t>
            </w:r>
            <w:r w:rsidR="00925532">
              <w:rPr>
                <w:rFonts w:cstheme="minorHAnsi"/>
                <w:color w:val="FF0000"/>
              </w:rPr>
              <w:t xml:space="preserve">needs </w:t>
            </w:r>
            <w:r>
              <w:rPr>
                <w:rFonts w:cstheme="minorHAnsi"/>
                <w:color w:val="FF0000"/>
              </w:rPr>
              <w:t xml:space="preserve">to describe how the SFA </w:t>
            </w:r>
            <w:r w:rsidR="00925532">
              <w:rPr>
                <w:rFonts w:cstheme="minorHAnsi"/>
                <w:color w:val="FF0000"/>
              </w:rPr>
              <w:t>is</w:t>
            </w:r>
            <w:r>
              <w:rPr>
                <w:rFonts w:cstheme="minorHAnsi"/>
                <w:color w:val="FF0000"/>
              </w:rPr>
              <w:t xml:space="preserve"> reinvesting</w:t>
            </w:r>
            <w:r w:rsidRPr="00712E81">
              <w:rPr>
                <w:rFonts w:cstheme="minorHAnsi"/>
                <w:color w:val="FF0000"/>
              </w:rPr>
              <w:t xml:space="preserve"> </w:t>
            </w:r>
            <w:r w:rsidR="00925532">
              <w:rPr>
                <w:rFonts w:cstheme="minorHAnsi"/>
                <w:color w:val="FF0000"/>
              </w:rPr>
              <w:t xml:space="preserve">the </w:t>
            </w:r>
            <w:r>
              <w:rPr>
                <w:rFonts w:cstheme="minorHAnsi"/>
                <w:color w:val="FF0000"/>
              </w:rPr>
              <w:t xml:space="preserve">excess funds </w:t>
            </w:r>
            <w:r w:rsidRPr="00712E81">
              <w:rPr>
                <w:rFonts w:cstheme="minorHAnsi"/>
                <w:color w:val="FF0000"/>
              </w:rPr>
              <w:t xml:space="preserve">back into the </w:t>
            </w:r>
            <w:r>
              <w:rPr>
                <w:rFonts w:cstheme="minorHAnsi"/>
                <w:color w:val="FF0000"/>
              </w:rPr>
              <w:t xml:space="preserve">school nutrition </w:t>
            </w:r>
            <w:r w:rsidRPr="00712E81">
              <w:rPr>
                <w:rFonts w:cstheme="minorHAnsi"/>
                <w:color w:val="FF0000"/>
              </w:rPr>
              <w:t>program</w:t>
            </w:r>
            <w:r>
              <w:rPr>
                <w:rFonts w:cstheme="minorHAnsi"/>
                <w:color w:val="FF0000"/>
              </w:rPr>
              <w:t>(s)</w:t>
            </w:r>
            <w:r w:rsidRPr="00712E81">
              <w:rPr>
                <w:rFonts w:cstheme="minorHAnsi"/>
                <w:color w:val="FF0000"/>
              </w:rPr>
              <w:t xml:space="preserve">. </w:t>
            </w:r>
            <w:r>
              <w:rPr>
                <w:rFonts w:cstheme="minorHAnsi"/>
                <w:color w:val="FF0000"/>
              </w:rPr>
              <w:t xml:space="preserve"> </w:t>
            </w:r>
          </w:p>
          <w:p w14:paraId="7C59CC6C" w14:textId="2EC3D690" w:rsidR="00D2464F" w:rsidRPr="0026410A" w:rsidRDefault="00E17F76" w:rsidP="00D2464F">
            <w:pPr>
              <w:spacing w:beforeLines="60" w:before="144" w:after="40"/>
              <w:rPr>
                <w:rFonts w:cstheme="minorHAnsi"/>
                <w:color w:val="FF0000"/>
              </w:rPr>
            </w:pPr>
            <w:r w:rsidRPr="0026410A">
              <w:rPr>
                <w:rFonts w:cstheme="minorHAnsi"/>
                <w:color w:val="FF0000"/>
              </w:rPr>
              <w:t xml:space="preserve">SFAs </w:t>
            </w:r>
            <w:r w:rsidR="00352C01" w:rsidRPr="0026410A">
              <w:rPr>
                <w:rFonts w:cstheme="minorHAnsi"/>
                <w:color w:val="FF0000"/>
              </w:rPr>
              <w:t xml:space="preserve">who are in violation </w:t>
            </w:r>
            <w:r w:rsidR="00332C14" w:rsidRPr="0026410A">
              <w:rPr>
                <w:rFonts w:cstheme="minorHAnsi"/>
                <w:color w:val="FF0000"/>
              </w:rPr>
              <w:t xml:space="preserve">of </w:t>
            </w:r>
            <w:r w:rsidR="00352C01" w:rsidRPr="0026410A">
              <w:rPr>
                <w:rFonts w:cstheme="minorHAnsi"/>
                <w:color w:val="FF0000"/>
              </w:rPr>
              <w:t>exc</w:t>
            </w:r>
            <w:r w:rsidR="00FF2F60" w:rsidRPr="0026410A">
              <w:rPr>
                <w:rFonts w:cstheme="minorHAnsi"/>
                <w:color w:val="FF0000"/>
              </w:rPr>
              <w:t xml:space="preserve">ess net cash in </w:t>
            </w:r>
            <w:r w:rsidR="00F70F62" w:rsidRPr="0026410A">
              <w:rPr>
                <w:rFonts w:cstheme="minorHAnsi"/>
                <w:color w:val="FF0000"/>
              </w:rPr>
              <w:t>the l</w:t>
            </w:r>
            <w:r w:rsidR="00FF2F60" w:rsidRPr="0026410A">
              <w:rPr>
                <w:rFonts w:cstheme="minorHAnsi"/>
                <w:color w:val="FF0000"/>
              </w:rPr>
              <w:t xml:space="preserve">ast audited year, </w:t>
            </w:r>
            <w:r w:rsidRPr="0026410A">
              <w:rPr>
                <w:rFonts w:cstheme="minorHAnsi"/>
                <w:color w:val="FF0000"/>
              </w:rPr>
              <w:t>will need to provide an update</w:t>
            </w:r>
            <w:r w:rsidR="00F70F62" w:rsidRPr="0026410A">
              <w:rPr>
                <w:rFonts w:cstheme="minorHAnsi"/>
                <w:color w:val="FF0000"/>
              </w:rPr>
              <w:t xml:space="preserve">d </w:t>
            </w:r>
            <w:r w:rsidR="007E0A48" w:rsidRPr="0026410A">
              <w:rPr>
                <w:rFonts w:cstheme="minorHAnsi"/>
                <w:color w:val="FF0000"/>
              </w:rPr>
              <w:t xml:space="preserve">calculation from previous closed year </w:t>
            </w:r>
            <w:r w:rsidR="008477F3" w:rsidRPr="0026410A">
              <w:rPr>
                <w:rFonts w:cstheme="minorHAnsi"/>
                <w:color w:val="FF0000"/>
              </w:rPr>
              <w:t>for</w:t>
            </w:r>
            <w:r w:rsidR="00B36A63" w:rsidRPr="0026410A">
              <w:rPr>
                <w:rFonts w:cstheme="minorHAnsi"/>
                <w:color w:val="FF0000"/>
              </w:rPr>
              <w:t xml:space="preserve"> </w:t>
            </w:r>
            <w:r w:rsidR="002B522E" w:rsidRPr="0026410A">
              <w:rPr>
                <w:rFonts w:cstheme="minorHAnsi"/>
                <w:color w:val="FF0000"/>
              </w:rPr>
              <w:t xml:space="preserve">net cash </w:t>
            </w:r>
            <w:r w:rsidR="00CB5768" w:rsidRPr="0026410A">
              <w:rPr>
                <w:rFonts w:cstheme="minorHAnsi"/>
                <w:color w:val="FF0000"/>
              </w:rPr>
              <w:t xml:space="preserve">status.  An updated/revised or </w:t>
            </w:r>
            <w:r w:rsidR="00B061CA" w:rsidRPr="0026410A">
              <w:rPr>
                <w:rFonts w:cstheme="minorHAnsi"/>
                <w:color w:val="FF0000"/>
              </w:rPr>
              <w:t>new spending</w:t>
            </w:r>
            <w:r w:rsidR="002B522E" w:rsidRPr="0026410A">
              <w:rPr>
                <w:rFonts w:cstheme="minorHAnsi"/>
                <w:color w:val="FF0000"/>
              </w:rPr>
              <w:t xml:space="preserve"> plan</w:t>
            </w:r>
            <w:r w:rsidR="00CB5768" w:rsidRPr="0026410A">
              <w:rPr>
                <w:rFonts w:cstheme="minorHAnsi"/>
                <w:color w:val="FF0000"/>
              </w:rPr>
              <w:t xml:space="preserve"> will </w:t>
            </w:r>
            <w:r w:rsidR="00B061CA" w:rsidRPr="0026410A">
              <w:rPr>
                <w:rFonts w:cstheme="minorHAnsi"/>
                <w:color w:val="FF0000"/>
              </w:rPr>
              <w:t xml:space="preserve">also </w:t>
            </w:r>
            <w:r w:rsidR="00CB5768" w:rsidRPr="0026410A">
              <w:rPr>
                <w:rFonts w:cstheme="minorHAnsi"/>
                <w:color w:val="FF0000"/>
              </w:rPr>
              <w:t>need to be submitted to School Nutrition Unit for approval</w:t>
            </w:r>
            <w:r w:rsidR="00B36A63" w:rsidRPr="0026410A">
              <w:rPr>
                <w:rFonts w:cstheme="minorHAnsi"/>
                <w:color w:val="FF0000"/>
              </w:rPr>
              <w:t xml:space="preserve">. </w:t>
            </w:r>
          </w:p>
          <w:p w14:paraId="473D42AE" w14:textId="2A96F5A0" w:rsidR="00BB295E" w:rsidRPr="0026410A" w:rsidRDefault="00BB295E" w:rsidP="0026410A">
            <w:pPr>
              <w:pStyle w:val="ListParagraph"/>
              <w:numPr>
                <w:ilvl w:val="0"/>
                <w:numId w:val="15"/>
              </w:numPr>
              <w:spacing w:beforeLines="60" w:before="144" w:after="40"/>
              <w:rPr>
                <w:color w:val="FF0000"/>
              </w:rPr>
            </w:pPr>
            <w:r w:rsidRPr="0026410A">
              <w:rPr>
                <w:b/>
                <w:color w:val="FF0000"/>
              </w:rPr>
              <w:t>Yes</w:t>
            </w:r>
            <w:r w:rsidR="00E01F4E" w:rsidRPr="0026410A">
              <w:rPr>
                <w:b/>
                <w:color w:val="FF0000"/>
              </w:rPr>
              <w:t xml:space="preserve"> </w:t>
            </w:r>
            <w:r w:rsidRPr="0026410A">
              <w:rPr>
                <w:color w:val="FF0000"/>
              </w:rPr>
              <w:t xml:space="preserve">– the SFA was in violation of excess net cash in </w:t>
            </w:r>
            <w:r w:rsidR="000051F1" w:rsidRPr="0026410A">
              <w:rPr>
                <w:color w:val="FF0000"/>
              </w:rPr>
              <w:t xml:space="preserve">last audited school year </w:t>
            </w:r>
            <w:r w:rsidRPr="0026410A">
              <w:rPr>
                <w:color w:val="FF0000"/>
              </w:rPr>
              <w:t xml:space="preserve">and </w:t>
            </w:r>
            <w:r w:rsidRPr="0026410A">
              <w:rPr>
                <w:b/>
                <w:color w:val="FF0000"/>
                <w:u w:val="single"/>
              </w:rPr>
              <w:t>does not</w:t>
            </w:r>
            <w:r w:rsidRPr="0026410A">
              <w:rPr>
                <w:color w:val="FF0000"/>
              </w:rPr>
              <w:t xml:space="preserve"> have an approved spending plan on file with the CDE or the updated spending plan was not deemed reasonable</w:t>
            </w:r>
          </w:p>
          <w:p w14:paraId="1433E3FB" w14:textId="1FF3B629" w:rsidR="00BB295E" w:rsidRPr="0026410A" w:rsidRDefault="00BB295E" w:rsidP="0026410A">
            <w:pPr>
              <w:pStyle w:val="NoSpacing"/>
              <w:numPr>
                <w:ilvl w:val="0"/>
                <w:numId w:val="15"/>
              </w:numPr>
              <w:rPr>
                <w:color w:val="FF0000"/>
              </w:rPr>
            </w:pPr>
            <w:r w:rsidRPr="0026410A">
              <w:rPr>
                <w:b/>
                <w:color w:val="FF0000"/>
              </w:rPr>
              <w:t xml:space="preserve">No </w:t>
            </w:r>
            <w:r w:rsidRPr="0026410A">
              <w:rPr>
                <w:color w:val="FF0000"/>
              </w:rPr>
              <w:t xml:space="preserve">– the SFA was not in violation of excess net cash in </w:t>
            </w:r>
            <w:r w:rsidR="000051F1" w:rsidRPr="0026410A">
              <w:rPr>
                <w:color w:val="FF0000"/>
              </w:rPr>
              <w:t>last audited school year</w:t>
            </w:r>
          </w:p>
          <w:p w14:paraId="25BDD4B3" w14:textId="55CFA637" w:rsidR="00BB295E" w:rsidRPr="0026410A" w:rsidRDefault="00BB295E" w:rsidP="0026410A">
            <w:pPr>
              <w:pStyle w:val="NoSpacing"/>
              <w:numPr>
                <w:ilvl w:val="0"/>
                <w:numId w:val="15"/>
              </w:numPr>
              <w:spacing w:after="120"/>
              <w:rPr>
                <w:color w:val="FF0000"/>
              </w:rPr>
            </w:pPr>
            <w:r w:rsidRPr="0026410A">
              <w:rPr>
                <w:b/>
                <w:color w:val="FF0000"/>
              </w:rPr>
              <w:t xml:space="preserve">No </w:t>
            </w:r>
            <w:r w:rsidRPr="0026410A">
              <w:rPr>
                <w:color w:val="FF0000"/>
              </w:rPr>
              <w:t>– the SFA has an approved spending plan on file with the CDE</w:t>
            </w:r>
            <w:r w:rsidR="00BF1D58" w:rsidRPr="0026410A">
              <w:rPr>
                <w:color w:val="FF0000"/>
              </w:rPr>
              <w:t xml:space="preserve"> </w:t>
            </w:r>
            <w:r w:rsidR="00937E2C" w:rsidRPr="0026410A">
              <w:rPr>
                <w:color w:val="FF0000"/>
              </w:rPr>
              <w:t>along with a reasonable update (please attach for review if not already submitted and approved) and</w:t>
            </w:r>
            <w:r w:rsidR="00406E09" w:rsidRPr="0026410A">
              <w:rPr>
                <w:color w:val="FF0000"/>
              </w:rPr>
              <w:t>/or</w:t>
            </w:r>
            <w:r w:rsidR="00BF1D58" w:rsidRPr="0026410A">
              <w:rPr>
                <w:color w:val="FF0000"/>
              </w:rPr>
              <w:t xml:space="preserve"> no longer in violation of excess net cash in last closed year</w:t>
            </w:r>
            <w:r w:rsidR="00937E2C" w:rsidRPr="0026410A">
              <w:rPr>
                <w:color w:val="FF0000"/>
              </w:rPr>
              <w:t xml:space="preserve"> </w:t>
            </w:r>
          </w:p>
          <w:p w14:paraId="1F921A28" w14:textId="70EC980D" w:rsidR="00546BB5" w:rsidRPr="005D20B0" w:rsidRDefault="0026410A" w:rsidP="005D20B0">
            <w:pPr>
              <w:ind w:left="29"/>
              <w:rPr>
                <w:rFonts w:cstheme="minorHAnsi"/>
                <w:b/>
                <w:color w:val="FF0000"/>
              </w:rPr>
            </w:pPr>
            <w:hyperlink r:id="rId9" w:history="1">
              <w:r w:rsidR="00546BB5" w:rsidRPr="00BB4F27">
                <w:rPr>
                  <w:rStyle w:val="Hyperlink"/>
                  <w:rFonts w:cstheme="minorHAnsi"/>
                </w:rPr>
                <w:t>Spending plan template and calculation</w:t>
              </w:r>
            </w:hyperlink>
            <w:r w:rsidR="00546BB5">
              <w:rPr>
                <w:rFonts w:cstheme="minorHAnsi"/>
                <w:b/>
                <w:color w:val="FF0000"/>
              </w:rPr>
              <w:t xml:space="preserve"> </w:t>
            </w:r>
          </w:p>
        </w:tc>
      </w:tr>
      <w:tr w:rsidR="003834BB" w:rsidRPr="00F81E6E" w14:paraId="265DF65C" w14:textId="77777777" w:rsidTr="00BF1038">
        <w:trPr>
          <w:trHeight w:val="2150"/>
        </w:trPr>
        <w:tc>
          <w:tcPr>
            <w:tcW w:w="628" w:type="dxa"/>
            <w:shd w:val="clear" w:color="auto" w:fill="auto"/>
          </w:tcPr>
          <w:p w14:paraId="4A2DA1BE" w14:textId="3D97ADB8" w:rsidR="003834BB" w:rsidRDefault="005D20B0" w:rsidP="00933A3E">
            <w:pPr>
              <w:spacing w:beforeLines="60" w:before="144" w:afterLines="60" w:after="144"/>
              <w:rPr>
                <w:rFonts w:cstheme="minorHAnsi"/>
              </w:rPr>
            </w:pPr>
            <w:r>
              <w:rPr>
                <w:rFonts w:cstheme="minorHAnsi"/>
              </w:rPr>
              <w:lastRenderedPageBreak/>
              <w:t>702.</w:t>
            </w:r>
          </w:p>
        </w:tc>
        <w:tc>
          <w:tcPr>
            <w:tcW w:w="8936" w:type="dxa"/>
            <w:gridSpan w:val="3"/>
          </w:tcPr>
          <w:p w14:paraId="2184D45F" w14:textId="7A90906C" w:rsidR="005D20B0" w:rsidRDefault="005D20B0" w:rsidP="005D20B0">
            <w:pPr>
              <w:spacing w:beforeLines="60" w:before="144" w:afterLines="60" w:after="144"/>
              <w:rPr>
                <w:rFonts w:eastAsia="Times New Roman" w:cstheme="minorHAnsi"/>
                <w:color w:val="000000"/>
              </w:rPr>
            </w:pPr>
            <w:r>
              <w:rPr>
                <w:rFonts w:eastAsia="Times New Roman" w:cstheme="minorHAnsi"/>
                <w:color w:val="000000"/>
              </w:rPr>
              <w:t xml:space="preserve">Question: </w:t>
            </w:r>
            <w:r w:rsidRPr="005D20B0">
              <w:rPr>
                <w:rFonts w:eastAsia="Times New Roman" w:cstheme="minorHAnsi"/>
                <w:color w:val="000000"/>
              </w:rPr>
              <w:t>Did the SFA transfer funds other than approved indirect costs out of the food service account to support general school district expenses or non-food service-related activities?</w:t>
            </w:r>
          </w:p>
          <w:p w14:paraId="169EB917" w14:textId="22E3F2CF" w:rsidR="000359DB" w:rsidRPr="000359DB" w:rsidRDefault="005D20B0" w:rsidP="000359DB">
            <w:pPr>
              <w:pStyle w:val="NoSpacing"/>
              <w:spacing w:after="60"/>
              <w:rPr>
                <w:color w:val="FF0000"/>
              </w:rPr>
            </w:pPr>
            <w:r w:rsidRPr="007518AC">
              <w:rPr>
                <w:b/>
                <w:color w:val="FF0000"/>
              </w:rPr>
              <w:t>Tips:</w:t>
            </w:r>
            <w:r w:rsidR="00BD51A8" w:rsidRPr="007518AC">
              <w:rPr>
                <w:b/>
                <w:color w:val="FF0000"/>
              </w:rPr>
              <w:t xml:space="preserve"> </w:t>
            </w:r>
            <w:bookmarkStart w:id="0" w:name="Introduction_&amp;_Overview"/>
            <w:bookmarkStart w:id="1" w:name="Introduction_"/>
            <w:bookmarkStart w:id="2" w:name="bookmark0"/>
            <w:bookmarkEnd w:id="0"/>
            <w:bookmarkEnd w:id="1"/>
            <w:bookmarkEnd w:id="2"/>
            <w:r w:rsidR="007518AC" w:rsidRPr="007518AC">
              <w:rPr>
                <w:color w:val="FF0000"/>
              </w:rPr>
              <w:t>Program regulations</w:t>
            </w:r>
            <w:r w:rsidR="00A67E14">
              <w:rPr>
                <w:color w:val="FF0000"/>
              </w:rPr>
              <w:t>,</w:t>
            </w:r>
            <w:r w:rsidR="007518AC" w:rsidRPr="007518AC">
              <w:rPr>
                <w:color w:val="FF0000"/>
              </w:rPr>
              <w:t xml:space="preserve"> 7 CFR Parts 210.14 and 220.13(i)</w:t>
            </w:r>
            <w:r w:rsidR="00A67E14">
              <w:rPr>
                <w:color w:val="FF0000"/>
              </w:rPr>
              <w:t>,</w:t>
            </w:r>
            <w:r w:rsidR="007518AC" w:rsidRPr="007518AC">
              <w:rPr>
                <w:color w:val="FF0000"/>
              </w:rPr>
              <w:t xml:space="preserve"> require</w:t>
            </w:r>
            <w:r w:rsidR="00A67E14">
              <w:rPr>
                <w:color w:val="FF0000"/>
              </w:rPr>
              <w:t>s</w:t>
            </w:r>
            <w:r w:rsidR="007518AC" w:rsidRPr="007518AC">
              <w:rPr>
                <w:color w:val="FF0000"/>
              </w:rPr>
              <w:t xml:space="preserve"> SFA</w:t>
            </w:r>
            <w:r w:rsidR="00A67E14">
              <w:rPr>
                <w:color w:val="FF0000"/>
              </w:rPr>
              <w:t>s</w:t>
            </w:r>
            <w:r w:rsidR="007518AC" w:rsidRPr="007518AC">
              <w:rPr>
                <w:color w:val="FF0000"/>
              </w:rPr>
              <w:t xml:space="preserve"> to establish a nonprofit school food service account, in which all reimbursements and other revenues from all food service operations conducted by the SFA, principally for the benefit of school children, are </w:t>
            </w:r>
            <w:r w:rsidR="007518AC" w:rsidRPr="000359DB">
              <w:rPr>
                <w:b/>
                <w:color w:val="FF0000"/>
                <w:u w:val="single"/>
              </w:rPr>
              <w:t>retained</w:t>
            </w:r>
            <w:r w:rsidR="007518AC" w:rsidRPr="007518AC">
              <w:rPr>
                <w:color w:val="FF0000"/>
              </w:rPr>
              <w:t xml:space="preserve"> and used only for the operation or improvement of the nonprofit school food service.</w:t>
            </w:r>
            <w:r w:rsidR="00AB3FE9">
              <w:rPr>
                <w:color w:val="FF0000"/>
              </w:rPr>
              <w:t xml:space="preserve"> I</w:t>
            </w:r>
            <w:r w:rsidR="00216E88">
              <w:rPr>
                <w:color w:val="FF0000"/>
              </w:rPr>
              <w:t>n</w:t>
            </w:r>
            <w:r w:rsidR="00AB3FE9">
              <w:rPr>
                <w:color w:val="FF0000"/>
              </w:rPr>
              <w:t xml:space="preserve"> other words, there should not be any funds transferred </w:t>
            </w:r>
            <w:r w:rsidR="00AB3FE9" w:rsidRPr="00AB3FE9">
              <w:rPr>
                <w:b/>
                <w:color w:val="FF0000"/>
                <w:u w:val="single"/>
              </w:rPr>
              <w:t xml:space="preserve">out </w:t>
            </w:r>
            <w:r w:rsidR="00AB3FE9">
              <w:rPr>
                <w:color w:val="FF0000"/>
              </w:rPr>
              <w:t>of the nonprofit food service account to support other operations</w:t>
            </w:r>
            <w:r w:rsidR="001A3F26">
              <w:rPr>
                <w:color w:val="FF0000"/>
              </w:rPr>
              <w:t xml:space="preserve">. Indirect costs should be tied to object code 0869 and not </w:t>
            </w:r>
            <w:r w:rsidR="000051F1">
              <w:rPr>
                <w:color w:val="FF0000"/>
              </w:rPr>
              <w:t>by</w:t>
            </w:r>
            <w:r w:rsidR="001A3F26">
              <w:rPr>
                <w:color w:val="FF0000"/>
              </w:rPr>
              <w:t xml:space="preserve"> a transfer. </w:t>
            </w:r>
          </w:p>
          <w:p w14:paraId="1D0A04DF" w14:textId="6D3A36FC" w:rsidR="001A3F26" w:rsidRDefault="000359DB" w:rsidP="004E4AF0">
            <w:pPr>
              <w:pStyle w:val="NoSpacing"/>
              <w:numPr>
                <w:ilvl w:val="0"/>
                <w:numId w:val="2"/>
              </w:numPr>
              <w:rPr>
                <w:color w:val="FF0000"/>
              </w:rPr>
            </w:pPr>
            <w:r w:rsidRPr="001A3F26">
              <w:rPr>
                <w:b/>
                <w:color w:val="FF0000"/>
              </w:rPr>
              <w:t xml:space="preserve">Yes </w:t>
            </w:r>
            <w:r w:rsidR="00681C78">
              <w:rPr>
                <w:b/>
                <w:color w:val="FF0000"/>
              </w:rPr>
              <w:t>-</w:t>
            </w:r>
            <w:r w:rsidRPr="001A3F26">
              <w:rPr>
                <w:color w:val="FF0000"/>
              </w:rPr>
              <w:t xml:space="preserve"> </w:t>
            </w:r>
            <w:r w:rsidR="00AB3FE9" w:rsidRPr="001A3F26">
              <w:rPr>
                <w:color w:val="FF0000"/>
              </w:rPr>
              <w:t>the district has transferred funds out of the nonprofit food service account to support operations</w:t>
            </w:r>
            <w:r w:rsidR="001A3F26" w:rsidRPr="001A3F26">
              <w:rPr>
                <w:color w:val="FF0000"/>
              </w:rPr>
              <w:t>.</w:t>
            </w:r>
          </w:p>
          <w:p w14:paraId="53A2C49F" w14:textId="50571A5F" w:rsidR="003834BB" w:rsidRPr="003B5F68" w:rsidRDefault="000359DB" w:rsidP="003B5F68">
            <w:pPr>
              <w:pStyle w:val="NoSpacing"/>
              <w:numPr>
                <w:ilvl w:val="0"/>
                <w:numId w:val="2"/>
              </w:numPr>
              <w:rPr>
                <w:color w:val="FF0000"/>
              </w:rPr>
            </w:pPr>
            <w:r w:rsidRPr="001A3F26">
              <w:rPr>
                <w:b/>
                <w:color w:val="FF0000"/>
              </w:rPr>
              <w:t xml:space="preserve">No </w:t>
            </w:r>
            <w:r w:rsidRPr="001A3F26">
              <w:rPr>
                <w:color w:val="FF0000"/>
              </w:rPr>
              <w:t xml:space="preserve">– </w:t>
            </w:r>
            <w:r w:rsidR="00AB3FE9" w:rsidRPr="001A3F26">
              <w:rPr>
                <w:color w:val="FF0000"/>
              </w:rPr>
              <w:t>the district has not transferred any funds out of the food service account</w:t>
            </w:r>
          </w:p>
        </w:tc>
      </w:tr>
      <w:tr w:rsidR="005D20B0" w:rsidRPr="00F81E6E" w14:paraId="30B80596" w14:textId="77777777" w:rsidTr="00BF1038">
        <w:trPr>
          <w:trHeight w:val="1070"/>
        </w:trPr>
        <w:tc>
          <w:tcPr>
            <w:tcW w:w="628" w:type="dxa"/>
            <w:shd w:val="clear" w:color="auto" w:fill="auto"/>
          </w:tcPr>
          <w:p w14:paraId="2FF1EEB3" w14:textId="2B914433" w:rsidR="005D20B0" w:rsidRDefault="005D20B0" w:rsidP="00933A3E">
            <w:pPr>
              <w:spacing w:beforeLines="60" w:before="144" w:afterLines="60" w:after="144"/>
              <w:rPr>
                <w:rFonts w:cstheme="minorHAnsi"/>
              </w:rPr>
            </w:pPr>
            <w:r>
              <w:rPr>
                <w:rFonts w:cstheme="minorHAnsi"/>
              </w:rPr>
              <w:t>703.</w:t>
            </w:r>
          </w:p>
        </w:tc>
        <w:tc>
          <w:tcPr>
            <w:tcW w:w="8936" w:type="dxa"/>
            <w:gridSpan w:val="3"/>
          </w:tcPr>
          <w:p w14:paraId="7CF6D499" w14:textId="080B0225" w:rsidR="005D20B0" w:rsidRDefault="005D20B0" w:rsidP="005D20B0">
            <w:pPr>
              <w:spacing w:beforeLines="60" w:before="144" w:afterLines="60" w:after="144"/>
              <w:rPr>
                <w:rFonts w:eastAsia="Times New Roman" w:cstheme="minorHAnsi"/>
                <w:color w:val="000000"/>
              </w:rPr>
            </w:pPr>
            <w:r>
              <w:rPr>
                <w:rFonts w:eastAsia="Times New Roman" w:cstheme="minorHAnsi"/>
                <w:color w:val="000000"/>
              </w:rPr>
              <w:t xml:space="preserve">Question: </w:t>
            </w:r>
            <w:r w:rsidRPr="005D20B0">
              <w:rPr>
                <w:rFonts w:eastAsia="Times New Roman" w:cstheme="minorHAnsi"/>
                <w:color w:val="000000"/>
              </w:rPr>
              <w:t>Excluding the purchase of equipment</w:t>
            </w:r>
            <w:r w:rsidR="007E6D81">
              <w:rPr>
                <w:rFonts w:eastAsia="Times New Roman" w:cstheme="minorHAnsi"/>
                <w:color w:val="000000"/>
              </w:rPr>
              <w:t>*</w:t>
            </w:r>
            <w:r w:rsidRPr="005D20B0">
              <w:rPr>
                <w:rFonts w:eastAsia="Times New Roman" w:cstheme="minorHAnsi"/>
                <w:color w:val="000000"/>
              </w:rPr>
              <w:t xml:space="preserve"> using equipment grant funds, if the SFA used food service funds to buy equipment during the school year under review, did it receive prior approval from the State agency either directly or via the Sta</w:t>
            </w:r>
            <w:r w:rsidR="00DF1BFC">
              <w:rPr>
                <w:rFonts w:eastAsia="Times New Roman" w:cstheme="minorHAnsi"/>
                <w:color w:val="000000"/>
              </w:rPr>
              <w:t>te’s pre-approved equipment process (</w:t>
            </w:r>
            <w:hyperlink r:id="rId10" w:history="1">
              <w:r w:rsidR="00DF1BFC" w:rsidRPr="00DF1BFC">
                <w:rPr>
                  <w:rStyle w:val="Hyperlink"/>
                  <w:rFonts w:eastAsia="Times New Roman" w:cstheme="minorHAnsi"/>
                </w:rPr>
                <w:t>equipment approval tree</w:t>
              </w:r>
            </w:hyperlink>
            <w:r w:rsidR="00DF1BFC">
              <w:rPr>
                <w:rFonts w:eastAsia="Times New Roman" w:cstheme="minorHAnsi"/>
                <w:color w:val="000000"/>
              </w:rPr>
              <w:t>)</w:t>
            </w:r>
            <w:r w:rsidRPr="005D20B0">
              <w:rPr>
                <w:rFonts w:eastAsia="Times New Roman" w:cstheme="minorHAnsi"/>
                <w:color w:val="000000"/>
              </w:rPr>
              <w:t>?</w:t>
            </w:r>
          </w:p>
          <w:p w14:paraId="727CD9C8" w14:textId="77777777" w:rsidR="00E408D9" w:rsidRPr="003169C8" w:rsidRDefault="00A3155E" w:rsidP="00626703">
            <w:pPr>
              <w:spacing w:beforeLines="60" w:before="144" w:afterLines="60" w:after="144"/>
              <w:rPr>
                <w:rFonts w:eastAsia="Times New Roman" w:cstheme="minorHAnsi"/>
                <w:i/>
                <w:color w:val="000000"/>
                <w:sz w:val="20"/>
              </w:rPr>
            </w:pPr>
            <w:r w:rsidRPr="003169C8">
              <w:rPr>
                <w:rFonts w:cstheme="minorHAnsi"/>
                <w:i/>
                <w:sz w:val="20"/>
              </w:rPr>
              <w:t>*</w:t>
            </w:r>
            <w:r w:rsidR="00F16E78" w:rsidRPr="003169C8">
              <w:rPr>
                <w:rFonts w:eastAsia="Times New Roman" w:cstheme="minorHAnsi"/>
                <w:b/>
                <w:i/>
                <w:color w:val="000000"/>
                <w:sz w:val="20"/>
              </w:rPr>
              <w:t xml:space="preserve"> Equipment</w:t>
            </w:r>
            <w:r w:rsidR="00F16E78" w:rsidRPr="003169C8">
              <w:rPr>
                <w:rFonts w:eastAsia="Times New Roman" w:cstheme="minorHAnsi"/>
                <w:i/>
                <w:color w:val="000000"/>
                <w:sz w:val="20"/>
              </w:rPr>
              <w:t> </w:t>
            </w:r>
            <w:r w:rsidR="007E6D81" w:rsidRPr="003169C8">
              <w:rPr>
                <w:rFonts w:eastAsia="Times New Roman" w:cstheme="minorHAnsi"/>
                <w:i/>
                <w:color w:val="000000"/>
                <w:sz w:val="20"/>
              </w:rPr>
              <w:t xml:space="preserve">- defined </w:t>
            </w:r>
            <w:r w:rsidR="00F16E78" w:rsidRPr="003169C8">
              <w:rPr>
                <w:rFonts w:eastAsia="Times New Roman" w:cstheme="minorHAnsi"/>
                <w:i/>
                <w:color w:val="000000"/>
                <w:sz w:val="20"/>
              </w:rPr>
              <w:t xml:space="preserve">by Federal regulations as tangible personal property (including information technology systems) having a useful life of more than one year and a per-unit </w:t>
            </w:r>
            <w:r w:rsidR="007E6D81" w:rsidRPr="003169C8">
              <w:rPr>
                <w:rFonts w:eastAsia="Times New Roman" w:cstheme="minorHAnsi"/>
                <w:i/>
                <w:color w:val="000000"/>
                <w:sz w:val="20"/>
              </w:rPr>
              <w:t>purchased</w:t>
            </w:r>
            <w:r w:rsidR="00F16E78" w:rsidRPr="003169C8">
              <w:rPr>
                <w:rFonts w:eastAsia="Times New Roman" w:cstheme="minorHAnsi"/>
                <w:i/>
                <w:color w:val="000000"/>
                <w:sz w:val="20"/>
              </w:rPr>
              <w:t xml:space="preserve"> cost which equals or exceeds the lesser of the capitalization level established by the SFA/LEA for financial statement purposes, or $5,000.</w:t>
            </w:r>
            <w:r w:rsidR="00E408D9" w:rsidRPr="003169C8">
              <w:rPr>
                <w:rFonts w:eastAsia="Times New Roman" w:cstheme="minorHAnsi"/>
                <w:i/>
                <w:color w:val="000000"/>
                <w:sz w:val="20"/>
              </w:rPr>
              <w:t xml:space="preserve"> </w:t>
            </w:r>
          </w:p>
          <w:p w14:paraId="5B583C48" w14:textId="6C7E6285" w:rsidR="008C41CE" w:rsidRPr="003169C8" w:rsidRDefault="00E408D9" w:rsidP="00626703">
            <w:pPr>
              <w:spacing w:beforeLines="60" w:before="144" w:afterLines="60" w:after="144"/>
              <w:rPr>
                <w:rFonts w:eastAsia="Times New Roman" w:cstheme="minorHAnsi"/>
                <w:i/>
                <w:color w:val="FF0000"/>
                <w:sz w:val="24"/>
                <w:szCs w:val="20"/>
              </w:rPr>
            </w:pPr>
            <w:r w:rsidRPr="003169C8">
              <w:rPr>
                <w:rFonts w:eastAsia="Times New Roman" w:cstheme="minorHAnsi"/>
                <w:i/>
                <w:color w:val="FF0000"/>
                <w:sz w:val="24"/>
                <w:szCs w:val="20"/>
              </w:rPr>
              <w:t xml:space="preserve">(A single piece of equipment that costs </w:t>
            </w:r>
            <w:r w:rsidR="003169C8">
              <w:rPr>
                <w:rFonts w:eastAsia="Times New Roman" w:cstheme="minorHAnsi"/>
                <w:i/>
                <w:color w:val="FF0000"/>
                <w:sz w:val="24"/>
                <w:szCs w:val="20"/>
              </w:rPr>
              <w:t>greater than</w:t>
            </w:r>
            <w:r w:rsidRPr="003169C8">
              <w:rPr>
                <w:rFonts w:eastAsia="Times New Roman" w:cstheme="minorHAnsi"/>
                <w:i/>
                <w:color w:val="FF0000"/>
                <w:sz w:val="24"/>
                <w:szCs w:val="20"/>
              </w:rPr>
              <w:t xml:space="preserve"> $5,000 or </w:t>
            </w:r>
            <w:r w:rsidR="008B3161" w:rsidRPr="003169C8">
              <w:rPr>
                <w:rFonts w:eastAsia="Times New Roman" w:cstheme="minorHAnsi"/>
                <w:i/>
                <w:color w:val="FF0000"/>
                <w:sz w:val="24"/>
                <w:szCs w:val="20"/>
              </w:rPr>
              <w:t xml:space="preserve">a single piece of equipment that costs </w:t>
            </w:r>
            <w:r w:rsidRPr="003169C8">
              <w:rPr>
                <w:rFonts w:eastAsia="Times New Roman" w:cstheme="minorHAnsi"/>
                <w:i/>
                <w:color w:val="FF0000"/>
                <w:sz w:val="24"/>
                <w:szCs w:val="20"/>
              </w:rPr>
              <w:t>more than the SFAs capital equipment threshold).</w:t>
            </w:r>
          </w:p>
          <w:p w14:paraId="64B61A56" w14:textId="64A93F8F" w:rsidR="008676A0" w:rsidRDefault="005D20B0" w:rsidP="008676A0">
            <w:pPr>
              <w:spacing w:before="120"/>
              <w:ind w:left="29"/>
              <w:rPr>
                <w:color w:val="FF0000"/>
              </w:rPr>
            </w:pPr>
            <w:r>
              <w:rPr>
                <w:rFonts w:cstheme="minorHAnsi"/>
                <w:b/>
                <w:color w:val="FF0000"/>
              </w:rPr>
              <w:t>Tips</w:t>
            </w:r>
            <w:r w:rsidRPr="00CA0452">
              <w:rPr>
                <w:rFonts w:cstheme="minorHAnsi"/>
                <w:b/>
                <w:color w:val="FF0000"/>
              </w:rPr>
              <w:t>:</w:t>
            </w:r>
            <w:r w:rsidR="00CA0452" w:rsidRPr="00CA0452">
              <w:rPr>
                <w:rFonts w:cstheme="minorHAnsi"/>
                <w:b/>
                <w:color w:val="FF0000"/>
              </w:rPr>
              <w:t xml:space="preserve"> </w:t>
            </w:r>
            <w:r w:rsidR="00CA0452" w:rsidRPr="00CA0452">
              <w:rPr>
                <w:color w:val="FF0000"/>
              </w:rPr>
              <w:t xml:space="preserve">2 CFR 200.439 requires non-Federal entities, such as SFAs, to obtain approval from the State </w:t>
            </w:r>
            <w:r w:rsidR="00A67E14">
              <w:rPr>
                <w:color w:val="FF0000"/>
              </w:rPr>
              <w:t>A</w:t>
            </w:r>
            <w:r w:rsidR="00CA0452" w:rsidRPr="00CA0452">
              <w:rPr>
                <w:color w:val="FF0000"/>
              </w:rPr>
              <w:t xml:space="preserve">gency for equipment purchases of $5,000 or more.  </w:t>
            </w:r>
            <w:r w:rsidR="00FC73AC">
              <w:rPr>
                <w:color w:val="FF0000"/>
              </w:rPr>
              <w:t>SFAs</w:t>
            </w:r>
            <w:r w:rsidR="00CA0452" w:rsidRPr="00CA0452">
              <w:rPr>
                <w:color w:val="FF0000"/>
              </w:rPr>
              <w:t xml:space="preserve"> may impose a capitalization level more restrictive than $5,000, in which case the State’s lower threshold applies and their SFAs must receive prior approval before purchasing equipment costing above the </w:t>
            </w:r>
            <w:r w:rsidR="00FC73AC">
              <w:rPr>
                <w:color w:val="FF0000"/>
              </w:rPr>
              <w:t>SFA’s</w:t>
            </w:r>
            <w:r w:rsidR="00CA0452" w:rsidRPr="00CA0452">
              <w:rPr>
                <w:color w:val="FF0000"/>
              </w:rPr>
              <w:t xml:space="preserve"> capitalization level.  </w:t>
            </w:r>
          </w:p>
          <w:p w14:paraId="224FA693" w14:textId="5FDC0B65" w:rsidR="008676A0" w:rsidRPr="008676A0" w:rsidRDefault="008676A0" w:rsidP="008676A0">
            <w:pPr>
              <w:spacing w:before="60"/>
              <w:ind w:left="29"/>
              <w:rPr>
                <w:rFonts w:cstheme="minorHAnsi"/>
                <w:i/>
                <w:color w:val="FF0000"/>
              </w:rPr>
            </w:pPr>
            <w:r w:rsidRPr="008676A0">
              <w:rPr>
                <w:rFonts w:cstheme="minorHAnsi"/>
                <w:i/>
                <w:color w:val="FF0000"/>
              </w:rPr>
              <w:t>SFAs were asked previously in the</w:t>
            </w:r>
            <w:r w:rsidR="003169C8">
              <w:rPr>
                <w:rFonts w:cstheme="minorHAnsi"/>
                <w:i/>
                <w:color w:val="FF0000"/>
              </w:rPr>
              <w:t xml:space="preserve"> </w:t>
            </w:r>
            <w:hyperlink r:id="rId11" w:history="1">
              <w:r w:rsidR="003169C8" w:rsidRPr="003169C8">
                <w:rPr>
                  <w:rStyle w:val="Hyperlink"/>
                  <w:rFonts w:cstheme="minorHAnsi"/>
                  <w:i/>
                </w:rPr>
                <w:t>info gathering</w:t>
              </w:r>
            </w:hyperlink>
            <w:r w:rsidR="003169C8">
              <w:rPr>
                <w:rFonts w:cstheme="minorHAnsi"/>
                <w:i/>
                <w:color w:val="FF0000"/>
              </w:rPr>
              <w:t xml:space="preserve"> </w:t>
            </w:r>
            <w:r w:rsidRPr="008676A0">
              <w:rPr>
                <w:rFonts w:cstheme="minorHAnsi"/>
                <w:i/>
                <w:color w:val="FF0000"/>
              </w:rPr>
              <w:t xml:space="preserve">form to provide the district’s capitalization threshold and if they purchased any single piece of equipment over the capitalization threshold in </w:t>
            </w:r>
            <w:r w:rsidR="000051F1">
              <w:rPr>
                <w:rFonts w:cstheme="minorHAnsi"/>
                <w:i/>
                <w:color w:val="FF0000"/>
              </w:rPr>
              <w:t>last audited school year</w:t>
            </w:r>
            <w:r w:rsidRPr="008676A0">
              <w:rPr>
                <w:rFonts w:cstheme="minorHAnsi"/>
                <w:i/>
                <w:color w:val="FF0000"/>
              </w:rPr>
              <w:t xml:space="preserve">.  </w:t>
            </w:r>
          </w:p>
          <w:p w14:paraId="2AE4932E" w14:textId="4615D321" w:rsidR="00A3155E" w:rsidRDefault="00A3155E" w:rsidP="0057144E">
            <w:pPr>
              <w:pStyle w:val="NoSpacing"/>
              <w:numPr>
                <w:ilvl w:val="0"/>
                <w:numId w:val="3"/>
              </w:numPr>
              <w:spacing w:before="120"/>
              <w:rPr>
                <w:color w:val="FF0000"/>
              </w:rPr>
            </w:pPr>
            <w:r w:rsidRPr="0080252B">
              <w:rPr>
                <w:b/>
                <w:color w:val="FF0000"/>
              </w:rPr>
              <w:t xml:space="preserve">Yes </w:t>
            </w:r>
            <w:r w:rsidRPr="0080252B">
              <w:rPr>
                <w:color w:val="FF0000"/>
              </w:rPr>
              <w:t xml:space="preserve">– </w:t>
            </w:r>
            <w:r w:rsidR="008C41CE">
              <w:rPr>
                <w:color w:val="FF0000"/>
              </w:rPr>
              <w:t xml:space="preserve">the </w:t>
            </w:r>
            <w:r w:rsidR="008C41CE" w:rsidRPr="0080252B">
              <w:rPr>
                <w:color w:val="FF0000"/>
              </w:rPr>
              <w:t xml:space="preserve">SFA </w:t>
            </w:r>
            <w:r w:rsidR="008C41CE">
              <w:rPr>
                <w:color w:val="FF0000"/>
              </w:rPr>
              <w:t xml:space="preserve">purchased equipment in </w:t>
            </w:r>
            <w:r w:rsidR="000051F1">
              <w:rPr>
                <w:color w:val="FF0000"/>
              </w:rPr>
              <w:t>last audited school year</w:t>
            </w:r>
            <w:r w:rsidR="008C41CE">
              <w:rPr>
                <w:color w:val="FF0000"/>
              </w:rPr>
              <w:t xml:space="preserve"> using food service funds and properly followed the </w:t>
            </w:r>
            <w:hyperlink r:id="rId12" w:history="1">
              <w:r w:rsidR="0057144E" w:rsidRPr="00DF1BFC">
                <w:rPr>
                  <w:rStyle w:val="Hyperlink"/>
                  <w:rFonts w:eastAsia="Times New Roman" w:cstheme="minorHAnsi"/>
                </w:rPr>
                <w:t>equipment approval tree</w:t>
              </w:r>
            </w:hyperlink>
            <w:r w:rsidR="0057144E">
              <w:rPr>
                <w:rStyle w:val="Hyperlink"/>
                <w:rFonts w:eastAsia="Times New Roman" w:cstheme="minorHAnsi"/>
              </w:rPr>
              <w:t xml:space="preserve"> </w:t>
            </w:r>
            <w:r w:rsidR="008C41CE">
              <w:rPr>
                <w:color w:val="FF0000"/>
              </w:rPr>
              <w:t xml:space="preserve">and/or received prior approval from CDE. </w:t>
            </w:r>
          </w:p>
          <w:p w14:paraId="73D2DD6D" w14:textId="7D6E7FAC" w:rsidR="008C41CE" w:rsidRPr="0080252B" w:rsidRDefault="008C41CE" w:rsidP="00AF793A">
            <w:pPr>
              <w:pStyle w:val="NoSpacing"/>
              <w:numPr>
                <w:ilvl w:val="1"/>
                <w:numId w:val="3"/>
              </w:numPr>
              <w:rPr>
                <w:color w:val="FF0000"/>
              </w:rPr>
            </w:pPr>
            <w:r>
              <w:rPr>
                <w:color w:val="FF0000"/>
              </w:rPr>
              <w:t xml:space="preserve">Documentation of using </w:t>
            </w:r>
            <w:r w:rsidR="0057144E">
              <w:rPr>
                <w:color w:val="FF0000"/>
              </w:rPr>
              <w:t xml:space="preserve">equipment approval tree </w:t>
            </w:r>
            <w:r>
              <w:rPr>
                <w:color w:val="FF0000"/>
              </w:rPr>
              <w:t>can be provided upon request</w:t>
            </w:r>
          </w:p>
          <w:p w14:paraId="1DEF23AE" w14:textId="7D10C2D5" w:rsidR="00A3155E" w:rsidRDefault="00A3155E" w:rsidP="00AF793A">
            <w:pPr>
              <w:pStyle w:val="NoSpacing"/>
              <w:numPr>
                <w:ilvl w:val="0"/>
                <w:numId w:val="3"/>
              </w:numPr>
              <w:rPr>
                <w:color w:val="FF0000"/>
              </w:rPr>
            </w:pPr>
            <w:r w:rsidRPr="0080252B">
              <w:rPr>
                <w:b/>
                <w:color w:val="FF0000"/>
              </w:rPr>
              <w:t xml:space="preserve">No </w:t>
            </w:r>
            <w:r w:rsidRPr="0080252B">
              <w:rPr>
                <w:color w:val="FF0000"/>
              </w:rPr>
              <w:t xml:space="preserve">– </w:t>
            </w:r>
            <w:r w:rsidR="008C41CE">
              <w:rPr>
                <w:color w:val="FF0000"/>
              </w:rPr>
              <w:t xml:space="preserve">the </w:t>
            </w:r>
            <w:r w:rsidR="008C41CE" w:rsidRPr="0080252B">
              <w:rPr>
                <w:color w:val="FF0000"/>
              </w:rPr>
              <w:t xml:space="preserve">SFA </w:t>
            </w:r>
            <w:r w:rsidR="008C41CE">
              <w:rPr>
                <w:color w:val="FF0000"/>
              </w:rPr>
              <w:t xml:space="preserve">purchased equipment in </w:t>
            </w:r>
            <w:r w:rsidR="000051F1">
              <w:rPr>
                <w:color w:val="FF0000"/>
              </w:rPr>
              <w:t>last audited school year</w:t>
            </w:r>
            <w:r w:rsidR="008C41CE">
              <w:rPr>
                <w:color w:val="FF0000"/>
              </w:rPr>
              <w:t xml:space="preserve"> </w:t>
            </w:r>
            <w:r w:rsidR="008C41CE" w:rsidRPr="0057144E">
              <w:rPr>
                <w:b/>
                <w:color w:val="FF0000"/>
                <w:u w:val="single"/>
              </w:rPr>
              <w:t>without</w:t>
            </w:r>
            <w:r w:rsidR="008C41CE">
              <w:rPr>
                <w:color w:val="FF0000"/>
              </w:rPr>
              <w:t xml:space="preserve"> properly following the </w:t>
            </w:r>
            <w:hyperlink r:id="rId13" w:history="1">
              <w:r w:rsidR="0057144E" w:rsidRPr="00DF1BFC">
                <w:rPr>
                  <w:rStyle w:val="Hyperlink"/>
                  <w:rFonts w:eastAsia="Times New Roman" w:cstheme="minorHAnsi"/>
                </w:rPr>
                <w:t>equipment approval tree</w:t>
              </w:r>
            </w:hyperlink>
            <w:r w:rsidR="0057144E">
              <w:rPr>
                <w:rStyle w:val="Hyperlink"/>
                <w:rFonts w:eastAsia="Times New Roman" w:cstheme="minorHAnsi"/>
              </w:rPr>
              <w:t xml:space="preserve"> </w:t>
            </w:r>
            <w:r w:rsidR="008C41CE">
              <w:rPr>
                <w:color w:val="FF0000"/>
              </w:rPr>
              <w:t>and/or seeking prior approval from CDE</w:t>
            </w:r>
          </w:p>
          <w:p w14:paraId="08AE89AE" w14:textId="01648D9C" w:rsidR="00A3155E" w:rsidRPr="00D2762A" w:rsidRDefault="008C41CE" w:rsidP="00AF793A">
            <w:pPr>
              <w:pStyle w:val="NoSpacing"/>
              <w:numPr>
                <w:ilvl w:val="0"/>
                <w:numId w:val="3"/>
              </w:numPr>
              <w:spacing w:after="60"/>
              <w:rPr>
                <w:color w:val="FF0000"/>
              </w:rPr>
            </w:pPr>
            <w:r>
              <w:rPr>
                <w:b/>
                <w:color w:val="FF0000"/>
              </w:rPr>
              <w:t xml:space="preserve">N/A </w:t>
            </w:r>
            <w:r>
              <w:rPr>
                <w:color w:val="FF0000"/>
              </w:rPr>
              <w:t xml:space="preserve">– </w:t>
            </w:r>
            <w:r w:rsidR="00633B90">
              <w:rPr>
                <w:rFonts w:cstheme="minorHAnsi"/>
                <w:color w:val="FF0000"/>
              </w:rPr>
              <w:t xml:space="preserve">no equipment was purchased with food service funds </w:t>
            </w:r>
          </w:p>
          <w:p w14:paraId="6F5F2915" w14:textId="7EFDAD31" w:rsidR="00626703" w:rsidRPr="00D2762A" w:rsidRDefault="005D20B0" w:rsidP="00BB295E">
            <w:pPr>
              <w:spacing w:before="120"/>
              <w:ind w:left="29"/>
              <w:rPr>
                <w:rFonts w:cstheme="minorHAnsi"/>
                <w:color w:val="FF0000"/>
              </w:rPr>
            </w:pPr>
            <w:r>
              <w:rPr>
                <w:rFonts w:cstheme="minorHAnsi"/>
                <w:b/>
                <w:color w:val="FF0000"/>
              </w:rPr>
              <w:t>TA:</w:t>
            </w:r>
            <w:r w:rsidR="00A770FA">
              <w:rPr>
                <w:rFonts w:cstheme="minorHAnsi"/>
                <w:b/>
                <w:color w:val="FF0000"/>
              </w:rPr>
              <w:t xml:space="preserve"> </w:t>
            </w:r>
            <w:r w:rsidR="00332C98">
              <w:rPr>
                <w:rFonts w:cstheme="minorHAnsi"/>
                <w:b/>
                <w:color w:val="FF0000"/>
              </w:rPr>
              <w:t xml:space="preserve"> </w:t>
            </w:r>
            <w:r w:rsidR="00332C98" w:rsidRPr="00332C98">
              <w:rPr>
                <w:rFonts w:cstheme="minorHAnsi"/>
                <w:color w:val="FF0000"/>
              </w:rPr>
              <w:t xml:space="preserve">If </w:t>
            </w:r>
            <w:r w:rsidR="00A770FA" w:rsidRPr="00A770FA">
              <w:rPr>
                <w:rFonts w:cstheme="minorHAnsi"/>
                <w:color w:val="FF0000"/>
              </w:rPr>
              <w:t>SFA</w:t>
            </w:r>
            <w:r w:rsidR="00332C98">
              <w:rPr>
                <w:rFonts w:cstheme="minorHAnsi"/>
                <w:color w:val="FF0000"/>
              </w:rPr>
              <w:t xml:space="preserve"> was a</w:t>
            </w:r>
            <w:r w:rsidR="00A770FA" w:rsidRPr="00A770FA">
              <w:rPr>
                <w:rFonts w:cstheme="minorHAnsi"/>
                <w:color w:val="FF0000"/>
              </w:rPr>
              <w:t xml:space="preserve"> </w:t>
            </w:r>
            <w:r w:rsidR="00332C98">
              <w:rPr>
                <w:rFonts w:cstheme="minorHAnsi"/>
                <w:color w:val="FF0000"/>
              </w:rPr>
              <w:t>recipient</w:t>
            </w:r>
            <w:r w:rsidR="00A770FA" w:rsidRPr="00A770FA">
              <w:rPr>
                <w:rFonts w:cstheme="minorHAnsi"/>
                <w:color w:val="FF0000"/>
              </w:rPr>
              <w:t xml:space="preserve"> of the Equipment Grant funds, </w:t>
            </w:r>
            <w:r w:rsidR="00332C98">
              <w:rPr>
                <w:rFonts w:cstheme="minorHAnsi"/>
                <w:color w:val="FF0000"/>
              </w:rPr>
              <w:t xml:space="preserve">they were </w:t>
            </w:r>
            <w:r w:rsidR="00A770FA" w:rsidRPr="00A770FA">
              <w:rPr>
                <w:rFonts w:cstheme="minorHAnsi"/>
                <w:color w:val="FF0000"/>
              </w:rPr>
              <w:t xml:space="preserve">instructed to keep these funds separate </w:t>
            </w:r>
            <w:r w:rsidR="00BB295E">
              <w:rPr>
                <w:rFonts w:cstheme="minorHAnsi"/>
                <w:color w:val="FF0000"/>
              </w:rPr>
              <w:t xml:space="preserve">from </w:t>
            </w:r>
            <w:r w:rsidR="00A770FA" w:rsidRPr="00A770FA">
              <w:rPr>
                <w:rFonts w:cstheme="minorHAnsi"/>
                <w:color w:val="FF0000"/>
              </w:rPr>
              <w:t xml:space="preserve">the nonprofit foodservice account. </w:t>
            </w:r>
            <w:r w:rsidR="00332C98">
              <w:rPr>
                <w:rFonts w:cstheme="minorHAnsi"/>
                <w:color w:val="FF0000"/>
              </w:rPr>
              <w:t xml:space="preserve">If intermingled, please instruct SFA to use </w:t>
            </w:r>
            <w:r w:rsidR="00633B90">
              <w:rPr>
                <w:rFonts w:cstheme="minorHAnsi"/>
                <w:color w:val="FF0000"/>
              </w:rPr>
              <w:t xml:space="preserve">a </w:t>
            </w:r>
            <w:r w:rsidR="00332C98">
              <w:rPr>
                <w:rFonts w:cstheme="minorHAnsi"/>
                <w:color w:val="FF0000"/>
              </w:rPr>
              <w:t xml:space="preserve">different fund in the future. </w:t>
            </w:r>
          </w:p>
        </w:tc>
      </w:tr>
      <w:tr w:rsidR="005D20B0" w:rsidRPr="00F81E6E" w14:paraId="4C22F41E" w14:textId="77777777" w:rsidTr="00BF1038">
        <w:trPr>
          <w:trHeight w:val="2150"/>
        </w:trPr>
        <w:tc>
          <w:tcPr>
            <w:tcW w:w="628" w:type="dxa"/>
            <w:shd w:val="clear" w:color="auto" w:fill="auto"/>
          </w:tcPr>
          <w:p w14:paraId="03335576" w14:textId="6FB7994B" w:rsidR="005D20B0" w:rsidRDefault="005D20B0" w:rsidP="00933A3E">
            <w:pPr>
              <w:spacing w:beforeLines="60" w:before="144" w:afterLines="60" w:after="144"/>
              <w:rPr>
                <w:rFonts w:cstheme="minorHAnsi"/>
              </w:rPr>
            </w:pPr>
            <w:r>
              <w:rPr>
                <w:rFonts w:cstheme="minorHAnsi"/>
              </w:rPr>
              <w:lastRenderedPageBreak/>
              <w:t>704</w:t>
            </w:r>
          </w:p>
        </w:tc>
        <w:tc>
          <w:tcPr>
            <w:tcW w:w="8936" w:type="dxa"/>
            <w:gridSpan w:val="3"/>
          </w:tcPr>
          <w:p w14:paraId="13B56880" w14:textId="15F2849E" w:rsidR="005D20B0" w:rsidRDefault="005D20B0" w:rsidP="009B1BCD">
            <w:pPr>
              <w:spacing w:beforeLines="60" w:before="144" w:afterLines="50" w:after="120"/>
              <w:rPr>
                <w:rFonts w:eastAsia="Times New Roman" w:cstheme="minorHAnsi"/>
                <w:color w:val="000000"/>
              </w:rPr>
            </w:pPr>
            <w:r>
              <w:rPr>
                <w:rFonts w:eastAsia="Times New Roman" w:cstheme="minorHAnsi"/>
                <w:color w:val="000000"/>
              </w:rPr>
              <w:t xml:space="preserve">Question: </w:t>
            </w:r>
            <w:r w:rsidRPr="005D20B0">
              <w:rPr>
                <w:rFonts w:eastAsia="Times New Roman" w:cstheme="minorHAnsi"/>
                <w:color w:val="000000"/>
              </w:rPr>
              <w:t>Did the SFA have any financial findings related to unallowable costs or financial mismanagement in the child nutrition programs on a previous administrative review or as part of an audit (for example, OIG, Single Audit (previously called A-133 audits), other state audits) within the past three years?</w:t>
            </w:r>
          </w:p>
          <w:p w14:paraId="2FBA1520" w14:textId="3556F485" w:rsidR="005D20B0" w:rsidRPr="00332C98" w:rsidRDefault="005D20B0" w:rsidP="000B7710">
            <w:pPr>
              <w:spacing w:beforeLines="60" w:before="144"/>
              <w:rPr>
                <w:rFonts w:eastAsia="Times New Roman" w:cstheme="minorHAnsi"/>
                <w:color w:val="FF0000"/>
              </w:rPr>
            </w:pPr>
            <w:r>
              <w:rPr>
                <w:rFonts w:cstheme="minorHAnsi"/>
                <w:b/>
                <w:color w:val="FF0000"/>
              </w:rPr>
              <w:t>Tips</w:t>
            </w:r>
            <w:r w:rsidR="000B7710">
              <w:rPr>
                <w:rFonts w:cstheme="minorHAnsi"/>
                <w:b/>
                <w:color w:val="FF0000"/>
              </w:rPr>
              <w:t>:</w:t>
            </w:r>
          </w:p>
          <w:p w14:paraId="1A066C4F" w14:textId="0C35D377" w:rsidR="00A21C08" w:rsidRPr="0080252B" w:rsidRDefault="00A21C08" w:rsidP="00AF793A">
            <w:pPr>
              <w:pStyle w:val="NoSpacing"/>
              <w:numPr>
                <w:ilvl w:val="0"/>
                <w:numId w:val="2"/>
              </w:numPr>
              <w:rPr>
                <w:color w:val="FF0000"/>
              </w:rPr>
            </w:pPr>
            <w:r w:rsidRPr="0080252B">
              <w:rPr>
                <w:b/>
                <w:color w:val="FF0000"/>
              </w:rPr>
              <w:t xml:space="preserve">Yes </w:t>
            </w:r>
            <w:r w:rsidRPr="0080252B">
              <w:rPr>
                <w:color w:val="FF0000"/>
              </w:rPr>
              <w:t xml:space="preserve">– </w:t>
            </w:r>
            <w:r>
              <w:rPr>
                <w:color w:val="FF0000"/>
              </w:rPr>
              <w:t xml:space="preserve">the </w:t>
            </w:r>
            <w:r w:rsidRPr="0080252B">
              <w:rPr>
                <w:color w:val="FF0000"/>
              </w:rPr>
              <w:t xml:space="preserve">SFA </w:t>
            </w:r>
            <w:r w:rsidR="00A36624">
              <w:rPr>
                <w:color w:val="FF0000"/>
              </w:rPr>
              <w:t xml:space="preserve">has </w:t>
            </w:r>
            <w:r w:rsidR="00332C98">
              <w:rPr>
                <w:color w:val="FF0000"/>
              </w:rPr>
              <w:t>received a</w:t>
            </w:r>
            <w:r w:rsidR="00A36624">
              <w:rPr>
                <w:color w:val="FF0000"/>
              </w:rPr>
              <w:t xml:space="preserve"> financial</w:t>
            </w:r>
            <w:r w:rsidR="00332C98">
              <w:rPr>
                <w:color w:val="FF0000"/>
              </w:rPr>
              <w:t xml:space="preserve"> finding </w:t>
            </w:r>
            <w:r w:rsidR="000B7710">
              <w:rPr>
                <w:color w:val="FF0000"/>
              </w:rPr>
              <w:t>with</w:t>
            </w:r>
            <w:r w:rsidR="00A36624">
              <w:rPr>
                <w:color w:val="FF0000"/>
              </w:rPr>
              <w:t>in the past three years</w:t>
            </w:r>
          </w:p>
          <w:p w14:paraId="636245F7" w14:textId="1E0E621B" w:rsidR="005D20B0" w:rsidRPr="008676A0" w:rsidRDefault="00A21C08" w:rsidP="008676A0">
            <w:pPr>
              <w:pStyle w:val="ListParagraph"/>
              <w:numPr>
                <w:ilvl w:val="0"/>
                <w:numId w:val="2"/>
              </w:numPr>
              <w:spacing w:after="60"/>
              <w:contextualSpacing w:val="0"/>
              <w:rPr>
                <w:color w:val="FF0000"/>
              </w:rPr>
            </w:pPr>
            <w:r w:rsidRPr="00A36624">
              <w:rPr>
                <w:b/>
                <w:color w:val="FF0000"/>
              </w:rPr>
              <w:t>No</w:t>
            </w:r>
            <w:r w:rsidRPr="00A36624">
              <w:rPr>
                <w:color w:val="FF0000"/>
              </w:rPr>
              <w:t xml:space="preserve"> </w:t>
            </w:r>
            <w:r w:rsidRPr="00A21C08">
              <w:rPr>
                <w:color w:val="FF0000"/>
              </w:rPr>
              <w:t>– the SFA</w:t>
            </w:r>
            <w:r w:rsidR="00332C98">
              <w:rPr>
                <w:color w:val="FF0000"/>
              </w:rPr>
              <w:t xml:space="preserve"> </w:t>
            </w:r>
            <w:r w:rsidR="00A36624">
              <w:rPr>
                <w:color w:val="FF0000"/>
              </w:rPr>
              <w:t>has not received any financial findings in the past three years</w:t>
            </w:r>
          </w:p>
        </w:tc>
      </w:tr>
      <w:tr w:rsidR="005D20B0" w:rsidRPr="00F81E6E" w14:paraId="77207B4E" w14:textId="77777777" w:rsidTr="00FA2DCB">
        <w:trPr>
          <w:trHeight w:val="10322"/>
        </w:trPr>
        <w:tc>
          <w:tcPr>
            <w:tcW w:w="628" w:type="dxa"/>
            <w:shd w:val="clear" w:color="auto" w:fill="auto"/>
          </w:tcPr>
          <w:p w14:paraId="4A14200A" w14:textId="41BED983" w:rsidR="005D20B0" w:rsidRDefault="005D20B0" w:rsidP="00933A3E">
            <w:pPr>
              <w:spacing w:beforeLines="60" w:before="144" w:afterLines="60" w:after="144"/>
              <w:rPr>
                <w:rFonts w:cstheme="minorHAnsi"/>
              </w:rPr>
            </w:pPr>
            <w:r>
              <w:rPr>
                <w:rFonts w:cstheme="minorHAnsi"/>
              </w:rPr>
              <w:t>705.</w:t>
            </w:r>
          </w:p>
        </w:tc>
        <w:tc>
          <w:tcPr>
            <w:tcW w:w="8936" w:type="dxa"/>
            <w:gridSpan w:val="3"/>
          </w:tcPr>
          <w:p w14:paraId="1F657DF9" w14:textId="06CE07C8" w:rsidR="005D20B0" w:rsidRDefault="005D20B0" w:rsidP="005D20B0">
            <w:pPr>
              <w:spacing w:beforeLines="60" w:before="144" w:afterLines="60" w:after="144"/>
              <w:rPr>
                <w:rFonts w:eastAsia="Times New Roman" w:cstheme="minorHAnsi"/>
                <w:color w:val="000000"/>
              </w:rPr>
            </w:pPr>
            <w:r>
              <w:rPr>
                <w:rFonts w:eastAsia="Times New Roman" w:cstheme="minorHAnsi"/>
                <w:color w:val="000000"/>
              </w:rPr>
              <w:t xml:space="preserve">Question: </w:t>
            </w:r>
            <w:r w:rsidRPr="005D20B0">
              <w:rPr>
                <w:rFonts w:eastAsia="Times New Roman" w:cstheme="minorHAnsi"/>
                <w:color w:val="000000"/>
              </w:rPr>
              <w:t xml:space="preserve">Did the SFA have </w:t>
            </w:r>
            <w:r w:rsidR="00FA2DCB" w:rsidRPr="00FA2DCB">
              <w:rPr>
                <w:rFonts w:eastAsia="Times New Roman" w:cstheme="minorHAnsi"/>
                <w:color w:val="FF0000"/>
              </w:rPr>
              <w:t xml:space="preserve">(written) </w:t>
            </w:r>
            <w:r w:rsidRPr="005D20B0">
              <w:rPr>
                <w:rFonts w:eastAsia="Times New Roman" w:cstheme="minorHAnsi"/>
                <w:color w:val="000000"/>
              </w:rPr>
              <w:t>internal control procedures in place to ensure that only allowable costs were charged to the nonprofit school food service account?</w:t>
            </w:r>
          </w:p>
          <w:p w14:paraId="2715E107" w14:textId="5487D278" w:rsidR="00341D5C" w:rsidRDefault="005D20B0" w:rsidP="000B7710">
            <w:pPr>
              <w:spacing w:after="60"/>
              <w:ind w:left="29"/>
              <w:rPr>
                <w:rFonts w:cstheme="minorHAnsi"/>
                <w:color w:val="FF0000"/>
              </w:rPr>
            </w:pPr>
            <w:r>
              <w:rPr>
                <w:rFonts w:cstheme="minorHAnsi"/>
                <w:b/>
                <w:color w:val="FF0000"/>
              </w:rPr>
              <w:t>Tips</w:t>
            </w:r>
            <w:r w:rsidRPr="000B7710">
              <w:rPr>
                <w:rFonts w:cstheme="minorHAnsi"/>
                <w:b/>
                <w:color w:val="FF0000"/>
              </w:rPr>
              <w:t>:</w:t>
            </w:r>
            <w:r w:rsidR="000B7710" w:rsidRPr="000B7710">
              <w:rPr>
                <w:rFonts w:cstheme="minorHAnsi"/>
                <w:b/>
                <w:color w:val="FF0000"/>
              </w:rPr>
              <w:t xml:space="preserve"> </w:t>
            </w:r>
            <w:r w:rsidR="000B7710" w:rsidRPr="00CA0452">
              <w:rPr>
                <w:rFonts w:cstheme="minorHAnsi"/>
                <w:color w:val="FF0000"/>
              </w:rPr>
              <w:t>Federal requirements under 2 CFR 200.303 require non-Federal entities, such as states and SFAs, to establish and maintain effective internal control</w:t>
            </w:r>
            <w:r w:rsidR="00341D5C">
              <w:rPr>
                <w:rFonts w:cstheme="minorHAnsi"/>
                <w:color w:val="FF0000"/>
              </w:rPr>
              <w:t>s</w:t>
            </w:r>
            <w:r w:rsidR="000B7710" w:rsidRPr="00CA0452">
              <w:rPr>
                <w:rFonts w:cstheme="minorHAnsi"/>
                <w:color w:val="FF0000"/>
              </w:rPr>
              <w:t xml:space="preserve"> over the Federal funds they receive that provides reasonable assurance that they </w:t>
            </w:r>
            <w:r w:rsidR="000051F1" w:rsidRPr="00CA0452">
              <w:rPr>
                <w:rFonts w:cstheme="minorHAnsi"/>
                <w:color w:val="FF0000"/>
              </w:rPr>
              <w:t>are following</w:t>
            </w:r>
            <w:r w:rsidR="000B7710" w:rsidRPr="00CA0452">
              <w:rPr>
                <w:rFonts w:cstheme="minorHAnsi"/>
                <w:color w:val="FF0000"/>
              </w:rPr>
              <w:t xml:space="preserve"> Federal statutes, regulations and the terms and conditions of the Federal award.  </w:t>
            </w:r>
          </w:p>
          <w:p w14:paraId="41836A73" w14:textId="5ED2D202" w:rsidR="005D20B0" w:rsidRPr="00CA0452" w:rsidRDefault="000B7710" w:rsidP="000B7710">
            <w:pPr>
              <w:spacing w:after="60"/>
              <w:ind w:left="29"/>
              <w:rPr>
                <w:rFonts w:cstheme="minorHAnsi"/>
                <w:color w:val="FF0000"/>
              </w:rPr>
            </w:pPr>
            <w:r w:rsidRPr="00CA0452">
              <w:rPr>
                <w:rFonts w:cstheme="minorHAnsi"/>
                <w:color w:val="FF0000"/>
              </w:rPr>
              <w:t xml:space="preserve">Internal controls may include processes that help ensure, for instance, that financial transactions are properly recorded and accounted for, </w:t>
            </w:r>
            <w:r w:rsidR="000051F1" w:rsidRPr="00CA0452">
              <w:rPr>
                <w:rFonts w:cstheme="minorHAnsi"/>
                <w:color w:val="FF0000"/>
              </w:rPr>
              <w:t>to</w:t>
            </w:r>
            <w:r w:rsidRPr="00CA0452">
              <w:rPr>
                <w:rFonts w:cstheme="minorHAnsi"/>
                <w:color w:val="FF0000"/>
              </w:rPr>
              <w:t xml:space="preserve"> permit the preparation of reliable financial statements and Federal reports, maintain accountability over assets and demonstrate compliance with Federal statutes, regulations, and the terms and conditions of the Federal award.</w:t>
            </w:r>
          </w:p>
          <w:p w14:paraId="531E0452" w14:textId="30BFEE9F" w:rsidR="00A21C08" w:rsidRDefault="00A21C08" w:rsidP="00AF793A">
            <w:pPr>
              <w:pStyle w:val="NoSpacing"/>
              <w:numPr>
                <w:ilvl w:val="0"/>
                <w:numId w:val="2"/>
              </w:numPr>
              <w:rPr>
                <w:color w:val="FF0000"/>
              </w:rPr>
            </w:pPr>
            <w:r w:rsidRPr="0080252B">
              <w:rPr>
                <w:b/>
                <w:color w:val="FF0000"/>
              </w:rPr>
              <w:t xml:space="preserve">Yes </w:t>
            </w:r>
            <w:r w:rsidRPr="0080252B">
              <w:rPr>
                <w:color w:val="FF0000"/>
              </w:rPr>
              <w:t xml:space="preserve">– </w:t>
            </w:r>
            <w:r>
              <w:rPr>
                <w:color w:val="FF0000"/>
              </w:rPr>
              <w:t xml:space="preserve">the </w:t>
            </w:r>
            <w:r w:rsidRPr="0080252B">
              <w:rPr>
                <w:color w:val="FF0000"/>
              </w:rPr>
              <w:t xml:space="preserve">SFA </w:t>
            </w:r>
            <w:r w:rsidR="00BB4F27">
              <w:rPr>
                <w:color w:val="FF0000"/>
              </w:rPr>
              <w:t xml:space="preserve">has </w:t>
            </w:r>
            <w:r w:rsidR="00065A5C">
              <w:rPr>
                <w:color w:val="FF0000"/>
              </w:rPr>
              <w:t>acceptable</w:t>
            </w:r>
            <w:r w:rsidR="00BB4F27">
              <w:rPr>
                <w:color w:val="FF0000"/>
              </w:rPr>
              <w:t xml:space="preserve"> internal control procedures in place that ensures only allowable costs are charged to the nonprofit food service account. </w:t>
            </w:r>
          </w:p>
          <w:p w14:paraId="11101B46" w14:textId="290D43B9" w:rsidR="000B7710" w:rsidRPr="0080252B" w:rsidRDefault="00CF1C71" w:rsidP="00AF793A">
            <w:pPr>
              <w:pStyle w:val="NoSpacing"/>
              <w:numPr>
                <w:ilvl w:val="1"/>
                <w:numId w:val="2"/>
              </w:numPr>
              <w:rPr>
                <w:color w:val="FF0000"/>
              </w:rPr>
            </w:pPr>
            <w:r>
              <w:rPr>
                <w:rFonts w:cstheme="minorHAnsi"/>
                <w:i/>
                <w:color w:val="FF0000"/>
              </w:rPr>
              <w:t>P</w:t>
            </w:r>
            <w:r w:rsidR="00065A5C">
              <w:rPr>
                <w:rFonts w:cstheme="minorHAnsi"/>
                <w:i/>
                <w:color w:val="FF0000"/>
              </w:rPr>
              <w:t>lease attach internal control procedures</w:t>
            </w:r>
            <w:r w:rsidR="00FA2DCB">
              <w:rPr>
                <w:rFonts w:cstheme="minorHAnsi"/>
                <w:i/>
                <w:color w:val="FF0000"/>
              </w:rPr>
              <w:t xml:space="preserve"> </w:t>
            </w:r>
          </w:p>
          <w:p w14:paraId="3A9A78EE" w14:textId="07FE3BB3" w:rsidR="00A21C08" w:rsidRPr="00BB4F27" w:rsidRDefault="00A21C08" w:rsidP="00AF793A">
            <w:pPr>
              <w:pStyle w:val="NoSpacing"/>
              <w:numPr>
                <w:ilvl w:val="0"/>
                <w:numId w:val="2"/>
              </w:numPr>
              <w:spacing w:after="60"/>
              <w:rPr>
                <w:color w:val="FF0000"/>
              </w:rPr>
            </w:pPr>
            <w:r w:rsidRPr="00A21C08">
              <w:rPr>
                <w:b/>
                <w:color w:val="FF0000"/>
              </w:rPr>
              <w:t xml:space="preserve">No </w:t>
            </w:r>
            <w:r w:rsidRPr="00A21C08">
              <w:rPr>
                <w:color w:val="FF0000"/>
              </w:rPr>
              <w:t>– the SFA</w:t>
            </w:r>
            <w:r w:rsidR="00BB4F27">
              <w:rPr>
                <w:color w:val="FF0000"/>
              </w:rPr>
              <w:t xml:space="preserve"> does not have internal control procedures in place that ensures only allowable costs are charged to the nonprofit food service account. </w:t>
            </w:r>
          </w:p>
          <w:p w14:paraId="4CAD5A40" w14:textId="7AAF091D" w:rsidR="000B7710" w:rsidRPr="00CF1C71" w:rsidRDefault="00FA2DCB" w:rsidP="00FA2DCB">
            <w:pPr>
              <w:pStyle w:val="NoSpacing"/>
              <w:rPr>
                <w:color w:val="FF0000"/>
              </w:rPr>
            </w:pPr>
            <w:r>
              <w:rPr>
                <w:color w:val="FF0000"/>
              </w:rPr>
              <w:t xml:space="preserve">Procedures </w:t>
            </w:r>
            <w:r w:rsidR="000B7710" w:rsidRPr="00CF1C71">
              <w:rPr>
                <w:color w:val="FF0000"/>
              </w:rPr>
              <w:t>may include:</w:t>
            </w:r>
          </w:p>
          <w:p w14:paraId="316C2FC1" w14:textId="77777777" w:rsidR="000B7710" w:rsidRPr="00CF1C71" w:rsidRDefault="000B7710" w:rsidP="00AF793A">
            <w:pPr>
              <w:pStyle w:val="NoSpacing"/>
              <w:numPr>
                <w:ilvl w:val="0"/>
                <w:numId w:val="4"/>
              </w:numPr>
              <w:rPr>
                <w:color w:val="FF0000"/>
              </w:rPr>
            </w:pPr>
            <w:r w:rsidRPr="00CF1C71">
              <w:rPr>
                <w:color w:val="FF0000"/>
              </w:rPr>
              <w:t xml:space="preserve">Annual allowable cost </w:t>
            </w:r>
            <w:proofErr w:type="gramStart"/>
            <w:r w:rsidRPr="00CF1C71">
              <w:rPr>
                <w:color w:val="FF0000"/>
              </w:rPr>
              <w:t>training;</w:t>
            </w:r>
            <w:proofErr w:type="gramEnd"/>
          </w:p>
          <w:p w14:paraId="1E70C52C" w14:textId="77777777" w:rsidR="000B7710" w:rsidRPr="00CF1C71" w:rsidRDefault="000B7710" w:rsidP="00AF793A">
            <w:pPr>
              <w:pStyle w:val="NoSpacing"/>
              <w:numPr>
                <w:ilvl w:val="0"/>
                <w:numId w:val="4"/>
              </w:numPr>
              <w:rPr>
                <w:color w:val="FF0000"/>
              </w:rPr>
            </w:pPr>
            <w:r w:rsidRPr="00CF1C71">
              <w:rPr>
                <w:color w:val="FF0000"/>
              </w:rPr>
              <w:t xml:space="preserve">Financial management standard operating </w:t>
            </w:r>
            <w:proofErr w:type="gramStart"/>
            <w:r w:rsidRPr="00CF1C71">
              <w:rPr>
                <w:color w:val="FF0000"/>
              </w:rPr>
              <w:t>procedures;</w:t>
            </w:r>
            <w:proofErr w:type="gramEnd"/>
          </w:p>
          <w:p w14:paraId="6748FC74" w14:textId="77777777" w:rsidR="000B7710" w:rsidRPr="00CF1C71" w:rsidRDefault="000B7710" w:rsidP="00AF793A">
            <w:pPr>
              <w:pStyle w:val="NoSpacing"/>
              <w:numPr>
                <w:ilvl w:val="0"/>
                <w:numId w:val="4"/>
              </w:numPr>
              <w:spacing w:after="60"/>
              <w:rPr>
                <w:rFonts w:cstheme="minorHAnsi"/>
                <w:color w:val="FF0000"/>
              </w:rPr>
            </w:pPr>
            <w:r w:rsidRPr="00CF1C71">
              <w:rPr>
                <w:rFonts w:cstheme="minorHAnsi"/>
                <w:color w:val="FF0000"/>
              </w:rPr>
              <w:t xml:space="preserve">The assignment of financial responsibilities to different </w:t>
            </w:r>
            <w:proofErr w:type="gramStart"/>
            <w:r w:rsidRPr="00CF1C71">
              <w:rPr>
                <w:rFonts w:cstheme="minorHAnsi"/>
                <w:color w:val="FF0000"/>
              </w:rPr>
              <w:t>individuals;</w:t>
            </w:r>
            <w:proofErr w:type="gramEnd"/>
          </w:p>
          <w:p w14:paraId="7F095CFC" w14:textId="77777777" w:rsidR="00AF793A" w:rsidRPr="00AF793A" w:rsidRDefault="00AF793A" w:rsidP="00AF793A">
            <w:pPr>
              <w:pStyle w:val="NoSpacing"/>
              <w:rPr>
                <w:rFonts w:cstheme="minorHAnsi"/>
                <w:color w:val="FF0000"/>
              </w:rPr>
            </w:pPr>
            <w:r w:rsidRPr="00AF793A">
              <w:rPr>
                <w:rFonts w:cstheme="minorHAnsi"/>
                <w:color w:val="FF0000"/>
              </w:rPr>
              <w:t>In general, charges to the nonprofit school food service account must be:</w:t>
            </w:r>
          </w:p>
          <w:p w14:paraId="254138BE" w14:textId="77777777" w:rsidR="00AF793A" w:rsidRPr="00AF793A" w:rsidRDefault="00AF793A" w:rsidP="00AF793A">
            <w:pPr>
              <w:pStyle w:val="NoSpacing"/>
              <w:numPr>
                <w:ilvl w:val="0"/>
                <w:numId w:val="5"/>
              </w:numPr>
              <w:rPr>
                <w:rFonts w:cstheme="minorHAnsi"/>
                <w:color w:val="FF0000"/>
              </w:rPr>
            </w:pPr>
            <w:r w:rsidRPr="00AF793A">
              <w:rPr>
                <w:rFonts w:cstheme="minorHAnsi"/>
                <w:b/>
                <w:color w:val="FF0000"/>
              </w:rPr>
              <w:t>Reasonable</w:t>
            </w:r>
            <w:r w:rsidRPr="00AF793A">
              <w:rPr>
                <w:rFonts w:cstheme="minorHAnsi"/>
                <w:color w:val="FF0000"/>
              </w:rPr>
              <w:t xml:space="preserve">: A reasonable cost must follow State and Federal regulations and must follow restraints imposed by generally accepted sound business practices.  For example, as a best practice, reasonable costs should follow an “arms-length” standard, meaning programs costs should be in line with the price that the item or service would cost on the open market.  </w:t>
            </w:r>
          </w:p>
          <w:p w14:paraId="522A9AFA" w14:textId="2F8A0BD9" w:rsidR="00AF793A" w:rsidRPr="00AF793A" w:rsidRDefault="00AF793A" w:rsidP="00AF793A">
            <w:pPr>
              <w:pStyle w:val="NoSpacing"/>
              <w:numPr>
                <w:ilvl w:val="0"/>
                <w:numId w:val="5"/>
              </w:numPr>
              <w:rPr>
                <w:rFonts w:cstheme="minorHAnsi"/>
                <w:color w:val="FF0000"/>
              </w:rPr>
            </w:pPr>
            <w:r w:rsidRPr="00AF793A">
              <w:rPr>
                <w:rFonts w:cstheme="minorHAnsi"/>
                <w:b/>
                <w:color w:val="FF0000"/>
              </w:rPr>
              <w:t>Necessary:</w:t>
            </w:r>
            <w:r w:rsidRPr="00AF793A">
              <w:rPr>
                <w:rFonts w:cstheme="minorHAnsi"/>
                <w:color w:val="FF0000"/>
              </w:rPr>
              <w:t xml:space="preserve"> </w:t>
            </w:r>
            <w:r w:rsidR="00D27987">
              <w:rPr>
                <w:rFonts w:cstheme="minorHAnsi"/>
                <w:color w:val="FF0000"/>
              </w:rPr>
              <w:t>Only c</w:t>
            </w:r>
            <w:r w:rsidRPr="00AF793A">
              <w:rPr>
                <w:rFonts w:cstheme="minorHAnsi"/>
                <w:color w:val="FF0000"/>
              </w:rPr>
              <w:t xml:space="preserve">osts that are necessary for program purposes </w:t>
            </w:r>
            <w:r w:rsidR="00D27987">
              <w:rPr>
                <w:rFonts w:cstheme="minorHAnsi"/>
                <w:color w:val="FF0000"/>
              </w:rPr>
              <w:t xml:space="preserve">and that </w:t>
            </w:r>
            <w:r w:rsidRPr="00AF793A">
              <w:rPr>
                <w:rFonts w:cstheme="minorHAnsi"/>
                <w:color w:val="FF0000"/>
              </w:rPr>
              <w:t xml:space="preserve">satisfy Federal cost principles and program regulations.  </w:t>
            </w:r>
          </w:p>
          <w:p w14:paraId="47884D60" w14:textId="77777777" w:rsidR="00AF793A" w:rsidRDefault="00AF793A" w:rsidP="00821E53">
            <w:pPr>
              <w:pStyle w:val="NoSpacing"/>
              <w:numPr>
                <w:ilvl w:val="0"/>
                <w:numId w:val="5"/>
              </w:numPr>
              <w:spacing w:after="60"/>
              <w:rPr>
                <w:rFonts w:cstheme="minorHAnsi"/>
                <w:color w:val="FF0000"/>
              </w:rPr>
            </w:pPr>
            <w:r w:rsidRPr="00AF793A">
              <w:rPr>
                <w:rFonts w:cstheme="minorHAnsi"/>
                <w:b/>
                <w:color w:val="FF0000"/>
              </w:rPr>
              <w:t>Allocable:</w:t>
            </w:r>
            <w:r w:rsidRPr="00AF793A">
              <w:rPr>
                <w:rFonts w:cstheme="minorHAnsi"/>
                <w:color w:val="FF0000"/>
              </w:rPr>
              <w:t xml:space="preserve"> Costs must be assigned to the programs, functions, and activities that benefited from the SFA having incurred the cost.   </w:t>
            </w:r>
          </w:p>
          <w:p w14:paraId="011E0132" w14:textId="69A218A0" w:rsidR="00AF793A" w:rsidRPr="00B52F19" w:rsidRDefault="00B52F19" w:rsidP="003169C8">
            <w:pPr>
              <w:spacing w:before="60"/>
              <w:ind w:left="29"/>
              <w:rPr>
                <w:rFonts w:cstheme="minorHAnsi"/>
                <w:i/>
                <w:color w:val="FF0000"/>
              </w:rPr>
            </w:pPr>
            <w:r w:rsidRPr="00B52F19">
              <w:rPr>
                <w:rFonts w:cstheme="minorHAnsi"/>
                <w:i/>
                <w:color w:val="FF0000"/>
              </w:rPr>
              <w:t>SFAs were asked previously in the</w:t>
            </w:r>
            <w:r w:rsidR="003169C8">
              <w:rPr>
                <w:rFonts w:cstheme="minorHAnsi"/>
                <w:i/>
                <w:color w:val="FF0000"/>
              </w:rPr>
              <w:t xml:space="preserve"> </w:t>
            </w:r>
            <w:hyperlink r:id="rId14" w:history="1">
              <w:r w:rsidR="003169C8" w:rsidRPr="003169C8">
                <w:rPr>
                  <w:rStyle w:val="Hyperlink"/>
                  <w:rFonts w:cstheme="minorHAnsi"/>
                  <w:i/>
                </w:rPr>
                <w:t>info gathering</w:t>
              </w:r>
            </w:hyperlink>
            <w:r w:rsidR="003169C8">
              <w:rPr>
                <w:rFonts w:cstheme="minorHAnsi"/>
                <w:i/>
                <w:color w:val="FF0000"/>
              </w:rPr>
              <w:t xml:space="preserve"> f</w:t>
            </w:r>
            <w:r w:rsidRPr="00B52F19">
              <w:rPr>
                <w:rFonts w:cstheme="minorHAnsi"/>
                <w:i/>
                <w:color w:val="FF0000"/>
              </w:rPr>
              <w:t xml:space="preserve">orm to provide the district’s internal control process/procedures.  </w:t>
            </w:r>
            <w:r w:rsidR="007F13C6" w:rsidRPr="00B52F19">
              <w:rPr>
                <w:rFonts w:cstheme="minorHAnsi"/>
                <w:i/>
                <w:color w:val="FF0000"/>
              </w:rPr>
              <w:t xml:space="preserve">If </w:t>
            </w:r>
            <w:r w:rsidRPr="00B52F19">
              <w:rPr>
                <w:rFonts w:cstheme="minorHAnsi"/>
                <w:i/>
                <w:color w:val="FF0000"/>
              </w:rPr>
              <w:t xml:space="preserve">the SFA currently does not have </w:t>
            </w:r>
            <w:r w:rsidRPr="00B52F19">
              <w:rPr>
                <w:rFonts w:cstheme="minorHAnsi"/>
                <w:i/>
                <w:color w:val="FF0000"/>
                <w:u w:val="single"/>
              </w:rPr>
              <w:t>written</w:t>
            </w:r>
            <w:r w:rsidRPr="00B52F19">
              <w:rPr>
                <w:rFonts w:cstheme="minorHAnsi"/>
                <w:i/>
                <w:color w:val="FF0000"/>
              </w:rPr>
              <w:t xml:space="preserve"> internal controls, please </w:t>
            </w:r>
            <w:r w:rsidR="00FA2DCB">
              <w:rPr>
                <w:rFonts w:cstheme="minorHAnsi"/>
                <w:i/>
                <w:color w:val="FF0000"/>
              </w:rPr>
              <w:t xml:space="preserve">work with your reviewer to document procedures.  </w:t>
            </w:r>
            <w:r w:rsidR="000051F1">
              <w:rPr>
                <w:rFonts w:cstheme="minorHAnsi"/>
                <w:i/>
                <w:color w:val="FF0000"/>
              </w:rPr>
              <w:t xml:space="preserve">A template can be provided upon request. </w:t>
            </w:r>
          </w:p>
        </w:tc>
      </w:tr>
      <w:tr w:rsidR="00BF1038" w:rsidRPr="005D20B0" w14:paraId="00D41E2B" w14:textId="77777777" w:rsidTr="00BF1038">
        <w:trPr>
          <w:gridAfter w:val="1"/>
          <w:wAfter w:w="24" w:type="dxa"/>
          <w:trHeight w:val="514"/>
        </w:trPr>
        <w:tc>
          <w:tcPr>
            <w:tcW w:w="9540" w:type="dxa"/>
            <w:gridSpan w:val="3"/>
            <w:shd w:val="clear" w:color="auto" w:fill="D9D9D9" w:themeFill="background1" w:themeFillShade="D9"/>
          </w:tcPr>
          <w:p w14:paraId="44F1DAA8" w14:textId="77777777" w:rsidR="001A5DE4" w:rsidRPr="00C56F6E" w:rsidRDefault="001A5DE4" w:rsidP="00B00F55">
            <w:pPr>
              <w:spacing w:beforeLines="60" w:before="144" w:afterLines="60" w:after="144"/>
              <w:jc w:val="center"/>
              <w:rPr>
                <w:b/>
                <w:bCs/>
                <w:sz w:val="36"/>
                <w:szCs w:val="36"/>
              </w:rPr>
            </w:pPr>
            <w:r w:rsidRPr="00C56F6E">
              <w:rPr>
                <w:b/>
                <w:bCs/>
                <w:sz w:val="36"/>
                <w:szCs w:val="36"/>
              </w:rPr>
              <w:lastRenderedPageBreak/>
              <w:t>NOT APPLICABLE FOR SY 2022-23 Reviews</w:t>
            </w:r>
          </w:p>
          <w:p w14:paraId="1A39FEC1" w14:textId="3745ABEE" w:rsidR="00BF1038" w:rsidRPr="00C56F6E" w:rsidRDefault="0026410A" w:rsidP="00B00F55">
            <w:pPr>
              <w:spacing w:beforeLines="60" w:before="144" w:afterLines="60" w:after="144"/>
              <w:jc w:val="center"/>
              <w:rPr>
                <w:b/>
                <w:sz w:val="24"/>
                <w:szCs w:val="24"/>
              </w:rPr>
            </w:pPr>
            <w:hyperlink r:id="rId15" w:history="1">
              <w:r w:rsidR="00BF1038" w:rsidRPr="00C56F6E">
                <w:rPr>
                  <w:rStyle w:val="Hyperlink"/>
                  <w:b/>
                  <w:sz w:val="24"/>
                  <w:szCs w:val="24"/>
                </w:rPr>
                <w:t>Paid Lunch Equity (PLE)</w:t>
              </w:r>
            </w:hyperlink>
            <w:r w:rsidR="00BF1038" w:rsidRPr="00C56F6E">
              <w:rPr>
                <w:b/>
                <w:sz w:val="24"/>
                <w:szCs w:val="24"/>
              </w:rPr>
              <w:t xml:space="preserve"> – Current School Year</w:t>
            </w:r>
            <w:r w:rsidR="005B3085" w:rsidRPr="00C56F6E">
              <w:rPr>
                <w:b/>
                <w:sz w:val="24"/>
                <w:szCs w:val="24"/>
              </w:rPr>
              <w:t xml:space="preserve"> (</w:t>
            </w:r>
            <w:r w:rsidR="000051F1" w:rsidRPr="00C56F6E">
              <w:rPr>
                <w:b/>
                <w:sz w:val="24"/>
                <w:szCs w:val="24"/>
              </w:rPr>
              <w:t>SY 202</w:t>
            </w:r>
            <w:r w:rsidR="001A5DE4" w:rsidRPr="00C56F6E">
              <w:rPr>
                <w:b/>
                <w:sz w:val="24"/>
                <w:szCs w:val="24"/>
              </w:rPr>
              <w:t>2</w:t>
            </w:r>
            <w:r w:rsidR="000051F1" w:rsidRPr="00C56F6E">
              <w:rPr>
                <w:b/>
                <w:sz w:val="24"/>
                <w:szCs w:val="24"/>
              </w:rPr>
              <w:t>-2</w:t>
            </w:r>
            <w:r w:rsidR="001A5DE4" w:rsidRPr="00C56F6E">
              <w:rPr>
                <w:b/>
                <w:sz w:val="24"/>
                <w:szCs w:val="24"/>
              </w:rPr>
              <w:t>3</w:t>
            </w:r>
            <w:r w:rsidR="005B3085" w:rsidRPr="00C56F6E">
              <w:rPr>
                <w:b/>
                <w:sz w:val="24"/>
                <w:szCs w:val="24"/>
              </w:rPr>
              <w:t>)</w:t>
            </w:r>
          </w:p>
          <w:p w14:paraId="0F350A2D" w14:textId="53496ECB" w:rsidR="000051F1" w:rsidRPr="00C56F6E" w:rsidRDefault="000051F1" w:rsidP="00B00F55">
            <w:pPr>
              <w:spacing w:beforeLines="60" w:before="144" w:afterLines="60" w:after="144"/>
              <w:jc w:val="center"/>
              <w:rPr>
                <w:b/>
                <w:sz w:val="24"/>
                <w:szCs w:val="24"/>
                <w:highlight w:val="darkGray"/>
              </w:rPr>
            </w:pPr>
            <w:r w:rsidRPr="00C56F6E">
              <w:rPr>
                <w:b/>
                <w:sz w:val="24"/>
                <w:szCs w:val="24"/>
              </w:rPr>
              <w:t xml:space="preserve">Not applicable for SSO </w:t>
            </w:r>
          </w:p>
        </w:tc>
      </w:tr>
      <w:tr w:rsidR="00BF1038" w:rsidRPr="005D20B0" w14:paraId="38B9FB50" w14:textId="77777777" w:rsidTr="00BF1038">
        <w:trPr>
          <w:gridAfter w:val="1"/>
          <w:wAfter w:w="24" w:type="dxa"/>
          <w:trHeight w:val="2383"/>
        </w:trPr>
        <w:tc>
          <w:tcPr>
            <w:tcW w:w="688" w:type="dxa"/>
            <w:gridSpan w:val="2"/>
            <w:shd w:val="clear" w:color="auto" w:fill="auto"/>
          </w:tcPr>
          <w:p w14:paraId="6496057A" w14:textId="77777777" w:rsidR="00BF1038" w:rsidRDefault="00BF1038" w:rsidP="00B00F55">
            <w:pPr>
              <w:spacing w:beforeLines="60" w:before="144" w:afterLines="60" w:after="144"/>
              <w:rPr>
                <w:rFonts w:cstheme="minorHAnsi"/>
              </w:rPr>
            </w:pPr>
            <w:r>
              <w:rPr>
                <w:rFonts w:cstheme="minorHAnsi"/>
              </w:rPr>
              <w:t>706</w:t>
            </w:r>
            <w:r w:rsidRPr="00F81E6E">
              <w:rPr>
                <w:rFonts w:cstheme="minorHAnsi"/>
              </w:rPr>
              <w:t>.</w:t>
            </w:r>
          </w:p>
          <w:p w14:paraId="6A5CF974" w14:textId="77777777" w:rsidR="00BF1038" w:rsidRPr="00F81E6E" w:rsidRDefault="00BF1038" w:rsidP="00B00F55">
            <w:pPr>
              <w:spacing w:beforeLines="60" w:before="144" w:afterLines="60" w:after="144"/>
              <w:rPr>
                <w:rFonts w:cstheme="minorHAnsi"/>
              </w:rPr>
            </w:pPr>
          </w:p>
        </w:tc>
        <w:tc>
          <w:tcPr>
            <w:tcW w:w="8852" w:type="dxa"/>
          </w:tcPr>
          <w:p w14:paraId="0BDABE2C" w14:textId="77777777" w:rsidR="00BF1038" w:rsidRPr="00C56F6E" w:rsidRDefault="00BF1038" w:rsidP="00B00F55">
            <w:pPr>
              <w:spacing w:beforeLines="60" w:before="144" w:afterLines="60" w:after="144"/>
              <w:rPr>
                <w:rFonts w:eastAsia="Times New Roman" w:cstheme="minorHAnsi"/>
                <w:color w:val="000000"/>
                <w:highlight w:val="darkGray"/>
              </w:rPr>
            </w:pPr>
            <w:r w:rsidRPr="00C56F6E">
              <w:rPr>
                <w:rFonts w:eastAsia="Times New Roman" w:cstheme="minorHAnsi"/>
                <w:color w:val="000000"/>
                <w:highlight w:val="darkGray"/>
              </w:rPr>
              <w:t>Question: Did the SFA use the USDA Paid Lunch Equity Tool or a comparable mechanism to evaluate its need to raise its paid lunch prices?</w:t>
            </w:r>
          </w:p>
          <w:p w14:paraId="61BE4818" w14:textId="5D939039" w:rsidR="00BF1038" w:rsidRPr="00C56F6E" w:rsidRDefault="00BF1038" w:rsidP="00B00F55">
            <w:pPr>
              <w:spacing w:before="120" w:after="120"/>
              <w:rPr>
                <w:rFonts w:cstheme="minorHAnsi"/>
                <w:color w:val="FF0000"/>
                <w:highlight w:val="darkGray"/>
              </w:rPr>
            </w:pPr>
            <w:r w:rsidRPr="00C56F6E">
              <w:rPr>
                <w:rFonts w:cstheme="minorHAnsi"/>
                <w:b/>
                <w:color w:val="FF0000"/>
                <w:highlight w:val="darkGray"/>
              </w:rPr>
              <w:t xml:space="preserve">Tips: </w:t>
            </w:r>
            <w:r w:rsidRPr="00C56F6E">
              <w:rPr>
                <w:rFonts w:cstheme="minorHAnsi"/>
                <w:color w:val="FF0000"/>
                <w:highlight w:val="darkGray"/>
              </w:rPr>
              <w:t xml:space="preserve">The PLE Tool was created to assist SFAs </w:t>
            </w:r>
            <w:r w:rsidR="00FB76A1" w:rsidRPr="00C56F6E">
              <w:rPr>
                <w:rFonts w:cstheme="minorHAnsi"/>
                <w:color w:val="FF0000"/>
                <w:highlight w:val="darkGray"/>
              </w:rPr>
              <w:t xml:space="preserve">to </w:t>
            </w:r>
            <w:r w:rsidRPr="00C56F6E">
              <w:rPr>
                <w:rFonts w:cstheme="minorHAnsi"/>
                <w:color w:val="FF0000"/>
                <w:highlight w:val="darkGray"/>
              </w:rPr>
              <w:t xml:space="preserve">calculate their paid lunch price increase requirements and/or non-federal source contributions (general fund transfers) to meet the requirements specified in </w:t>
            </w:r>
            <w:hyperlink r:id="rId16" w:anchor="se7.4.210_114" w:history="1">
              <w:r w:rsidRPr="00C56F6E">
                <w:rPr>
                  <w:rStyle w:val="Hyperlink"/>
                  <w:highlight w:val="darkGray"/>
                </w:rPr>
                <w:t>7 CFR 210.14(e)</w:t>
              </w:r>
            </w:hyperlink>
            <w:r w:rsidRPr="00C56F6E">
              <w:rPr>
                <w:rFonts w:cstheme="minorHAnsi"/>
                <w:color w:val="FF0000"/>
                <w:highlight w:val="darkGray"/>
              </w:rPr>
              <w:t xml:space="preserve">.  </w:t>
            </w:r>
            <w:r w:rsidR="00FB76A1" w:rsidRPr="00C56F6E">
              <w:rPr>
                <w:rFonts w:cstheme="minorHAnsi"/>
                <w:color w:val="FF0000"/>
                <w:highlight w:val="darkGray"/>
              </w:rPr>
              <w:t>SFAs</w:t>
            </w:r>
            <w:r w:rsidRPr="00C56F6E">
              <w:rPr>
                <w:rFonts w:cstheme="minorHAnsi"/>
                <w:color w:val="FF0000"/>
                <w:highlight w:val="darkGray"/>
              </w:rPr>
              <w:t xml:space="preserve"> compare the average weighted price for paid lunches to the difference between the per meal Federal reimbursement for free and paid lunches.</w:t>
            </w:r>
          </w:p>
          <w:p w14:paraId="5BE09DB4" w14:textId="386E323E" w:rsidR="00BF1038" w:rsidRPr="00C56F6E" w:rsidRDefault="00BF1038" w:rsidP="00B00F55">
            <w:pPr>
              <w:spacing w:after="120"/>
              <w:ind w:left="29"/>
              <w:rPr>
                <w:rFonts w:cstheme="minorHAnsi"/>
                <w:color w:val="FF0000"/>
                <w:highlight w:val="darkGray"/>
              </w:rPr>
            </w:pPr>
            <w:r w:rsidRPr="00C56F6E">
              <w:rPr>
                <w:rFonts w:cstheme="minorHAnsi"/>
                <w:color w:val="FF0000"/>
                <w:highlight w:val="darkGray"/>
              </w:rPr>
              <w:t xml:space="preserve">Colorado has an approved </w:t>
            </w:r>
            <w:hyperlink r:id="rId17" w:history="1">
              <w:r w:rsidRPr="00C56F6E">
                <w:rPr>
                  <w:rStyle w:val="Hyperlink"/>
                  <w:rFonts w:cstheme="minorHAnsi"/>
                  <w:highlight w:val="darkGray"/>
                </w:rPr>
                <w:t>Paid Lunch Equity Tool</w:t>
              </w:r>
            </w:hyperlink>
            <w:r w:rsidRPr="00C56F6E">
              <w:rPr>
                <w:rFonts w:cstheme="minorHAnsi"/>
                <w:color w:val="FF0000"/>
                <w:highlight w:val="darkGray"/>
              </w:rPr>
              <w:t xml:space="preserve"> which is considered a comparable mechanism.  These tools are collected by all SFAs annually.  Below you will find how to answer the question.</w:t>
            </w:r>
          </w:p>
          <w:p w14:paraId="530EEC30" w14:textId="77777777" w:rsidR="00BF1038" w:rsidRPr="00C56F6E" w:rsidRDefault="00BF1038" w:rsidP="00BF1038">
            <w:pPr>
              <w:pStyle w:val="ListParagraph"/>
              <w:numPr>
                <w:ilvl w:val="0"/>
                <w:numId w:val="8"/>
              </w:numPr>
              <w:spacing w:before="120"/>
              <w:rPr>
                <w:rFonts w:cstheme="minorHAnsi"/>
                <w:color w:val="FF0000"/>
                <w:highlight w:val="darkGray"/>
              </w:rPr>
            </w:pPr>
            <w:r w:rsidRPr="00C56F6E">
              <w:rPr>
                <w:rFonts w:cstheme="minorHAnsi"/>
                <w:b/>
                <w:color w:val="FF0000"/>
                <w:highlight w:val="darkGray"/>
              </w:rPr>
              <w:t>Yes</w:t>
            </w:r>
            <w:r w:rsidRPr="00C56F6E">
              <w:rPr>
                <w:rFonts w:cstheme="minorHAnsi"/>
                <w:color w:val="FF0000"/>
                <w:highlight w:val="darkGray"/>
              </w:rPr>
              <w:t xml:space="preserve"> –SFA submitted a PLE tool to CDE and </w:t>
            </w:r>
            <w:r w:rsidRPr="00C56F6E">
              <w:rPr>
                <w:rFonts w:cstheme="minorHAnsi"/>
                <w:b/>
                <w:color w:val="FF0000"/>
                <w:highlight w:val="darkGray"/>
                <w:u w:val="single"/>
              </w:rPr>
              <w:t>did not</w:t>
            </w:r>
            <w:r w:rsidRPr="00C56F6E">
              <w:rPr>
                <w:rFonts w:cstheme="minorHAnsi"/>
                <w:color w:val="FF0000"/>
                <w:highlight w:val="darkGray"/>
              </w:rPr>
              <w:t xml:space="preserve"> request an exemption</w:t>
            </w:r>
          </w:p>
          <w:p w14:paraId="7E87D98E" w14:textId="21D2F0D4" w:rsidR="00BF1038" w:rsidRPr="00C56F6E" w:rsidRDefault="00BF1038" w:rsidP="00BF1038">
            <w:pPr>
              <w:pStyle w:val="ListParagraph"/>
              <w:numPr>
                <w:ilvl w:val="0"/>
                <w:numId w:val="8"/>
              </w:numPr>
              <w:spacing w:before="120"/>
              <w:rPr>
                <w:rFonts w:cstheme="minorHAnsi"/>
                <w:color w:val="FF0000"/>
                <w:highlight w:val="darkGray"/>
              </w:rPr>
            </w:pPr>
            <w:r w:rsidRPr="00C56F6E">
              <w:rPr>
                <w:rFonts w:cstheme="minorHAnsi"/>
                <w:b/>
                <w:color w:val="FF0000"/>
                <w:highlight w:val="darkGray"/>
              </w:rPr>
              <w:t xml:space="preserve">No </w:t>
            </w:r>
            <w:r w:rsidRPr="00C56F6E">
              <w:rPr>
                <w:rFonts w:cstheme="minorHAnsi"/>
                <w:color w:val="FF0000"/>
                <w:highlight w:val="darkGray"/>
              </w:rPr>
              <w:t xml:space="preserve">–SFA did not turn in a PLE tool to CDE for </w:t>
            </w:r>
            <w:r w:rsidR="000051F1" w:rsidRPr="00C56F6E">
              <w:rPr>
                <w:rFonts w:cstheme="minorHAnsi"/>
                <w:color w:val="FF0000"/>
                <w:highlight w:val="darkGray"/>
              </w:rPr>
              <w:t>current school year</w:t>
            </w:r>
          </w:p>
          <w:p w14:paraId="3CB220E9" w14:textId="23E6E95D" w:rsidR="00BF1038" w:rsidRPr="00C56F6E" w:rsidRDefault="00BF1038" w:rsidP="00BF1038">
            <w:pPr>
              <w:pStyle w:val="ListParagraph"/>
              <w:numPr>
                <w:ilvl w:val="0"/>
                <w:numId w:val="8"/>
              </w:numPr>
              <w:spacing w:before="120"/>
              <w:rPr>
                <w:rFonts w:cstheme="minorHAnsi"/>
                <w:color w:val="FF0000"/>
                <w:highlight w:val="darkGray"/>
              </w:rPr>
            </w:pPr>
            <w:r w:rsidRPr="00C56F6E">
              <w:rPr>
                <w:rFonts w:cstheme="minorHAnsi"/>
                <w:b/>
                <w:color w:val="FF0000"/>
                <w:highlight w:val="darkGray"/>
              </w:rPr>
              <w:t>No, $0 balance</w:t>
            </w:r>
            <w:r w:rsidRPr="00C56F6E">
              <w:rPr>
                <w:rFonts w:cstheme="minorHAnsi"/>
                <w:color w:val="FF0000"/>
                <w:highlight w:val="darkGray"/>
              </w:rPr>
              <w:t xml:space="preserve"> –SFA submitted a PLE tool to CDE and was given an </w:t>
            </w:r>
            <w:r w:rsidRPr="00C56F6E">
              <w:rPr>
                <w:rFonts w:cstheme="minorHAnsi"/>
                <w:b/>
                <w:color w:val="FF0000"/>
                <w:highlight w:val="darkGray"/>
                <w:u w:val="single"/>
              </w:rPr>
              <w:t>exemption</w:t>
            </w:r>
            <w:r w:rsidRPr="00C56F6E">
              <w:rPr>
                <w:rFonts w:cstheme="minorHAnsi"/>
                <w:color w:val="FF0000"/>
                <w:highlight w:val="darkGray"/>
              </w:rPr>
              <w:t xml:space="preserve"> for </w:t>
            </w:r>
            <w:r w:rsidR="000051F1" w:rsidRPr="00C56F6E">
              <w:rPr>
                <w:rFonts w:cstheme="minorHAnsi"/>
                <w:color w:val="FF0000"/>
                <w:highlight w:val="darkGray"/>
              </w:rPr>
              <w:t>current school year</w:t>
            </w:r>
            <w:r w:rsidRPr="00C56F6E">
              <w:rPr>
                <w:rFonts w:cstheme="minorHAnsi"/>
                <w:color w:val="FF0000"/>
                <w:highlight w:val="darkGray"/>
              </w:rPr>
              <w:t xml:space="preserve"> for having a zero or positive balance </w:t>
            </w:r>
            <w:r w:rsidR="000051F1" w:rsidRPr="00C56F6E">
              <w:rPr>
                <w:rFonts w:cstheme="minorHAnsi"/>
                <w:color w:val="FF0000"/>
                <w:highlight w:val="darkGray"/>
              </w:rPr>
              <w:t xml:space="preserve">at indicated time </w:t>
            </w:r>
            <w:r w:rsidRPr="00C56F6E">
              <w:rPr>
                <w:rFonts w:cstheme="minorHAnsi"/>
                <w:color w:val="FF0000"/>
                <w:highlight w:val="darkGray"/>
              </w:rPr>
              <w:t xml:space="preserve"> </w:t>
            </w:r>
          </w:p>
          <w:p w14:paraId="18A55C18" w14:textId="77777777" w:rsidR="00BF1038" w:rsidRPr="00C56F6E" w:rsidRDefault="00BF1038" w:rsidP="00BF1038">
            <w:pPr>
              <w:pStyle w:val="ListParagraph"/>
              <w:numPr>
                <w:ilvl w:val="0"/>
                <w:numId w:val="8"/>
              </w:numPr>
              <w:spacing w:before="120"/>
              <w:rPr>
                <w:rFonts w:cstheme="minorHAnsi"/>
                <w:color w:val="FF0000"/>
                <w:highlight w:val="darkGray"/>
              </w:rPr>
            </w:pPr>
            <w:r w:rsidRPr="00C56F6E">
              <w:rPr>
                <w:rFonts w:cstheme="minorHAnsi"/>
                <w:b/>
                <w:color w:val="FF0000"/>
                <w:highlight w:val="darkGray"/>
              </w:rPr>
              <w:t>N/A-1</w:t>
            </w:r>
            <w:r w:rsidRPr="00C56F6E">
              <w:rPr>
                <w:rFonts w:cstheme="minorHAnsi"/>
                <w:color w:val="FF0000"/>
                <w:highlight w:val="darkGray"/>
              </w:rPr>
              <w:t xml:space="preserve"> –SFA did not have to fill out a PLE tool because the SFA is </w:t>
            </w:r>
            <w:r w:rsidRPr="00C56F6E">
              <w:rPr>
                <w:rFonts w:cstheme="minorHAnsi"/>
                <w:b/>
                <w:color w:val="FF0000"/>
                <w:highlight w:val="darkGray"/>
                <w:u w:val="single"/>
              </w:rPr>
              <w:t>nonpricing</w:t>
            </w:r>
            <w:r w:rsidRPr="00C56F6E">
              <w:rPr>
                <w:rFonts w:cstheme="minorHAnsi"/>
                <w:color w:val="FF0000"/>
                <w:highlight w:val="darkGray"/>
              </w:rPr>
              <w:t xml:space="preserve"> (CEP, Provisional 2/3 or universal free)</w:t>
            </w:r>
          </w:p>
          <w:p w14:paraId="7095AA7A" w14:textId="23D722F7" w:rsidR="00BF1038" w:rsidRPr="00C56F6E" w:rsidRDefault="00BF1038" w:rsidP="00B00F55">
            <w:pPr>
              <w:pStyle w:val="ListParagraph"/>
              <w:numPr>
                <w:ilvl w:val="0"/>
                <w:numId w:val="8"/>
              </w:numPr>
              <w:spacing w:before="120"/>
              <w:rPr>
                <w:rFonts w:cstheme="minorHAnsi"/>
                <w:color w:val="FF0000"/>
                <w:highlight w:val="darkGray"/>
              </w:rPr>
            </w:pPr>
            <w:r w:rsidRPr="00C56F6E">
              <w:rPr>
                <w:rFonts w:cstheme="minorHAnsi"/>
                <w:b/>
                <w:color w:val="FF0000"/>
                <w:highlight w:val="darkGray"/>
              </w:rPr>
              <w:t>N/A-2</w:t>
            </w:r>
            <w:r w:rsidRPr="00C56F6E">
              <w:rPr>
                <w:rFonts w:cstheme="minorHAnsi"/>
                <w:color w:val="FF0000"/>
                <w:highlight w:val="darkGray"/>
              </w:rPr>
              <w:t xml:space="preserve"> –SFA submitted a PLE tool and was </w:t>
            </w:r>
            <w:r w:rsidRPr="00C56F6E">
              <w:rPr>
                <w:rFonts w:cstheme="minorHAnsi"/>
                <w:b/>
                <w:color w:val="FF0000"/>
                <w:highlight w:val="darkGray"/>
                <w:u w:val="single"/>
              </w:rPr>
              <w:t>“At or Above Equity”</w:t>
            </w:r>
            <w:r w:rsidR="00BB295E" w:rsidRPr="00C56F6E">
              <w:rPr>
                <w:rFonts w:cstheme="minorHAnsi"/>
                <w:color w:val="FF0000"/>
                <w:highlight w:val="darkGray"/>
              </w:rPr>
              <w:t xml:space="preserve"> (current prices are complia</w:t>
            </w:r>
            <w:r w:rsidRPr="00C56F6E">
              <w:rPr>
                <w:rFonts w:cstheme="minorHAnsi"/>
                <w:color w:val="FF0000"/>
                <w:highlight w:val="darkGray"/>
              </w:rPr>
              <w:t>nt)</w:t>
            </w:r>
          </w:p>
        </w:tc>
      </w:tr>
      <w:tr w:rsidR="00BF1038" w:rsidRPr="005D20B0" w14:paraId="7590B843" w14:textId="77777777" w:rsidTr="00BF1038">
        <w:trPr>
          <w:gridAfter w:val="1"/>
          <w:wAfter w:w="24" w:type="dxa"/>
          <w:trHeight w:val="440"/>
        </w:trPr>
        <w:tc>
          <w:tcPr>
            <w:tcW w:w="688" w:type="dxa"/>
            <w:gridSpan w:val="2"/>
            <w:shd w:val="clear" w:color="auto" w:fill="auto"/>
          </w:tcPr>
          <w:p w14:paraId="51EB029B" w14:textId="77777777" w:rsidR="00BF1038" w:rsidRDefault="00BF1038" w:rsidP="00B00F55">
            <w:pPr>
              <w:spacing w:beforeLines="60" w:before="144" w:afterLines="60" w:after="144"/>
              <w:rPr>
                <w:rFonts w:cstheme="minorHAnsi"/>
              </w:rPr>
            </w:pPr>
            <w:r>
              <w:rPr>
                <w:rFonts w:cstheme="minorHAnsi"/>
              </w:rPr>
              <w:t>707.</w:t>
            </w:r>
          </w:p>
        </w:tc>
        <w:tc>
          <w:tcPr>
            <w:tcW w:w="8852" w:type="dxa"/>
          </w:tcPr>
          <w:p w14:paraId="3FCFC648" w14:textId="77777777" w:rsidR="00BF1038" w:rsidRPr="00C56F6E" w:rsidRDefault="00BF1038" w:rsidP="00B00F55">
            <w:pPr>
              <w:spacing w:beforeLines="60" w:before="144" w:afterLines="60" w:after="144"/>
              <w:rPr>
                <w:rFonts w:eastAsia="Times New Roman" w:cstheme="minorHAnsi"/>
                <w:color w:val="000000"/>
                <w:highlight w:val="darkGray"/>
              </w:rPr>
            </w:pPr>
            <w:r w:rsidRPr="00C56F6E">
              <w:rPr>
                <w:rFonts w:eastAsia="Times New Roman" w:cstheme="minorHAnsi"/>
                <w:color w:val="000000"/>
                <w:highlight w:val="darkGray"/>
              </w:rPr>
              <w:t>Question: Did the SFA receive a transfer of non-Federal funds into the food service account to reduce or eliminate the need to raise paid lunch prices?</w:t>
            </w:r>
          </w:p>
          <w:p w14:paraId="20F6870F" w14:textId="77777777" w:rsidR="00BF1038" w:rsidRPr="00C56F6E" w:rsidRDefault="00BF1038" w:rsidP="00B00F55">
            <w:pPr>
              <w:spacing w:after="120"/>
              <w:ind w:left="29"/>
              <w:rPr>
                <w:rFonts w:cstheme="minorHAnsi"/>
                <w:color w:val="FF0000"/>
                <w:highlight w:val="darkGray"/>
              </w:rPr>
            </w:pPr>
            <w:r w:rsidRPr="00C56F6E">
              <w:rPr>
                <w:rFonts w:cstheme="minorHAnsi"/>
                <w:b/>
                <w:color w:val="FF0000"/>
                <w:highlight w:val="darkGray"/>
              </w:rPr>
              <w:t xml:space="preserve">Tips: </w:t>
            </w:r>
            <w:r w:rsidRPr="00C56F6E">
              <w:rPr>
                <w:rFonts w:cstheme="minorHAnsi"/>
                <w:color w:val="FF0000"/>
                <w:highlight w:val="darkGray"/>
              </w:rPr>
              <w:t>SFAs are allowed to transfer non-federal funds into the food service account instead of increasing paid lunch prices. Although this is allowable, SFAs answering “</w:t>
            </w:r>
            <w:r w:rsidRPr="00C56F6E">
              <w:rPr>
                <w:rFonts w:cstheme="minorHAnsi"/>
                <w:b/>
                <w:color w:val="FF0000"/>
                <w:highlight w:val="darkGray"/>
              </w:rPr>
              <w:t>Yes</w:t>
            </w:r>
            <w:r w:rsidRPr="00C56F6E">
              <w:rPr>
                <w:rFonts w:cstheme="minorHAnsi"/>
                <w:color w:val="FF0000"/>
                <w:highlight w:val="darkGray"/>
              </w:rPr>
              <w:t>”, will receive a risk indicator.  The State Agency will need to verify the non-federal funds were adequate and an allowable source. Below you will find how to answer the question.</w:t>
            </w:r>
          </w:p>
          <w:p w14:paraId="2CA80831" w14:textId="271A88C4" w:rsidR="00BF1038" w:rsidRPr="00C56F6E" w:rsidRDefault="00BF1038" w:rsidP="00BF1038">
            <w:pPr>
              <w:pStyle w:val="NoSpacing"/>
              <w:numPr>
                <w:ilvl w:val="0"/>
                <w:numId w:val="9"/>
              </w:numPr>
              <w:rPr>
                <w:rFonts w:cstheme="minorHAnsi"/>
                <w:color w:val="FF0000"/>
                <w:highlight w:val="darkGray"/>
              </w:rPr>
            </w:pPr>
            <w:r w:rsidRPr="00C56F6E">
              <w:rPr>
                <w:rFonts w:cstheme="minorHAnsi"/>
                <w:b/>
                <w:color w:val="FF0000"/>
                <w:highlight w:val="darkGray"/>
              </w:rPr>
              <w:t xml:space="preserve">Yes </w:t>
            </w:r>
            <w:r w:rsidRPr="00C56F6E">
              <w:rPr>
                <w:rFonts w:cstheme="minorHAnsi"/>
                <w:color w:val="FF0000"/>
                <w:highlight w:val="darkGray"/>
              </w:rPr>
              <w:t xml:space="preserve">-SFA submitted a PLE tool indicating they will “Contribute Non-Federal </w:t>
            </w:r>
            <w:r w:rsidR="004929F7" w:rsidRPr="00C56F6E">
              <w:rPr>
                <w:rFonts w:cstheme="minorHAnsi"/>
                <w:color w:val="FF0000"/>
                <w:highlight w:val="darkGray"/>
              </w:rPr>
              <w:t>Sources” (</w:t>
            </w:r>
            <w:r w:rsidRPr="00C56F6E">
              <w:rPr>
                <w:rFonts w:cstheme="minorHAnsi"/>
                <w:color w:val="FF0000"/>
                <w:highlight w:val="darkGray"/>
              </w:rPr>
              <w:t xml:space="preserve">general fund transfer) or “Both” for </w:t>
            </w:r>
            <w:r w:rsidR="004929F7" w:rsidRPr="00C56F6E">
              <w:rPr>
                <w:rFonts w:cstheme="minorHAnsi"/>
                <w:color w:val="FF0000"/>
                <w:highlight w:val="darkGray"/>
              </w:rPr>
              <w:t>current school year</w:t>
            </w:r>
            <w:r w:rsidRPr="00C56F6E">
              <w:rPr>
                <w:rFonts w:cstheme="minorHAnsi"/>
                <w:color w:val="FF0000"/>
                <w:highlight w:val="darkGray"/>
              </w:rPr>
              <w:t>, please include a confirmation of the general fund transfer</w:t>
            </w:r>
            <w:r w:rsidR="00AF4771" w:rsidRPr="00C56F6E">
              <w:rPr>
                <w:rFonts w:cstheme="minorHAnsi"/>
                <w:color w:val="FF0000"/>
                <w:highlight w:val="darkGray"/>
              </w:rPr>
              <w:t>.</w:t>
            </w:r>
          </w:p>
          <w:p w14:paraId="454F0D0D" w14:textId="7984D0BA" w:rsidR="00BF1038" w:rsidRPr="00C56F6E" w:rsidRDefault="00BF1038" w:rsidP="00BF1038">
            <w:pPr>
              <w:pStyle w:val="NoSpacing"/>
              <w:numPr>
                <w:ilvl w:val="1"/>
                <w:numId w:val="9"/>
              </w:numPr>
              <w:rPr>
                <w:rFonts w:cstheme="minorHAnsi"/>
                <w:color w:val="FF0000"/>
                <w:highlight w:val="darkGray"/>
              </w:rPr>
            </w:pPr>
            <w:r w:rsidRPr="00C56F6E">
              <w:rPr>
                <w:rFonts w:cstheme="minorHAnsi"/>
                <w:b/>
                <w:color w:val="FF0000"/>
                <w:highlight w:val="darkGray"/>
              </w:rPr>
              <w:t xml:space="preserve">Contribute Non-Federal Sources for </w:t>
            </w:r>
            <w:r w:rsidR="004929F7" w:rsidRPr="00C56F6E">
              <w:rPr>
                <w:rFonts w:cstheme="minorHAnsi"/>
                <w:b/>
                <w:color w:val="FF0000"/>
                <w:highlight w:val="darkGray"/>
              </w:rPr>
              <w:t>current school year</w:t>
            </w:r>
            <w:r w:rsidRPr="00C56F6E">
              <w:rPr>
                <w:rFonts w:cstheme="minorHAnsi"/>
                <w:color w:val="FF0000"/>
                <w:highlight w:val="darkGray"/>
              </w:rPr>
              <w:t xml:space="preserve"> – the SFA has chosen to make a general fund transfer in place of increasing lunch prices in</w:t>
            </w:r>
            <w:r w:rsidR="004929F7" w:rsidRPr="00C56F6E">
              <w:rPr>
                <w:rFonts w:cstheme="minorHAnsi"/>
                <w:color w:val="FF0000"/>
                <w:highlight w:val="darkGray"/>
              </w:rPr>
              <w:t xml:space="preserve"> current school year</w:t>
            </w:r>
            <w:r w:rsidRPr="00C56F6E">
              <w:rPr>
                <w:rFonts w:cstheme="minorHAnsi"/>
                <w:color w:val="FF0000"/>
                <w:highlight w:val="darkGray"/>
              </w:rPr>
              <w:t xml:space="preserve">.  </w:t>
            </w:r>
          </w:p>
          <w:p w14:paraId="04B48FFB" w14:textId="7C37EB23" w:rsidR="00BF1038" w:rsidRPr="00C56F6E" w:rsidRDefault="00BF1038" w:rsidP="00BF1038">
            <w:pPr>
              <w:pStyle w:val="NoSpacing"/>
              <w:numPr>
                <w:ilvl w:val="1"/>
                <w:numId w:val="9"/>
              </w:numPr>
              <w:spacing w:after="60"/>
              <w:rPr>
                <w:rFonts w:cstheme="minorHAnsi"/>
                <w:color w:val="FF0000"/>
                <w:highlight w:val="darkGray"/>
              </w:rPr>
            </w:pPr>
            <w:r w:rsidRPr="00C56F6E">
              <w:rPr>
                <w:rFonts w:cstheme="minorHAnsi"/>
                <w:b/>
                <w:color w:val="FF0000"/>
                <w:highlight w:val="darkGray"/>
              </w:rPr>
              <w:t>Both</w:t>
            </w:r>
            <w:r w:rsidRPr="00C56F6E">
              <w:rPr>
                <w:rFonts w:cstheme="minorHAnsi"/>
                <w:color w:val="FF0000"/>
                <w:highlight w:val="darkGray"/>
              </w:rPr>
              <w:t xml:space="preserve"> – the SFA has chosen to increase their prices </w:t>
            </w:r>
            <w:r w:rsidR="00AF4771" w:rsidRPr="00C56F6E">
              <w:rPr>
                <w:rFonts w:cstheme="minorHAnsi"/>
                <w:color w:val="FF0000"/>
                <w:highlight w:val="darkGray"/>
              </w:rPr>
              <w:t xml:space="preserve">in </w:t>
            </w:r>
            <w:r w:rsidRPr="00C56F6E">
              <w:rPr>
                <w:rFonts w:cstheme="minorHAnsi"/>
                <w:color w:val="FF0000"/>
                <w:highlight w:val="darkGray"/>
              </w:rPr>
              <w:t xml:space="preserve">a small increment along with making a general fund transfer for compliance. </w:t>
            </w:r>
          </w:p>
          <w:p w14:paraId="1E044503" w14:textId="09D3470D" w:rsidR="00BF1038" w:rsidRPr="00C56F6E" w:rsidRDefault="00BF1038" w:rsidP="00BF1038">
            <w:pPr>
              <w:pStyle w:val="NoSpacing"/>
              <w:numPr>
                <w:ilvl w:val="0"/>
                <w:numId w:val="9"/>
              </w:numPr>
              <w:rPr>
                <w:rFonts w:cstheme="minorHAnsi"/>
                <w:color w:val="FF0000"/>
                <w:highlight w:val="darkGray"/>
              </w:rPr>
            </w:pPr>
            <w:r w:rsidRPr="00C56F6E">
              <w:rPr>
                <w:rFonts w:cstheme="minorHAnsi"/>
                <w:b/>
                <w:color w:val="FF0000"/>
                <w:highlight w:val="darkGray"/>
              </w:rPr>
              <w:t>No</w:t>
            </w:r>
            <w:r w:rsidRPr="00C56F6E">
              <w:rPr>
                <w:rFonts w:cstheme="minorHAnsi"/>
                <w:color w:val="FF0000"/>
                <w:highlight w:val="darkGray"/>
              </w:rPr>
              <w:t xml:space="preserve"> –SFA indicated they will be increasing their prices in </w:t>
            </w:r>
            <w:r w:rsidR="004929F7" w:rsidRPr="00C56F6E">
              <w:rPr>
                <w:rFonts w:cstheme="minorHAnsi"/>
                <w:color w:val="FF0000"/>
                <w:highlight w:val="darkGray"/>
              </w:rPr>
              <w:t>current school year</w:t>
            </w:r>
            <w:r w:rsidRPr="00C56F6E">
              <w:rPr>
                <w:rFonts w:cstheme="minorHAnsi"/>
                <w:color w:val="FF0000"/>
                <w:highlight w:val="darkGray"/>
              </w:rPr>
              <w:t xml:space="preserve"> with no general fund transfer</w:t>
            </w:r>
          </w:p>
          <w:p w14:paraId="24D839BE" w14:textId="77777777" w:rsidR="00BF1038" w:rsidRPr="00C56F6E" w:rsidRDefault="00BF1038" w:rsidP="00BF1038">
            <w:pPr>
              <w:pStyle w:val="ListParagraph"/>
              <w:numPr>
                <w:ilvl w:val="0"/>
                <w:numId w:val="9"/>
              </w:numPr>
              <w:contextualSpacing w:val="0"/>
              <w:rPr>
                <w:rFonts w:cstheme="minorHAnsi"/>
                <w:color w:val="FF0000"/>
                <w:highlight w:val="darkGray"/>
              </w:rPr>
            </w:pPr>
            <w:r w:rsidRPr="00C56F6E">
              <w:rPr>
                <w:rFonts w:cstheme="minorHAnsi"/>
                <w:b/>
                <w:color w:val="FF0000"/>
                <w:highlight w:val="darkGray"/>
              </w:rPr>
              <w:t xml:space="preserve">N/A-1 </w:t>
            </w:r>
            <w:r w:rsidRPr="00C56F6E">
              <w:rPr>
                <w:rFonts w:cstheme="minorHAnsi"/>
                <w:color w:val="FF0000"/>
                <w:highlight w:val="darkGray"/>
              </w:rPr>
              <w:t>–SFA did not have to fill out a PLE tool because the SFA is nonpricing (CEP, Provisional 2/3 or universal free)</w:t>
            </w:r>
          </w:p>
          <w:p w14:paraId="162BE39A" w14:textId="37F60DBB" w:rsidR="00BF1038" w:rsidRPr="00C56F6E" w:rsidRDefault="00BF1038" w:rsidP="00BF1038">
            <w:pPr>
              <w:pStyle w:val="NoSpacing"/>
              <w:numPr>
                <w:ilvl w:val="0"/>
                <w:numId w:val="9"/>
              </w:numPr>
              <w:rPr>
                <w:rFonts w:cstheme="minorHAnsi"/>
                <w:color w:val="FF0000"/>
                <w:highlight w:val="darkGray"/>
              </w:rPr>
            </w:pPr>
            <w:r w:rsidRPr="00C56F6E">
              <w:rPr>
                <w:rFonts w:cstheme="minorHAnsi"/>
                <w:b/>
                <w:color w:val="FF0000"/>
                <w:highlight w:val="darkGray"/>
              </w:rPr>
              <w:t xml:space="preserve">N/A-2 </w:t>
            </w:r>
            <w:r w:rsidRPr="00C56F6E">
              <w:rPr>
                <w:rFonts w:cstheme="minorHAnsi"/>
                <w:color w:val="FF0000"/>
                <w:highlight w:val="darkGray"/>
              </w:rPr>
              <w:t>–SFA submitted a PLE tool and was “At or Above Equity” (current prices are compl</w:t>
            </w:r>
            <w:r w:rsidR="00BB295E" w:rsidRPr="00C56F6E">
              <w:rPr>
                <w:rFonts w:cstheme="minorHAnsi"/>
                <w:color w:val="FF0000"/>
                <w:highlight w:val="darkGray"/>
              </w:rPr>
              <w:t>ia</w:t>
            </w:r>
            <w:r w:rsidRPr="00C56F6E">
              <w:rPr>
                <w:rFonts w:cstheme="minorHAnsi"/>
                <w:color w:val="FF0000"/>
                <w:highlight w:val="darkGray"/>
              </w:rPr>
              <w:t>nt)</w:t>
            </w:r>
          </w:p>
          <w:p w14:paraId="2CC7398D" w14:textId="02C2BFCB" w:rsidR="00BF1038" w:rsidRPr="00C56F6E" w:rsidRDefault="00BF1038" w:rsidP="00BF1038">
            <w:pPr>
              <w:pStyle w:val="NoSpacing"/>
              <w:numPr>
                <w:ilvl w:val="0"/>
                <w:numId w:val="9"/>
              </w:numPr>
              <w:spacing w:after="120"/>
              <w:rPr>
                <w:rFonts w:cstheme="minorHAnsi"/>
                <w:color w:val="FF0000"/>
                <w:highlight w:val="darkGray"/>
              </w:rPr>
            </w:pPr>
            <w:r w:rsidRPr="00C56F6E">
              <w:rPr>
                <w:rFonts w:cstheme="minorHAnsi"/>
                <w:b/>
                <w:color w:val="FF0000"/>
                <w:highlight w:val="darkGray"/>
              </w:rPr>
              <w:lastRenderedPageBreak/>
              <w:t>N/A-3</w:t>
            </w:r>
            <w:r w:rsidRPr="00C56F6E">
              <w:rPr>
                <w:rFonts w:cstheme="minorHAnsi"/>
                <w:color w:val="FF0000"/>
                <w:highlight w:val="darkGray"/>
              </w:rPr>
              <w:t xml:space="preserve"> –SFA submitted a PLE tool to CDE and was given an exemption </w:t>
            </w:r>
            <w:r w:rsidR="004929F7" w:rsidRPr="00C56F6E">
              <w:rPr>
                <w:rFonts w:cstheme="minorHAnsi"/>
                <w:color w:val="FF0000"/>
                <w:highlight w:val="darkGray"/>
              </w:rPr>
              <w:t>for current school year</w:t>
            </w:r>
            <w:r w:rsidRPr="00C56F6E">
              <w:rPr>
                <w:rFonts w:cstheme="minorHAnsi"/>
                <w:color w:val="FF0000"/>
                <w:highlight w:val="darkGray"/>
              </w:rPr>
              <w:t xml:space="preserve"> for having a zero or positive balance as</w:t>
            </w:r>
            <w:r w:rsidR="004929F7" w:rsidRPr="00C56F6E">
              <w:rPr>
                <w:rFonts w:cstheme="minorHAnsi"/>
                <w:color w:val="FF0000"/>
                <w:highlight w:val="darkGray"/>
              </w:rPr>
              <w:t xml:space="preserve"> indicated date</w:t>
            </w:r>
            <w:r w:rsidR="0011626C" w:rsidRPr="00C56F6E">
              <w:rPr>
                <w:rFonts w:cstheme="minorHAnsi"/>
                <w:color w:val="FF0000"/>
                <w:highlight w:val="darkGray"/>
              </w:rPr>
              <w:t>.</w:t>
            </w:r>
          </w:p>
          <w:p w14:paraId="71F7AF4F" w14:textId="77777777" w:rsidR="00BF1038" w:rsidRPr="00C56F6E" w:rsidRDefault="00BF1038" w:rsidP="00B00F55">
            <w:pPr>
              <w:pStyle w:val="NoSpacing"/>
              <w:ind w:left="360"/>
              <w:rPr>
                <w:rFonts w:cstheme="minorHAnsi"/>
                <w:color w:val="FF0000"/>
                <w:highlight w:val="darkGray"/>
              </w:rPr>
            </w:pPr>
            <w:r w:rsidRPr="00C56F6E">
              <w:rPr>
                <w:rFonts w:cstheme="minorHAnsi"/>
                <w:color w:val="FF0000"/>
                <w:highlight w:val="darkGray"/>
              </w:rPr>
              <w:t>To calculate the general fund transfer, please use the following calculation</w:t>
            </w:r>
          </w:p>
          <w:p w14:paraId="460D68C7" w14:textId="5FC363FC" w:rsidR="00BF1038" w:rsidRPr="00C56F6E" w:rsidRDefault="00BF1038" w:rsidP="00B00F55">
            <w:pPr>
              <w:pStyle w:val="NoSpacing"/>
              <w:ind w:left="720"/>
              <w:rPr>
                <w:rFonts w:cstheme="minorHAnsi"/>
                <w:color w:val="FF0000"/>
                <w:highlight w:val="darkGray"/>
              </w:rPr>
            </w:pPr>
            <w:r w:rsidRPr="00C56F6E">
              <w:rPr>
                <w:rFonts w:cstheme="minorHAnsi"/>
                <w:color w:val="FF0000"/>
                <w:highlight w:val="darkGray"/>
              </w:rPr>
              <w:t xml:space="preserve">_______total paid student lunches served </w:t>
            </w:r>
            <w:r w:rsidR="004929F7" w:rsidRPr="00C56F6E">
              <w:rPr>
                <w:rFonts w:cstheme="minorHAnsi"/>
                <w:color w:val="FF0000"/>
                <w:highlight w:val="darkGray"/>
              </w:rPr>
              <w:t>last school year</w:t>
            </w:r>
            <w:r w:rsidRPr="00C56F6E">
              <w:rPr>
                <w:rFonts w:cstheme="minorHAnsi"/>
                <w:color w:val="FF0000"/>
                <w:highlight w:val="darkGray"/>
              </w:rPr>
              <w:t xml:space="preserve"> x </w:t>
            </w:r>
            <w:proofErr w:type="gramStart"/>
            <w:r w:rsidRPr="00C56F6E">
              <w:rPr>
                <w:rFonts w:cstheme="minorHAnsi"/>
                <w:color w:val="FF0000"/>
                <w:highlight w:val="darkGray"/>
              </w:rPr>
              <w:t>$ .</w:t>
            </w:r>
            <w:proofErr w:type="gramEnd"/>
            <w:r w:rsidRPr="00C56F6E">
              <w:rPr>
                <w:rFonts w:cstheme="minorHAnsi"/>
                <w:color w:val="FF0000"/>
                <w:highlight w:val="darkGray"/>
              </w:rPr>
              <w:t xml:space="preserve">___ (indicated increase w/ $.10 max) = $______.___ general fund transfer for compliance </w:t>
            </w:r>
          </w:p>
          <w:p w14:paraId="2BD716C1" w14:textId="4A826FEB" w:rsidR="00BF1038" w:rsidRPr="00C56F6E" w:rsidRDefault="00BF1038" w:rsidP="00BF1038">
            <w:pPr>
              <w:rPr>
                <w:rFonts w:cstheme="minorHAnsi"/>
                <w:b/>
                <w:color w:val="FF0000"/>
                <w:highlight w:val="darkGray"/>
              </w:rPr>
            </w:pPr>
          </w:p>
        </w:tc>
      </w:tr>
      <w:tr w:rsidR="00BF1038" w14:paraId="63F29D08" w14:textId="77777777" w:rsidTr="00BF1038">
        <w:trPr>
          <w:gridAfter w:val="1"/>
          <w:wAfter w:w="24" w:type="dxa"/>
          <w:trHeight w:val="434"/>
        </w:trPr>
        <w:tc>
          <w:tcPr>
            <w:tcW w:w="688" w:type="dxa"/>
            <w:gridSpan w:val="2"/>
            <w:shd w:val="clear" w:color="auto" w:fill="auto"/>
          </w:tcPr>
          <w:p w14:paraId="4BF9CD7D" w14:textId="77777777" w:rsidR="00BF1038" w:rsidRDefault="00BF1038" w:rsidP="00B00F55">
            <w:pPr>
              <w:spacing w:beforeLines="60" w:before="144" w:afterLines="60" w:after="144"/>
              <w:rPr>
                <w:rFonts w:cstheme="minorHAnsi"/>
              </w:rPr>
            </w:pPr>
            <w:r>
              <w:rPr>
                <w:rFonts w:cstheme="minorHAnsi"/>
              </w:rPr>
              <w:lastRenderedPageBreak/>
              <w:t>708.</w:t>
            </w:r>
          </w:p>
        </w:tc>
        <w:tc>
          <w:tcPr>
            <w:tcW w:w="8852" w:type="dxa"/>
          </w:tcPr>
          <w:p w14:paraId="494D04A8" w14:textId="77777777" w:rsidR="00BF1038" w:rsidRPr="00C56F6E" w:rsidRDefault="00BF1038" w:rsidP="00B00F55">
            <w:pPr>
              <w:spacing w:beforeLines="60" w:before="144" w:afterLines="60" w:after="144"/>
              <w:rPr>
                <w:rFonts w:eastAsia="Times New Roman" w:cstheme="minorHAnsi"/>
                <w:color w:val="000000"/>
                <w:highlight w:val="darkGray"/>
              </w:rPr>
            </w:pPr>
            <w:r w:rsidRPr="00C56F6E">
              <w:rPr>
                <w:rFonts w:eastAsia="Times New Roman" w:cstheme="minorHAnsi"/>
                <w:color w:val="000000"/>
                <w:highlight w:val="darkGray"/>
              </w:rPr>
              <w:t>Question: Did the SFA adjust its paid lunch prices for the RM Review Period at the level at or above what was required by the USDA Paid Lunch Equity tool or comparable mechanism?</w:t>
            </w:r>
          </w:p>
          <w:p w14:paraId="2AB88F7A" w14:textId="295D1999" w:rsidR="00BF1038" w:rsidRPr="00C56F6E" w:rsidRDefault="00BF1038" w:rsidP="00B00F55">
            <w:pPr>
              <w:spacing w:after="120"/>
              <w:ind w:left="29"/>
              <w:rPr>
                <w:rFonts w:cstheme="minorHAnsi"/>
                <w:color w:val="FF0000"/>
                <w:highlight w:val="darkGray"/>
              </w:rPr>
            </w:pPr>
            <w:r w:rsidRPr="00C56F6E">
              <w:rPr>
                <w:rFonts w:cstheme="minorHAnsi"/>
                <w:b/>
                <w:color w:val="FF0000"/>
                <w:highlight w:val="darkGray"/>
              </w:rPr>
              <w:t xml:space="preserve">Tips: </w:t>
            </w:r>
            <w:r w:rsidRPr="00C56F6E">
              <w:rPr>
                <w:rFonts w:cstheme="minorHAnsi"/>
                <w:color w:val="FF0000"/>
                <w:highlight w:val="darkGray"/>
              </w:rPr>
              <w:t>SFA</w:t>
            </w:r>
            <w:r w:rsidR="00E80CD5" w:rsidRPr="00C56F6E">
              <w:rPr>
                <w:rFonts w:cstheme="minorHAnsi"/>
                <w:color w:val="FF0000"/>
                <w:highlight w:val="darkGray"/>
              </w:rPr>
              <w:t>s have</w:t>
            </w:r>
            <w:r w:rsidRPr="00C56F6E">
              <w:rPr>
                <w:rFonts w:cstheme="minorHAnsi"/>
                <w:color w:val="FF0000"/>
                <w:highlight w:val="darkGray"/>
              </w:rPr>
              <w:t xml:space="preserve"> the option of maximizing the increase to $.10. The $.10 max is a USDA recommendation, although price increases are a local decision in CO. Below you will find how to answer the question.</w:t>
            </w:r>
          </w:p>
          <w:p w14:paraId="05650B1F" w14:textId="344301FF" w:rsidR="00BF1038" w:rsidRPr="00C56F6E" w:rsidRDefault="00BF1038" w:rsidP="00E80CD5">
            <w:pPr>
              <w:pStyle w:val="NoSpacing"/>
              <w:numPr>
                <w:ilvl w:val="0"/>
                <w:numId w:val="10"/>
              </w:numPr>
              <w:rPr>
                <w:rFonts w:cstheme="minorHAnsi"/>
                <w:color w:val="FF0000"/>
                <w:highlight w:val="darkGray"/>
              </w:rPr>
            </w:pPr>
            <w:r w:rsidRPr="00C56F6E">
              <w:rPr>
                <w:rFonts w:cstheme="minorHAnsi"/>
                <w:b/>
                <w:color w:val="FF0000"/>
                <w:highlight w:val="darkGray"/>
              </w:rPr>
              <w:t>Yes</w:t>
            </w:r>
            <w:r w:rsidRPr="00C56F6E">
              <w:rPr>
                <w:rFonts w:cstheme="minorHAnsi"/>
                <w:color w:val="FF0000"/>
                <w:highlight w:val="darkGray"/>
              </w:rPr>
              <w:t xml:space="preserve">-SFA indicated they will be increasing their prices in </w:t>
            </w:r>
            <w:r w:rsidR="004929F7" w:rsidRPr="00C56F6E">
              <w:rPr>
                <w:rFonts w:cstheme="minorHAnsi"/>
                <w:color w:val="FF0000"/>
                <w:highlight w:val="darkGray"/>
              </w:rPr>
              <w:t>current school year</w:t>
            </w:r>
          </w:p>
          <w:p w14:paraId="106868E6" w14:textId="77777777" w:rsidR="00BF1038" w:rsidRPr="00C56F6E" w:rsidRDefault="00BF1038" w:rsidP="00E80CD5">
            <w:pPr>
              <w:pStyle w:val="NoSpacing"/>
              <w:numPr>
                <w:ilvl w:val="1"/>
                <w:numId w:val="10"/>
              </w:numPr>
              <w:rPr>
                <w:rFonts w:cstheme="minorHAnsi"/>
                <w:color w:val="FF0000"/>
                <w:highlight w:val="darkGray"/>
              </w:rPr>
            </w:pPr>
            <w:r w:rsidRPr="00C56F6E">
              <w:rPr>
                <w:rFonts w:cstheme="minorHAnsi"/>
                <w:color w:val="FF0000"/>
                <w:highlight w:val="darkGray"/>
              </w:rPr>
              <w:t>Please note in the comments section the price increase(s)</w:t>
            </w:r>
          </w:p>
          <w:p w14:paraId="108D01B8" w14:textId="54698259" w:rsidR="00BF1038" w:rsidRPr="00C56F6E" w:rsidRDefault="00BF1038" w:rsidP="00E80CD5">
            <w:pPr>
              <w:pStyle w:val="NoSpacing"/>
              <w:numPr>
                <w:ilvl w:val="0"/>
                <w:numId w:val="10"/>
              </w:numPr>
              <w:rPr>
                <w:rFonts w:cstheme="minorHAnsi"/>
                <w:color w:val="FF0000"/>
                <w:highlight w:val="darkGray"/>
              </w:rPr>
            </w:pPr>
            <w:r w:rsidRPr="00C56F6E">
              <w:rPr>
                <w:rFonts w:cstheme="minorHAnsi"/>
                <w:b/>
                <w:color w:val="FF0000"/>
                <w:highlight w:val="darkGray"/>
              </w:rPr>
              <w:t>No</w:t>
            </w:r>
            <w:r w:rsidRPr="00C56F6E">
              <w:rPr>
                <w:rFonts w:cstheme="minorHAnsi"/>
                <w:color w:val="FF0000"/>
                <w:highlight w:val="darkGray"/>
              </w:rPr>
              <w:t xml:space="preserve"> -SFA did not increase prices as they indicated they would be in the PLE Tool for </w:t>
            </w:r>
            <w:r w:rsidR="004929F7" w:rsidRPr="00C56F6E">
              <w:rPr>
                <w:rFonts w:cstheme="minorHAnsi"/>
                <w:color w:val="FF0000"/>
                <w:highlight w:val="darkGray"/>
              </w:rPr>
              <w:t>current school year</w:t>
            </w:r>
          </w:p>
          <w:p w14:paraId="0C87B23C" w14:textId="074AE449" w:rsidR="00BF1038" w:rsidRPr="00C56F6E" w:rsidRDefault="00BF1038" w:rsidP="00E80CD5">
            <w:pPr>
              <w:pStyle w:val="NoSpacing"/>
              <w:numPr>
                <w:ilvl w:val="1"/>
                <w:numId w:val="10"/>
              </w:numPr>
              <w:rPr>
                <w:rFonts w:cstheme="minorHAnsi"/>
                <w:color w:val="FF0000"/>
                <w:highlight w:val="darkGray"/>
              </w:rPr>
            </w:pPr>
            <w:r w:rsidRPr="00C56F6E">
              <w:rPr>
                <w:rFonts w:cstheme="minorHAnsi"/>
                <w:b/>
                <w:color w:val="FF0000"/>
                <w:highlight w:val="darkGray"/>
              </w:rPr>
              <w:t>No</w:t>
            </w:r>
            <w:r w:rsidR="003169C8" w:rsidRPr="00C56F6E">
              <w:rPr>
                <w:rFonts w:cstheme="minorHAnsi"/>
                <w:color w:val="FF0000"/>
                <w:highlight w:val="darkGray"/>
              </w:rPr>
              <w:t xml:space="preserve"> – SFA is ‘Contributing Nonfederal Funds’</w:t>
            </w:r>
            <w:r w:rsidRPr="00C56F6E">
              <w:rPr>
                <w:rFonts w:cstheme="minorHAnsi"/>
                <w:color w:val="FF0000"/>
                <w:highlight w:val="darkGray"/>
              </w:rPr>
              <w:t xml:space="preserve"> in place of increasing their prices</w:t>
            </w:r>
          </w:p>
          <w:p w14:paraId="2B4C3055" w14:textId="77777777" w:rsidR="00E80CD5" w:rsidRPr="00C56F6E" w:rsidRDefault="00E80CD5" w:rsidP="00E80CD5">
            <w:pPr>
              <w:pStyle w:val="ListParagraph"/>
              <w:numPr>
                <w:ilvl w:val="0"/>
                <w:numId w:val="10"/>
              </w:numPr>
              <w:contextualSpacing w:val="0"/>
              <w:rPr>
                <w:rFonts w:cstheme="minorHAnsi"/>
                <w:color w:val="FF0000"/>
                <w:highlight w:val="darkGray"/>
              </w:rPr>
            </w:pPr>
            <w:r w:rsidRPr="00C56F6E">
              <w:rPr>
                <w:rFonts w:cstheme="minorHAnsi"/>
                <w:b/>
                <w:color w:val="FF0000"/>
                <w:highlight w:val="darkGray"/>
              </w:rPr>
              <w:t xml:space="preserve">N/A-1 </w:t>
            </w:r>
            <w:r w:rsidRPr="00C56F6E">
              <w:rPr>
                <w:rFonts w:cstheme="minorHAnsi"/>
                <w:color w:val="FF0000"/>
                <w:highlight w:val="darkGray"/>
              </w:rPr>
              <w:t>–SFA did not have to fill out a PLE tool because the SFA is nonpricing (CEP, Provisional 2/3 or universal free)</w:t>
            </w:r>
          </w:p>
          <w:p w14:paraId="24E6FDE1" w14:textId="77777777" w:rsidR="00E80CD5" w:rsidRPr="00C56F6E" w:rsidRDefault="00E80CD5" w:rsidP="00E80CD5">
            <w:pPr>
              <w:pStyle w:val="NoSpacing"/>
              <w:numPr>
                <w:ilvl w:val="0"/>
                <w:numId w:val="10"/>
              </w:numPr>
              <w:rPr>
                <w:rFonts w:cstheme="minorHAnsi"/>
                <w:color w:val="FF0000"/>
                <w:highlight w:val="darkGray"/>
              </w:rPr>
            </w:pPr>
            <w:r w:rsidRPr="00C56F6E">
              <w:rPr>
                <w:rFonts w:cstheme="minorHAnsi"/>
                <w:b/>
                <w:color w:val="FF0000"/>
                <w:highlight w:val="darkGray"/>
              </w:rPr>
              <w:t xml:space="preserve">N/A-2 </w:t>
            </w:r>
            <w:r w:rsidRPr="00C56F6E">
              <w:rPr>
                <w:rFonts w:cstheme="minorHAnsi"/>
                <w:color w:val="FF0000"/>
                <w:highlight w:val="darkGray"/>
              </w:rPr>
              <w:t>–SFA submitted a PLE tool and was “At or Above Equity” (current prices are compliant)</w:t>
            </w:r>
          </w:p>
          <w:p w14:paraId="4CA661C7" w14:textId="73ABB948" w:rsidR="00E80CD5" w:rsidRPr="00C56F6E" w:rsidRDefault="00E80CD5" w:rsidP="00E80CD5">
            <w:pPr>
              <w:pStyle w:val="NoSpacing"/>
              <w:numPr>
                <w:ilvl w:val="0"/>
                <w:numId w:val="10"/>
              </w:numPr>
              <w:spacing w:after="120"/>
              <w:rPr>
                <w:rFonts w:cstheme="minorHAnsi"/>
                <w:color w:val="FF0000"/>
                <w:highlight w:val="darkGray"/>
              </w:rPr>
            </w:pPr>
            <w:r w:rsidRPr="00C56F6E">
              <w:rPr>
                <w:rFonts w:cstheme="minorHAnsi"/>
                <w:b/>
                <w:color w:val="FF0000"/>
                <w:highlight w:val="darkGray"/>
              </w:rPr>
              <w:t>N/A-3</w:t>
            </w:r>
            <w:r w:rsidRPr="00C56F6E">
              <w:rPr>
                <w:rFonts w:cstheme="minorHAnsi"/>
                <w:color w:val="FF0000"/>
                <w:highlight w:val="darkGray"/>
              </w:rPr>
              <w:t xml:space="preserve"> –SFA submitted a PLE tool to CDE and was given an exemption for </w:t>
            </w:r>
            <w:r w:rsidR="004929F7" w:rsidRPr="00C56F6E">
              <w:rPr>
                <w:rFonts w:cstheme="minorHAnsi"/>
                <w:color w:val="FF0000"/>
                <w:highlight w:val="darkGray"/>
              </w:rPr>
              <w:t>current school year</w:t>
            </w:r>
            <w:r w:rsidRPr="00C56F6E">
              <w:rPr>
                <w:rFonts w:cstheme="minorHAnsi"/>
                <w:color w:val="FF0000"/>
                <w:highlight w:val="darkGray"/>
              </w:rPr>
              <w:t xml:space="preserve"> for having a zero or positive balance as </w:t>
            </w:r>
            <w:r w:rsidR="004929F7" w:rsidRPr="00C56F6E">
              <w:rPr>
                <w:rFonts w:cstheme="minorHAnsi"/>
                <w:color w:val="FF0000"/>
                <w:highlight w:val="darkGray"/>
              </w:rPr>
              <w:t>indicated date</w:t>
            </w:r>
            <w:r w:rsidRPr="00C56F6E">
              <w:rPr>
                <w:rFonts w:cstheme="minorHAnsi"/>
                <w:color w:val="FF0000"/>
                <w:highlight w:val="darkGray"/>
              </w:rPr>
              <w:t>.</w:t>
            </w:r>
          </w:p>
          <w:p w14:paraId="66C663E1" w14:textId="36CBEB97" w:rsidR="00BF1038" w:rsidRPr="00C56F6E" w:rsidRDefault="00BF1038" w:rsidP="00E80CD5">
            <w:pPr>
              <w:pStyle w:val="NoSpacing"/>
              <w:numPr>
                <w:ilvl w:val="0"/>
                <w:numId w:val="10"/>
              </w:numPr>
              <w:spacing w:after="60"/>
              <w:rPr>
                <w:rFonts w:cstheme="minorHAnsi"/>
                <w:color w:val="FF0000"/>
                <w:highlight w:val="darkGray"/>
              </w:rPr>
            </w:pPr>
            <w:r w:rsidRPr="00C56F6E">
              <w:rPr>
                <w:rFonts w:cstheme="minorHAnsi"/>
                <w:b/>
                <w:color w:val="FF0000"/>
                <w:highlight w:val="darkGray"/>
              </w:rPr>
              <w:t>N/A-4</w:t>
            </w:r>
            <w:r w:rsidRPr="00C56F6E">
              <w:rPr>
                <w:rFonts w:cstheme="minorHAnsi"/>
                <w:color w:val="FF0000"/>
                <w:highlight w:val="darkGray"/>
              </w:rPr>
              <w:t xml:space="preserve"> –SFA was given a special exemption from the PLE requirements for </w:t>
            </w:r>
            <w:r w:rsidR="004929F7" w:rsidRPr="00C56F6E">
              <w:rPr>
                <w:rFonts w:cstheme="minorHAnsi"/>
                <w:color w:val="FF0000"/>
                <w:highlight w:val="darkGray"/>
              </w:rPr>
              <w:t>current school year</w:t>
            </w:r>
            <w:r w:rsidRPr="00C56F6E">
              <w:rPr>
                <w:rFonts w:cstheme="minorHAnsi"/>
                <w:color w:val="FF0000"/>
                <w:highlight w:val="darkGray"/>
              </w:rPr>
              <w:t xml:space="preserve"> (not applicable, this is not relevant in CO for </w:t>
            </w:r>
            <w:r w:rsidR="004929F7" w:rsidRPr="00C56F6E">
              <w:rPr>
                <w:rFonts w:cstheme="minorHAnsi"/>
                <w:color w:val="FF0000"/>
                <w:highlight w:val="darkGray"/>
              </w:rPr>
              <w:t>current school year</w:t>
            </w:r>
            <w:r w:rsidR="00E80CD5" w:rsidRPr="00C56F6E">
              <w:rPr>
                <w:rFonts w:cstheme="minorHAnsi"/>
                <w:color w:val="FF0000"/>
                <w:highlight w:val="darkGray"/>
              </w:rPr>
              <w:t>)</w:t>
            </w:r>
          </w:p>
        </w:tc>
      </w:tr>
      <w:tr w:rsidR="00BF1038" w14:paraId="1C2A7989" w14:textId="77777777" w:rsidTr="00165FC9">
        <w:trPr>
          <w:trHeight w:val="539"/>
        </w:trPr>
        <w:tc>
          <w:tcPr>
            <w:tcW w:w="9564" w:type="dxa"/>
            <w:gridSpan w:val="4"/>
            <w:shd w:val="clear" w:color="auto" w:fill="D9D9D9" w:themeFill="background1" w:themeFillShade="D9"/>
          </w:tcPr>
          <w:p w14:paraId="4ACFACF1" w14:textId="4571BBFD" w:rsidR="00BF1038" w:rsidRDefault="00BF1038" w:rsidP="00B00F55">
            <w:pPr>
              <w:spacing w:beforeLines="60" w:before="144" w:afterLines="60" w:after="144"/>
              <w:jc w:val="center"/>
              <w:rPr>
                <w:rFonts w:eastAsia="Times New Roman" w:cstheme="minorHAnsi"/>
                <w:color w:val="000000"/>
              </w:rPr>
            </w:pPr>
            <w:r w:rsidRPr="00C93397">
              <w:rPr>
                <w:b/>
                <w:sz w:val="24"/>
                <w:szCs w:val="24"/>
              </w:rPr>
              <w:t xml:space="preserve">Revenue from </w:t>
            </w:r>
            <w:hyperlink r:id="rId18" w:history="1">
              <w:r w:rsidRPr="00B566D3">
                <w:rPr>
                  <w:rStyle w:val="Hyperlink"/>
                  <w:b/>
                  <w:sz w:val="24"/>
                  <w:szCs w:val="24"/>
                </w:rPr>
                <w:t>Nonprogram Foods</w:t>
              </w:r>
            </w:hyperlink>
            <w:r>
              <w:rPr>
                <w:b/>
                <w:sz w:val="24"/>
                <w:szCs w:val="24"/>
              </w:rPr>
              <w:t xml:space="preserve"> – Current School Year</w:t>
            </w:r>
            <w:r w:rsidR="00A16A2F">
              <w:rPr>
                <w:b/>
                <w:sz w:val="24"/>
                <w:szCs w:val="24"/>
              </w:rPr>
              <w:t xml:space="preserve"> (SY20</w:t>
            </w:r>
            <w:r w:rsidR="004929F7">
              <w:rPr>
                <w:b/>
                <w:sz w:val="24"/>
                <w:szCs w:val="24"/>
              </w:rPr>
              <w:t>2</w:t>
            </w:r>
            <w:r w:rsidR="00C56F6E">
              <w:rPr>
                <w:b/>
                <w:sz w:val="24"/>
                <w:szCs w:val="24"/>
              </w:rPr>
              <w:t>2</w:t>
            </w:r>
            <w:r w:rsidR="00A16A2F">
              <w:rPr>
                <w:b/>
                <w:sz w:val="24"/>
                <w:szCs w:val="24"/>
              </w:rPr>
              <w:t>-2</w:t>
            </w:r>
            <w:r w:rsidR="00C56F6E">
              <w:rPr>
                <w:b/>
                <w:sz w:val="24"/>
                <w:szCs w:val="24"/>
              </w:rPr>
              <w:t>3</w:t>
            </w:r>
            <w:r w:rsidR="00A16A2F">
              <w:rPr>
                <w:b/>
                <w:sz w:val="24"/>
                <w:szCs w:val="24"/>
              </w:rPr>
              <w:t>)</w:t>
            </w:r>
          </w:p>
        </w:tc>
      </w:tr>
      <w:tr w:rsidR="00BF1038" w:rsidRPr="003B1253" w14:paraId="1FF3E14A" w14:textId="77777777" w:rsidTr="00B00F55">
        <w:trPr>
          <w:trHeight w:val="2150"/>
        </w:trPr>
        <w:tc>
          <w:tcPr>
            <w:tcW w:w="628" w:type="dxa"/>
            <w:shd w:val="clear" w:color="auto" w:fill="auto"/>
          </w:tcPr>
          <w:p w14:paraId="24854A66" w14:textId="77777777" w:rsidR="00BF1038" w:rsidRDefault="00BF1038" w:rsidP="00B00F55">
            <w:pPr>
              <w:spacing w:beforeLines="60" w:before="144" w:afterLines="60" w:after="144"/>
              <w:rPr>
                <w:rFonts w:cstheme="minorHAnsi"/>
              </w:rPr>
            </w:pPr>
            <w:r>
              <w:rPr>
                <w:rFonts w:cstheme="minorHAnsi"/>
              </w:rPr>
              <w:t>709.</w:t>
            </w:r>
          </w:p>
        </w:tc>
        <w:tc>
          <w:tcPr>
            <w:tcW w:w="8936" w:type="dxa"/>
            <w:gridSpan w:val="3"/>
          </w:tcPr>
          <w:p w14:paraId="2883E56D" w14:textId="573D0C68" w:rsidR="00BF1038" w:rsidRDefault="00BF1038" w:rsidP="00B00F55">
            <w:pPr>
              <w:spacing w:beforeLines="50" w:before="120" w:afterLines="50" w:after="120"/>
              <w:rPr>
                <w:rFonts w:eastAsia="Times New Roman" w:cstheme="minorHAnsi"/>
                <w:color w:val="000000"/>
              </w:rPr>
            </w:pPr>
            <w:r>
              <w:rPr>
                <w:rFonts w:eastAsia="Times New Roman" w:cstheme="minorHAnsi"/>
                <w:color w:val="000000"/>
              </w:rPr>
              <w:t xml:space="preserve">Question: </w:t>
            </w:r>
            <w:proofErr w:type="gramStart"/>
            <w:r w:rsidRPr="00C93397">
              <w:rPr>
                <w:rFonts w:eastAsia="Times New Roman" w:cstheme="minorHAnsi"/>
                <w:color w:val="000000"/>
              </w:rPr>
              <w:t>With the exception of</w:t>
            </w:r>
            <w:proofErr w:type="gramEnd"/>
            <w:r w:rsidRPr="00C93397">
              <w:rPr>
                <w:rFonts w:eastAsia="Times New Roman" w:cstheme="minorHAnsi"/>
                <w:color w:val="000000"/>
              </w:rPr>
              <w:t xml:space="preserve"> milk</w:t>
            </w:r>
            <w:r>
              <w:rPr>
                <w:rFonts w:eastAsia="Times New Roman" w:cstheme="minorHAnsi"/>
                <w:color w:val="000000"/>
              </w:rPr>
              <w:t xml:space="preserve"> and adult meals</w:t>
            </w:r>
            <w:r w:rsidR="00A16A2F">
              <w:rPr>
                <w:rFonts w:eastAsia="Times New Roman" w:cstheme="minorHAnsi"/>
                <w:color w:val="000000"/>
              </w:rPr>
              <w:t xml:space="preserve"> </w:t>
            </w:r>
            <w:r w:rsidR="00A16A2F" w:rsidRPr="00A16A2F">
              <w:rPr>
                <w:rFonts w:eastAsia="Times New Roman" w:cstheme="minorHAnsi"/>
                <w:color w:val="FF0000"/>
              </w:rPr>
              <w:t>(and occasional leftovers as seconds)</w:t>
            </w:r>
            <w:r w:rsidRPr="00C93397">
              <w:rPr>
                <w:rFonts w:eastAsia="Times New Roman" w:cstheme="minorHAnsi"/>
                <w:color w:val="000000"/>
              </w:rPr>
              <w:t>, did the SFA sell Smart Snacks, second entrees, and/or catering (e.g., foods/beverages for school board meetings; foods for outside entities and programs)?</w:t>
            </w:r>
          </w:p>
          <w:p w14:paraId="61A9BD1A" w14:textId="77777777" w:rsidR="00763E5B" w:rsidRDefault="00BF1038" w:rsidP="00763E5B">
            <w:pPr>
              <w:spacing w:after="60"/>
              <w:ind w:left="29"/>
              <w:rPr>
                <w:rFonts w:cstheme="minorHAnsi"/>
                <w:color w:val="FF0000"/>
              </w:rPr>
            </w:pPr>
            <w:r>
              <w:rPr>
                <w:rFonts w:cstheme="minorHAnsi"/>
                <w:b/>
                <w:color w:val="FF0000"/>
              </w:rPr>
              <w:t xml:space="preserve">Tips: </w:t>
            </w:r>
            <w:r w:rsidR="00763E5B" w:rsidRPr="00EF37CD">
              <w:rPr>
                <w:rFonts w:cstheme="minorHAnsi"/>
                <w:color w:val="FF0000"/>
              </w:rPr>
              <w:t xml:space="preserve">Marking </w:t>
            </w:r>
            <w:r w:rsidR="00763E5B">
              <w:rPr>
                <w:rFonts w:cstheme="minorHAnsi"/>
                <w:color w:val="FF0000"/>
              </w:rPr>
              <w:t>“</w:t>
            </w:r>
            <w:r w:rsidR="00763E5B" w:rsidRPr="00EF37CD">
              <w:rPr>
                <w:rFonts w:cstheme="minorHAnsi"/>
                <w:color w:val="FF0000"/>
              </w:rPr>
              <w:t>yes</w:t>
            </w:r>
            <w:r w:rsidR="00763E5B">
              <w:rPr>
                <w:rFonts w:cstheme="minorHAnsi"/>
                <w:color w:val="FF0000"/>
              </w:rPr>
              <w:t xml:space="preserve">” that </w:t>
            </w:r>
            <w:r w:rsidR="00763E5B" w:rsidRPr="009F19CB">
              <w:rPr>
                <w:color w:val="FF0000"/>
              </w:rPr>
              <w:t>nonprogram foods</w:t>
            </w:r>
            <w:r w:rsidR="00763E5B" w:rsidRPr="00EF37CD">
              <w:rPr>
                <w:rFonts w:cstheme="minorHAnsi"/>
                <w:color w:val="FF0000"/>
              </w:rPr>
              <w:t xml:space="preserve"> are sold</w:t>
            </w:r>
            <w:r w:rsidR="00763E5B">
              <w:rPr>
                <w:rFonts w:cstheme="minorHAnsi"/>
                <w:color w:val="FF0000"/>
              </w:rPr>
              <w:t>,</w:t>
            </w:r>
            <w:r w:rsidR="00763E5B" w:rsidRPr="00EF37CD">
              <w:rPr>
                <w:rFonts w:cstheme="minorHAnsi"/>
                <w:color w:val="FF0000"/>
              </w:rPr>
              <w:t xml:space="preserve"> is an allowable and encouraged practice in the school food service industry.  This question receives a</w:t>
            </w:r>
            <w:r w:rsidR="00763E5B">
              <w:rPr>
                <w:rFonts w:cstheme="minorHAnsi"/>
                <w:color w:val="FF0000"/>
              </w:rPr>
              <w:t xml:space="preserve"> risk</w:t>
            </w:r>
            <w:r w:rsidR="00763E5B" w:rsidRPr="00EF37CD">
              <w:rPr>
                <w:rFonts w:cstheme="minorHAnsi"/>
                <w:color w:val="FF0000"/>
              </w:rPr>
              <w:t xml:space="preserve"> </w:t>
            </w:r>
            <w:r w:rsidR="00763E5B" w:rsidRPr="001C34DE">
              <w:rPr>
                <w:rFonts w:cstheme="minorHAnsi"/>
                <w:color w:val="FF0000"/>
              </w:rPr>
              <w:t>indicator because the USDA wants the State Agency to ensure the SFA</w:t>
            </w:r>
            <w:r w:rsidR="00763E5B">
              <w:rPr>
                <w:rFonts w:cstheme="minorHAnsi"/>
                <w:color w:val="FF0000"/>
              </w:rPr>
              <w:t xml:space="preserve">s are adequately </w:t>
            </w:r>
            <w:r w:rsidR="00763E5B" w:rsidRPr="001C34DE">
              <w:rPr>
                <w:rFonts w:cstheme="minorHAnsi"/>
                <w:color w:val="FF0000"/>
              </w:rPr>
              <w:t>covering their costs with the prices they are charging</w:t>
            </w:r>
            <w:r w:rsidR="00763E5B">
              <w:rPr>
                <w:rFonts w:cstheme="minorHAnsi"/>
                <w:color w:val="FF0000"/>
              </w:rPr>
              <w:t xml:space="preserve"> for the nonprogram foods</w:t>
            </w:r>
            <w:r w:rsidR="00763E5B" w:rsidRPr="001C34DE">
              <w:rPr>
                <w:rFonts w:cstheme="minorHAnsi"/>
                <w:color w:val="FF0000"/>
              </w:rPr>
              <w:t>.</w:t>
            </w:r>
            <w:r w:rsidR="00763E5B">
              <w:rPr>
                <w:rFonts w:cstheme="minorHAnsi"/>
                <w:color w:val="FF0000"/>
              </w:rPr>
              <w:t xml:space="preserve">  </w:t>
            </w:r>
          </w:p>
          <w:p w14:paraId="516EBB98" w14:textId="147B4A8E" w:rsidR="00BF1038" w:rsidRPr="00B566D3" w:rsidRDefault="00BF1038" w:rsidP="00BF1038">
            <w:pPr>
              <w:pStyle w:val="ListParagraph"/>
              <w:numPr>
                <w:ilvl w:val="0"/>
                <w:numId w:val="11"/>
              </w:numPr>
              <w:spacing w:after="60"/>
              <w:rPr>
                <w:rFonts w:cstheme="minorHAnsi"/>
                <w:color w:val="FF0000"/>
              </w:rPr>
            </w:pPr>
            <w:r w:rsidRPr="00B566D3">
              <w:rPr>
                <w:rFonts w:cstheme="minorHAnsi"/>
                <w:b/>
                <w:color w:val="FF0000"/>
              </w:rPr>
              <w:t xml:space="preserve">Yes </w:t>
            </w:r>
            <w:r w:rsidRPr="00B566D3">
              <w:rPr>
                <w:rFonts w:cstheme="minorHAnsi"/>
                <w:color w:val="FF0000"/>
              </w:rPr>
              <w:t>–SFA sell</w:t>
            </w:r>
            <w:r>
              <w:rPr>
                <w:rFonts w:cstheme="minorHAnsi"/>
                <w:color w:val="FF0000"/>
              </w:rPr>
              <w:t>s</w:t>
            </w:r>
            <w:r w:rsidR="003169C8">
              <w:rPr>
                <w:rFonts w:cstheme="minorHAnsi"/>
                <w:color w:val="FF0000"/>
              </w:rPr>
              <w:t xml:space="preserve"> </w:t>
            </w:r>
            <w:r w:rsidRPr="00B566D3">
              <w:rPr>
                <w:rFonts w:cstheme="minorHAnsi"/>
                <w:color w:val="FF0000"/>
              </w:rPr>
              <w:t xml:space="preserve">non-reimbursable foods </w:t>
            </w:r>
            <w:proofErr w:type="gramStart"/>
            <w:r w:rsidRPr="00B566D3">
              <w:rPr>
                <w:rFonts w:cstheme="minorHAnsi"/>
                <w:color w:val="FF0000"/>
              </w:rPr>
              <w:t>with the exception of</w:t>
            </w:r>
            <w:proofErr w:type="gramEnd"/>
            <w:r w:rsidRPr="00B566D3">
              <w:rPr>
                <w:rFonts w:cstheme="minorHAnsi"/>
                <w:color w:val="FF0000"/>
              </w:rPr>
              <w:t xml:space="preserve"> </w:t>
            </w:r>
            <w:r w:rsidR="00A16A2F">
              <w:rPr>
                <w:rFonts w:cstheme="minorHAnsi"/>
                <w:color w:val="FF0000"/>
              </w:rPr>
              <w:t>milk and adult meals</w:t>
            </w:r>
            <w:r w:rsidRPr="00B566D3">
              <w:rPr>
                <w:rFonts w:cstheme="minorHAnsi"/>
                <w:color w:val="FF0000"/>
              </w:rPr>
              <w:t xml:space="preserve">, </w:t>
            </w:r>
            <w:r>
              <w:rPr>
                <w:rFonts w:cstheme="minorHAnsi"/>
                <w:color w:val="FF0000"/>
              </w:rPr>
              <w:t xml:space="preserve">including </w:t>
            </w:r>
            <w:r>
              <w:rPr>
                <w:color w:val="FF0000"/>
              </w:rPr>
              <w:t>but not limited to</w:t>
            </w:r>
            <w:r w:rsidRPr="00B566D3">
              <w:rPr>
                <w:rFonts w:ascii="Calibri" w:eastAsiaTheme="minorHAnsi" w:hAnsi="Calibri" w:cs="Calibri"/>
                <w:color w:val="FF0000"/>
              </w:rPr>
              <w:t xml:space="preserve"> a la carte items sold in the cafeteria, </w:t>
            </w:r>
            <w:r w:rsidRPr="00EB5077">
              <w:rPr>
                <w:rFonts w:ascii="Calibri" w:eastAsiaTheme="minorHAnsi" w:hAnsi="Calibri" w:cs="Calibri"/>
                <w:b/>
                <w:color w:val="FF0000"/>
              </w:rPr>
              <w:t>seconds</w:t>
            </w:r>
            <w:r w:rsidR="00A336D1" w:rsidRPr="00EB5077">
              <w:rPr>
                <w:rFonts w:ascii="Calibri" w:eastAsiaTheme="minorHAnsi" w:hAnsi="Calibri" w:cs="Calibri"/>
                <w:b/>
                <w:color w:val="FF0000"/>
              </w:rPr>
              <w:t>*</w:t>
            </w:r>
            <w:r w:rsidRPr="00B566D3">
              <w:rPr>
                <w:rFonts w:ascii="Calibri" w:eastAsiaTheme="minorHAnsi" w:hAnsi="Calibri" w:cs="Calibri"/>
                <w:color w:val="FF0000"/>
              </w:rPr>
              <w:t xml:space="preserve">, </w:t>
            </w:r>
            <w:r w:rsidR="00641FF6">
              <w:rPr>
                <w:rFonts w:ascii="Calibri" w:eastAsiaTheme="minorHAnsi" w:hAnsi="Calibri" w:cs="Calibri"/>
                <w:color w:val="FF0000"/>
              </w:rPr>
              <w:t xml:space="preserve">catering, </w:t>
            </w:r>
            <w:r w:rsidRPr="00B566D3">
              <w:rPr>
                <w:rFonts w:ascii="Calibri" w:eastAsiaTheme="minorHAnsi" w:hAnsi="Calibri" w:cs="Calibri"/>
                <w:color w:val="FF0000"/>
              </w:rPr>
              <w:t>and other foods funded by the food service department that are sold in school stores, snack bars, and vending machines</w:t>
            </w:r>
          </w:p>
          <w:p w14:paraId="201FA6EA" w14:textId="5ECFC5B7" w:rsidR="00BF1038" w:rsidRPr="00DB72A7" w:rsidRDefault="00BF1038" w:rsidP="00BF1038">
            <w:pPr>
              <w:pStyle w:val="ListParagraph"/>
              <w:numPr>
                <w:ilvl w:val="0"/>
                <w:numId w:val="11"/>
              </w:numPr>
              <w:spacing w:after="60"/>
              <w:rPr>
                <w:rFonts w:ascii="Calibri" w:eastAsiaTheme="minorHAnsi" w:hAnsi="Calibri" w:cs="Calibri"/>
                <w:color w:val="FF0000"/>
              </w:rPr>
            </w:pPr>
            <w:r w:rsidRPr="00DB72A7">
              <w:rPr>
                <w:rFonts w:cstheme="minorHAnsi"/>
                <w:b/>
                <w:color w:val="FF0000"/>
              </w:rPr>
              <w:t xml:space="preserve">No </w:t>
            </w:r>
            <w:r w:rsidRPr="00DB72A7">
              <w:rPr>
                <w:rFonts w:cstheme="minorHAnsi"/>
                <w:color w:val="FF0000"/>
              </w:rPr>
              <w:t xml:space="preserve">–SFA does not offer and/or sell nonprogram foods </w:t>
            </w:r>
            <w:r>
              <w:rPr>
                <w:rFonts w:cstheme="minorHAnsi"/>
                <w:color w:val="FF0000"/>
              </w:rPr>
              <w:t xml:space="preserve">or </w:t>
            </w:r>
            <w:r w:rsidRPr="001040F6">
              <w:rPr>
                <w:rFonts w:cstheme="minorHAnsi"/>
                <w:b/>
                <w:color w:val="FF0000"/>
                <w:u w:val="single"/>
              </w:rPr>
              <w:t>only</w:t>
            </w:r>
            <w:r>
              <w:rPr>
                <w:rFonts w:cstheme="minorHAnsi"/>
                <w:color w:val="FF0000"/>
              </w:rPr>
              <w:t xml:space="preserve"> offers adult meals and/or extra milks with no other nonprogram foods</w:t>
            </w:r>
          </w:p>
          <w:p w14:paraId="2181A0B0" w14:textId="7AA2474A" w:rsidR="00BF1038" w:rsidRDefault="00BF1038" w:rsidP="00BF1038">
            <w:pPr>
              <w:ind w:left="29"/>
              <w:rPr>
                <w:rFonts w:cstheme="minorHAnsi"/>
                <w:color w:val="FF0000"/>
              </w:rPr>
            </w:pPr>
            <w:r>
              <w:rPr>
                <w:rFonts w:cstheme="minorHAnsi"/>
                <w:color w:val="FF0000"/>
              </w:rPr>
              <w:t>SFAs were asked to fill out an</w:t>
            </w:r>
            <w:r w:rsidR="003169C8">
              <w:rPr>
                <w:rFonts w:cstheme="minorHAnsi"/>
                <w:color w:val="FF0000"/>
              </w:rPr>
              <w:t xml:space="preserve"> </w:t>
            </w:r>
            <w:hyperlink r:id="rId19" w:history="1">
              <w:r w:rsidR="003169C8" w:rsidRPr="003169C8">
                <w:rPr>
                  <w:rStyle w:val="Hyperlink"/>
                  <w:rFonts w:cstheme="minorHAnsi"/>
                  <w:i/>
                </w:rPr>
                <w:t>info gathering</w:t>
              </w:r>
            </w:hyperlink>
            <w:r w:rsidR="003169C8">
              <w:rPr>
                <w:rFonts w:cstheme="minorHAnsi"/>
                <w:i/>
                <w:color w:val="FF0000"/>
              </w:rPr>
              <w:t xml:space="preserve"> form</w:t>
            </w:r>
            <w:r>
              <w:rPr>
                <w:rFonts w:cstheme="minorHAnsi"/>
                <w:color w:val="FF0000"/>
              </w:rPr>
              <w:t xml:space="preserve"> that included nonprogram foods that are currently being offered and/or sold at their district. </w:t>
            </w:r>
          </w:p>
          <w:p w14:paraId="64154B3A" w14:textId="4D0C61E0" w:rsidR="00A336D1" w:rsidRPr="00EB5077" w:rsidRDefault="00A336D1" w:rsidP="00545876">
            <w:pPr>
              <w:spacing w:before="60"/>
              <w:ind w:left="29"/>
              <w:rPr>
                <w:rFonts w:cstheme="minorHAnsi"/>
                <w:b/>
                <w:i/>
                <w:color w:val="FF0000"/>
              </w:rPr>
            </w:pPr>
            <w:r w:rsidRPr="00EB5077">
              <w:rPr>
                <w:rFonts w:cstheme="minorHAnsi"/>
                <w:b/>
                <w:i/>
                <w:color w:val="FF0000"/>
              </w:rPr>
              <w:t>*</w:t>
            </w:r>
            <w:proofErr w:type="gramStart"/>
            <w:r w:rsidR="00545876">
              <w:rPr>
                <w:rFonts w:cstheme="minorHAnsi"/>
                <w:b/>
                <w:i/>
                <w:color w:val="FF0000"/>
              </w:rPr>
              <w:t>s</w:t>
            </w:r>
            <w:r w:rsidRPr="00EB5077">
              <w:rPr>
                <w:rFonts w:cstheme="minorHAnsi"/>
                <w:b/>
                <w:i/>
                <w:color w:val="FF0000"/>
              </w:rPr>
              <w:t>econds</w:t>
            </w:r>
            <w:proofErr w:type="gramEnd"/>
            <w:r w:rsidRPr="00EB5077">
              <w:rPr>
                <w:rFonts w:cstheme="minorHAnsi"/>
                <w:b/>
                <w:i/>
                <w:color w:val="FF0000"/>
              </w:rPr>
              <w:t xml:space="preserve"> – entrée or side items sold as a la carte/Smart Snacks</w:t>
            </w:r>
            <w:r w:rsidR="00A9632A">
              <w:rPr>
                <w:rFonts w:cstheme="minorHAnsi"/>
                <w:b/>
                <w:i/>
                <w:color w:val="FF0000"/>
              </w:rPr>
              <w:t xml:space="preserve">, this does not include unplanned leftovers that are </w:t>
            </w:r>
            <w:r w:rsidRPr="00EB5077">
              <w:rPr>
                <w:rFonts w:cstheme="minorHAnsi"/>
                <w:b/>
                <w:i/>
                <w:color w:val="FF0000"/>
              </w:rPr>
              <w:t xml:space="preserve">occasionally </w:t>
            </w:r>
            <w:r w:rsidR="00EB5077">
              <w:rPr>
                <w:rFonts w:cstheme="minorHAnsi"/>
                <w:b/>
                <w:i/>
                <w:color w:val="FF0000"/>
              </w:rPr>
              <w:t>offer</w:t>
            </w:r>
            <w:r w:rsidR="00A9632A">
              <w:rPr>
                <w:rFonts w:cstheme="minorHAnsi"/>
                <w:b/>
                <w:i/>
                <w:color w:val="FF0000"/>
              </w:rPr>
              <w:t>ed to students</w:t>
            </w:r>
            <w:r w:rsidR="000E20DB" w:rsidRPr="00EB5077">
              <w:rPr>
                <w:rFonts w:cstheme="minorHAnsi"/>
                <w:b/>
                <w:i/>
                <w:color w:val="FF0000"/>
              </w:rPr>
              <w:t xml:space="preserve">. </w:t>
            </w:r>
          </w:p>
        </w:tc>
      </w:tr>
      <w:tr w:rsidR="00BF1038" w:rsidRPr="00AA1945" w14:paraId="20FB2D69" w14:textId="77777777" w:rsidTr="00B00F55">
        <w:trPr>
          <w:trHeight w:val="1880"/>
        </w:trPr>
        <w:tc>
          <w:tcPr>
            <w:tcW w:w="628" w:type="dxa"/>
            <w:shd w:val="clear" w:color="auto" w:fill="auto"/>
          </w:tcPr>
          <w:p w14:paraId="6A1698F7" w14:textId="77777777" w:rsidR="00BF1038" w:rsidRDefault="00BF1038" w:rsidP="00B00F55">
            <w:pPr>
              <w:spacing w:beforeLines="60" w:before="144" w:afterLines="60" w:after="144"/>
              <w:rPr>
                <w:rFonts w:cstheme="minorHAnsi"/>
              </w:rPr>
            </w:pPr>
            <w:r>
              <w:rPr>
                <w:rFonts w:cstheme="minorHAnsi"/>
              </w:rPr>
              <w:lastRenderedPageBreak/>
              <w:t>710.</w:t>
            </w:r>
          </w:p>
        </w:tc>
        <w:tc>
          <w:tcPr>
            <w:tcW w:w="8936" w:type="dxa"/>
            <w:gridSpan w:val="3"/>
          </w:tcPr>
          <w:p w14:paraId="7FF727B3" w14:textId="0D91DCAF" w:rsidR="00BF1038" w:rsidRDefault="00BF1038" w:rsidP="00B00F55">
            <w:pPr>
              <w:spacing w:beforeLines="60" w:before="144" w:afterLines="60" w:after="144"/>
              <w:rPr>
                <w:rFonts w:eastAsia="Times New Roman" w:cstheme="minorHAnsi"/>
                <w:color w:val="000000"/>
              </w:rPr>
            </w:pPr>
            <w:r>
              <w:rPr>
                <w:rFonts w:eastAsia="Times New Roman" w:cstheme="minorHAnsi"/>
                <w:color w:val="000000"/>
              </w:rPr>
              <w:t xml:space="preserve">Question: </w:t>
            </w:r>
            <w:r w:rsidRPr="00C93397">
              <w:rPr>
                <w:rFonts w:eastAsia="Times New Roman" w:cstheme="minorHAnsi"/>
                <w:color w:val="000000"/>
              </w:rPr>
              <w:t>If the SFA provided adult meals for teachers and/or parents, did it obtain full payment from the adults receiving the meals and/or recover the cost of those meals by some other m</w:t>
            </w:r>
            <w:r w:rsidR="00FF5E0C">
              <w:rPr>
                <w:rFonts w:eastAsia="Times New Roman" w:cstheme="minorHAnsi"/>
                <w:color w:val="000000"/>
              </w:rPr>
              <w:t>eans (general fund transfer</w:t>
            </w:r>
            <w:r w:rsidRPr="00C93397">
              <w:rPr>
                <w:rFonts w:eastAsia="Times New Roman" w:cstheme="minorHAnsi"/>
                <w:color w:val="000000"/>
              </w:rPr>
              <w:t>)?</w:t>
            </w:r>
          </w:p>
          <w:p w14:paraId="47BAF46A" w14:textId="77777777" w:rsidR="00BF1038" w:rsidRDefault="00BF1038" w:rsidP="00B00F55">
            <w:pPr>
              <w:ind w:left="29"/>
              <w:rPr>
                <w:rFonts w:cstheme="minorHAnsi"/>
                <w:b/>
                <w:color w:val="FF0000"/>
              </w:rPr>
            </w:pPr>
            <w:r>
              <w:rPr>
                <w:rFonts w:cstheme="minorHAnsi"/>
                <w:b/>
                <w:color w:val="FF0000"/>
              </w:rPr>
              <w:t xml:space="preserve">Tips: </w:t>
            </w:r>
          </w:p>
          <w:p w14:paraId="6A3F600B" w14:textId="78F95A0E" w:rsidR="00BF1038" w:rsidRPr="001C10C9" w:rsidRDefault="00BF1038" w:rsidP="00BF1038">
            <w:pPr>
              <w:pStyle w:val="ListParagraph"/>
              <w:numPr>
                <w:ilvl w:val="0"/>
                <w:numId w:val="12"/>
              </w:numPr>
              <w:rPr>
                <w:rFonts w:cstheme="minorHAnsi"/>
                <w:b/>
                <w:color w:val="FF0000"/>
              </w:rPr>
            </w:pPr>
            <w:r w:rsidRPr="00DB72A7">
              <w:rPr>
                <w:rFonts w:cstheme="minorHAnsi"/>
                <w:b/>
                <w:color w:val="FF0000"/>
              </w:rPr>
              <w:t>Yes</w:t>
            </w:r>
            <w:r>
              <w:rPr>
                <w:rFonts w:cstheme="minorHAnsi"/>
                <w:b/>
                <w:color w:val="FF0000"/>
              </w:rPr>
              <w:t xml:space="preserve"> </w:t>
            </w:r>
            <w:r w:rsidRPr="00DB72A7">
              <w:rPr>
                <w:rFonts w:cstheme="minorHAnsi"/>
                <w:color w:val="FF0000"/>
              </w:rPr>
              <w:t xml:space="preserve">–SFA charges </w:t>
            </w:r>
            <w:proofErr w:type="gramStart"/>
            <w:r w:rsidRPr="00DB72A7">
              <w:rPr>
                <w:rFonts w:cstheme="minorHAnsi"/>
                <w:color w:val="FF0000"/>
              </w:rPr>
              <w:t>adults</w:t>
            </w:r>
            <w:proofErr w:type="gramEnd"/>
            <w:r w:rsidRPr="00DB72A7">
              <w:rPr>
                <w:rFonts w:cstheme="minorHAnsi"/>
                <w:color w:val="FF0000"/>
              </w:rPr>
              <w:t xml:space="preserve"> full price</w:t>
            </w:r>
            <w:r>
              <w:rPr>
                <w:rFonts w:cstheme="minorHAnsi"/>
                <w:color w:val="FF0000"/>
              </w:rPr>
              <w:t xml:space="preserve"> </w:t>
            </w:r>
            <w:r w:rsidRPr="00DB72A7">
              <w:rPr>
                <w:rFonts w:cstheme="minorHAnsi"/>
                <w:color w:val="FF0000"/>
              </w:rPr>
              <w:t>or rec</w:t>
            </w:r>
            <w:r>
              <w:rPr>
                <w:rFonts w:cstheme="minorHAnsi"/>
                <w:color w:val="FF0000"/>
              </w:rPr>
              <w:t>eives</w:t>
            </w:r>
            <w:r w:rsidRPr="00DB72A7">
              <w:rPr>
                <w:rFonts w:cstheme="minorHAnsi"/>
                <w:color w:val="FF0000"/>
              </w:rPr>
              <w:t xml:space="preserve"> a general fund transfer to cover </w:t>
            </w:r>
            <w:r>
              <w:rPr>
                <w:rFonts w:cstheme="minorHAnsi"/>
                <w:color w:val="FF0000"/>
              </w:rPr>
              <w:t>meals served to adults, please indicate in the comment section how the cost is fully recovered</w:t>
            </w:r>
            <w:r w:rsidR="001C10C9">
              <w:rPr>
                <w:rFonts w:cstheme="minorHAnsi"/>
                <w:color w:val="FF0000"/>
              </w:rPr>
              <w:t>.</w:t>
            </w:r>
            <w:r w:rsidR="00CA6AB0">
              <w:rPr>
                <w:rFonts w:cstheme="minorHAnsi"/>
                <w:color w:val="FF0000"/>
              </w:rPr>
              <w:t xml:space="preserve"> (</w:t>
            </w:r>
            <w:proofErr w:type="gramStart"/>
            <w:r w:rsidR="00CA6AB0">
              <w:rPr>
                <w:rFonts w:cstheme="minorHAnsi"/>
                <w:color w:val="FF0000"/>
              </w:rPr>
              <w:t>see</w:t>
            </w:r>
            <w:proofErr w:type="gramEnd"/>
            <w:r w:rsidR="00CA6AB0">
              <w:rPr>
                <w:rFonts w:cstheme="minorHAnsi"/>
                <w:color w:val="FF0000"/>
              </w:rPr>
              <w:t xml:space="preserve"> 711 for more information on pricing for SSO)</w:t>
            </w:r>
          </w:p>
          <w:p w14:paraId="5F376FCA" w14:textId="088B77DF" w:rsidR="001C10C9" w:rsidRPr="001C10C9" w:rsidRDefault="001C10C9" w:rsidP="001C10C9">
            <w:pPr>
              <w:ind w:left="1109"/>
              <w:rPr>
                <w:rFonts w:cstheme="minorHAnsi"/>
                <w:color w:val="FF0000"/>
              </w:rPr>
            </w:pPr>
            <w:r>
              <w:rPr>
                <w:rFonts w:cstheme="minorHAnsi"/>
                <w:color w:val="FF0000"/>
              </w:rPr>
              <w:t>Such as</w:t>
            </w:r>
            <w:r w:rsidRPr="001C10C9">
              <w:rPr>
                <w:rFonts w:cstheme="minorHAnsi"/>
                <w:color w:val="FF0000"/>
              </w:rPr>
              <w:t>…</w:t>
            </w:r>
          </w:p>
          <w:p w14:paraId="1C75CDD2" w14:textId="0816231F" w:rsidR="001C10C9" w:rsidRDefault="0005012D" w:rsidP="001C10C9">
            <w:pPr>
              <w:ind w:left="1440"/>
              <w:rPr>
                <w:rFonts w:cstheme="minorHAnsi"/>
                <w:color w:val="FF0000"/>
              </w:rPr>
            </w:pPr>
            <w:r>
              <w:rPr>
                <w:rFonts w:cstheme="minorHAnsi"/>
                <w:color w:val="FF0000"/>
              </w:rPr>
              <w:t xml:space="preserve">Adult meals are tracked through the </w:t>
            </w:r>
            <w:r w:rsidR="000E4BED">
              <w:rPr>
                <w:rFonts w:cstheme="minorHAnsi"/>
                <w:color w:val="FF0000"/>
              </w:rPr>
              <w:t>p</w:t>
            </w:r>
            <w:r>
              <w:rPr>
                <w:rFonts w:cstheme="minorHAnsi"/>
                <w:color w:val="FF0000"/>
              </w:rPr>
              <w:t xml:space="preserve">oint of </w:t>
            </w:r>
            <w:r w:rsidR="000E4BED">
              <w:rPr>
                <w:rFonts w:cstheme="minorHAnsi"/>
                <w:color w:val="FF0000"/>
              </w:rPr>
              <w:t>s</w:t>
            </w:r>
            <w:r>
              <w:rPr>
                <w:rFonts w:cstheme="minorHAnsi"/>
                <w:color w:val="FF0000"/>
              </w:rPr>
              <w:t xml:space="preserve">ale (POS) and </w:t>
            </w:r>
            <w:r w:rsidR="00A44ED7">
              <w:rPr>
                <w:rFonts w:cstheme="minorHAnsi"/>
                <w:color w:val="FF0000"/>
              </w:rPr>
              <w:t>charged the following prices</w:t>
            </w:r>
            <w:r w:rsidR="000E4BED">
              <w:rPr>
                <w:rFonts w:cstheme="minorHAnsi"/>
                <w:color w:val="FF0000"/>
              </w:rPr>
              <w:t xml:space="preserve">, Adult </w:t>
            </w:r>
            <w:r w:rsidR="001C10C9" w:rsidRPr="001C10C9">
              <w:rPr>
                <w:rFonts w:cstheme="minorHAnsi"/>
                <w:color w:val="FF0000"/>
              </w:rPr>
              <w:t>Breakfast $</w:t>
            </w:r>
            <w:proofErr w:type="spellStart"/>
            <w:proofErr w:type="gramStart"/>
            <w:r w:rsidR="00C82349">
              <w:rPr>
                <w:rFonts w:cstheme="minorHAnsi"/>
                <w:color w:val="FF0000"/>
              </w:rPr>
              <w:t>x.xx</w:t>
            </w:r>
            <w:proofErr w:type="spellEnd"/>
            <w:proofErr w:type="gramEnd"/>
            <w:r w:rsidR="001C10C9">
              <w:rPr>
                <w:rFonts w:cstheme="minorHAnsi"/>
                <w:color w:val="FF0000"/>
              </w:rPr>
              <w:t xml:space="preserve"> and </w:t>
            </w:r>
            <w:r w:rsidR="000E4BED">
              <w:rPr>
                <w:rFonts w:cstheme="minorHAnsi"/>
                <w:color w:val="FF0000"/>
              </w:rPr>
              <w:t xml:space="preserve">Adult </w:t>
            </w:r>
            <w:r w:rsidR="001C10C9" w:rsidRPr="001C10C9">
              <w:rPr>
                <w:rFonts w:cstheme="minorHAnsi"/>
                <w:color w:val="FF0000"/>
              </w:rPr>
              <w:t>Lunch $</w:t>
            </w:r>
            <w:proofErr w:type="spellStart"/>
            <w:r w:rsidR="00C82349">
              <w:rPr>
                <w:rFonts w:cstheme="minorHAnsi"/>
                <w:color w:val="FF0000"/>
              </w:rPr>
              <w:t>x.xx</w:t>
            </w:r>
            <w:proofErr w:type="spellEnd"/>
            <w:r w:rsidR="001C10C9" w:rsidRPr="001C10C9">
              <w:rPr>
                <w:rFonts w:cstheme="minorHAnsi"/>
                <w:color w:val="FF0000"/>
              </w:rPr>
              <w:t xml:space="preserve"> </w:t>
            </w:r>
          </w:p>
          <w:p w14:paraId="374D0D32" w14:textId="7C83740E" w:rsidR="00A44ED7" w:rsidRPr="001C10C9" w:rsidRDefault="00A44ED7" w:rsidP="00C82349">
            <w:pPr>
              <w:spacing w:before="60"/>
              <w:ind w:left="1440"/>
              <w:rPr>
                <w:rFonts w:cstheme="minorHAnsi"/>
                <w:color w:val="FF0000"/>
              </w:rPr>
            </w:pPr>
            <w:r>
              <w:rPr>
                <w:rFonts w:cstheme="minorHAnsi"/>
                <w:color w:val="FF0000"/>
              </w:rPr>
              <w:t xml:space="preserve">Revenue from adult meals </w:t>
            </w:r>
            <w:r w:rsidR="000E4BED">
              <w:rPr>
                <w:rFonts w:cstheme="minorHAnsi"/>
                <w:color w:val="FF0000"/>
              </w:rPr>
              <w:t>is</w:t>
            </w:r>
            <w:r>
              <w:rPr>
                <w:rFonts w:cstheme="minorHAnsi"/>
                <w:color w:val="FF0000"/>
              </w:rPr>
              <w:t xml:space="preserve"> deposited into the nonprofit food service account (Fund 21) and tracked separately from program revenue. </w:t>
            </w:r>
          </w:p>
          <w:p w14:paraId="6A9009C6" w14:textId="2D7005B7" w:rsidR="001C10C9" w:rsidRPr="001C10C9" w:rsidRDefault="00053680" w:rsidP="00053680">
            <w:pPr>
              <w:ind w:left="2160"/>
              <w:rPr>
                <w:rFonts w:cstheme="minorHAnsi"/>
                <w:color w:val="FF0000"/>
              </w:rPr>
            </w:pPr>
            <w:r>
              <w:rPr>
                <w:rFonts w:cstheme="minorHAnsi"/>
                <w:color w:val="FF0000"/>
              </w:rPr>
              <w:t>a</w:t>
            </w:r>
            <w:r w:rsidR="001C10C9" w:rsidRPr="001C10C9">
              <w:rPr>
                <w:rFonts w:cstheme="minorHAnsi"/>
                <w:color w:val="FF0000"/>
              </w:rPr>
              <w:t>nd/</w:t>
            </w:r>
            <w:r>
              <w:rPr>
                <w:rFonts w:cstheme="minorHAnsi"/>
                <w:color w:val="FF0000"/>
              </w:rPr>
              <w:t>o</w:t>
            </w:r>
            <w:r w:rsidR="001C10C9" w:rsidRPr="001C10C9">
              <w:rPr>
                <w:rFonts w:cstheme="minorHAnsi"/>
                <w:color w:val="FF0000"/>
              </w:rPr>
              <w:t>r</w:t>
            </w:r>
          </w:p>
          <w:p w14:paraId="681BE93B" w14:textId="759A8802" w:rsidR="001C10C9" w:rsidRPr="001C10C9" w:rsidRDefault="00A44ED7" w:rsidP="001C10C9">
            <w:pPr>
              <w:ind w:left="1440"/>
              <w:rPr>
                <w:rFonts w:cstheme="minorHAnsi"/>
                <w:color w:val="FF0000"/>
              </w:rPr>
            </w:pPr>
            <w:r>
              <w:rPr>
                <w:rFonts w:cstheme="minorHAnsi"/>
                <w:color w:val="FF0000"/>
              </w:rPr>
              <w:t xml:space="preserve">Adult meals are tracked through the Point of Sale (POS).  A general fund transfer is made annually to cover the meals served, </w:t>
            </w:r>
            <w:r w:rsidR="001C10C9" w:rsidRPr="001C10C9">
              <w:rPr>
                <w:rFonts w:cstheme="minorHAnsi"/>
                <w:color w:val="FF0000"/>
              </w:rPr>
              <w:t>$</w:t>
            </w:r>
            <w:proofErr w:type="spellStart"/>
            <w:proofErr w:type="gramStart"/>
            <w:r w:rsidR="00C82349">
              <w:rPr>
                <w:rFonts w:cstheme="minorHAnsi"/>
                <w:color w:val="FF0000"/>
              </w:rPr>
              <w:t>x.xx</w:t>
            </w:r>
            <w:proofErr w:type="spellEnd"/>
            <w:proofErr w:type="gramEnd"/>
            <w:r w:rsidR="001C10C9" w:rsidRPr="001C10C9">
              <w:rPr>
                <w:rFonts w:cstheme="minorHAnsi"/>
                <w:color w:val="FF0000"/>
              </w:rPr>
              <w:t xml:space="preserve"> per </w:t>
            </w:r>
            <w:r w:rsidR="002F3A0C" w:rsidRPr="00053680">
              <w:rPr>
                <w:rFonts w:cstheme="minorHAnsi"/>
                <w:b/>
                <w:color w:val="FF0000"/>
              </w:rPr>
              <w:t>*</w:t>
            </w:r>
            <w:r w:rsidR="001C10C9" w:rsidRPr="00053680">
              <w:rPr>
                <w:rFonts w:cstheme="minorHAnsi"/>
                <w:b/>
                <w:color w:val="FF0000"/>
              </w:rPr>
              <w:t>staff</w:t>
            </w:r>
            <w:r w:rsidR="001C10C9" w:rsidRPr="001C10C9">
              <w:rPr>
                <w:rFonts w:cstheme="minorHAnsi"/>
                <w:color w:val="FF0000"/>
              </w:rPr>
              <w:t xml:space="preserve"> breakfast and $</w:t>
            </w:r>
            <w:proofErr w:type="spellStart"/>
            <w:r w:rsidR="00C82349">
              <w:rPr>
                <w:rFonts w:cstheme="minorHAnsi"/>
                <w:color w:val="FF0000"/>
              </w:rPr>
              <w:t>x.xx</w:t>
            </w:r>
            <w:proofErr w:type="spellEnd"/>
            <w:r w:rsidR="001C10C9" w:rsidRPr="001C10C9">
              <w:rPr>
                <w:rFonts w:cstheme="minorHAnsi"/>
                <w:color w:val="FF0000"/>
              </w:rPr>
              <w:t xml:space="preserve"> per staff lunch</w:t>
            </w:r>
            <w:r>
              <w:rPr>
                <w:rFonts w:cstheme="minorHAnsi"/>
                <w:color w:val="FF0000"/>
              </w:rPr>
              <w:t xml:space="preserve">.  </w:t>
            </w:r>
            <w:r w:rsidR="000E4BED">
              <w:rPr>
                <w:rFonts w:cstheme="minorHAnsi"/>
                <w:color w:val="FF0000"/>
              </w:rPr>
              <w:t xml:space="preserve">The following calculation is an estimate of the general fund transfer that is made to cover the costs of adult meals </w:t>
            </w:r>
            <w:r w:rsidR="001C10C9" w:rsidRPr="001C10C9">
              <w:rPr>
                <w:rFonts w:cstheme="minorHAnsi"/>
                <w:color w:val="FF0000"/>
              </w:rPr>
              <w:t>(</w:t>
            </w:r>
            <w:r w:rsidR="00C82349">
              <w:rPr>
                <w:rFonts w:cstheme="minorHAnsi"/>
                <w:color w:val="FF0000"/>
              </w:rPr>
              <w:t>___</w:t>
            </w:r>
            <w:r w:rsidR="001C10C9" w:rsidRPr="001C10C9">
              <w:rPr>
                <w:rFonts w:cstheme="minorHAnsi"/>
                <w:color w:val="FF0000"/>
              </w:rPr>
              <w:t xml:space="preserve"> x $</w:t>
            </w:r>
            <w:proofErr w:type="spellStart"/>
            <w:proofErr w:type="gramStart"/>
            <w:r w:rsidR="00C82349">
              <w:rPr>
                <w:rFonts w:cstheme="minorHAnsi"/>
                <w:color w:val="FF0000"/>
              </w:rPr>
              <w:t>x</w:t>
            </w:r>
            <w:r w:rsidR="001C10C9" w:rsidRPr="001C10C9">
              <w:rPr>
                <w:rFonts w:cstheme="minorHAnsi"/>
                <w:color w:val="FF0000"/>
              </w:rPr>
              <w:t>.</w:t>
            </w:r>
            <w:r w:rsidR="00C82349">
              <w:rPr>
                <w:rFonts w:cstheme="minorHAnsi"/>
                <w:color w:val="FF0000"/>
              </w:rPr>
              <w:t>xx</w:t>
            </w:r>
            <w:proofErr w:type="spellEnd"/>
            <w:proofErr w:type="gramEnd"/>
            <w:r w:rsidR="001C10C9" w:rsidRPr="001C10C9">
              <w:rPr>
                <w:rFonts w:cstheme="minorHAnsi"/>
                <w:color w:val="FF0000"/>
              </w:rPr>
              <w:t xml:space="preserve"> = $</w:t>
            </w:r>
            <w:r w:rsidR="00C82349">
              <w:rPr>
                <w:rFonts w:cstheme="minorHAnsi"/>
                <w:color w:val="FF0000"/>
              </w:rPr>
              <w:t>xxx</w:t>
            </w:r>
            <w:r w:rsidR="001C10C9" w:rsidRPr="001C10C9">
              <w:rPr>
                <w:rFonts w:cstheme="minorHAnsi"/>
                <w:color w:val="FF0000"/>
              </w:rPr>
              <w:t xml:space="preserve"> and </w:t>
            </w:r>
            <w:r w:rsidR="00C82349" w:rsidRPr="001C10C9">
              <w:rPr>
                <w:rFonts w:cstheme="minorHAnsi"/>
                <w:color w:val="FF0000"/>
              </w:rPr>
              <w:t>(</w:t>
            </w:r>
            <w:r w:rsidR="00C82349">
              <w:rPr>
                <w:rFonts w:cstheme="minorHAnsi"/>
                <w:color w:val="FF0000"/>
              </w:rPr>
              <w:t>___</w:t>
            </w:r>
            <w:r w:rsidR="00C82349" w:rsidRPr="001C10C9">
              <w:rPr>
                <w:rFonts w:cstheme="minorHAnsi"/>
                <w:color w:val="FF0000"/>
              </w:rPr>
              <w:t xml:space="preserve"> x $</w:t>
            </w:r>
            <w:proofErr w:type="spellStart"/>
            <w:r w:rsidR="00C82349">
              <w:rPr>
                <w:rFonts w:cstheme="minorHAnsi"/>
                <w:color w:val="FF0000"/>
              </w:rPr>
              <w:t>x</w:t>
            </w:r>
            <w:r w:rsidR="00C82349" w:rsidRPr="001C10C9">
              <w:rPr>
                <w:rFonts w:cstheme="minorHAnsi"/>
                <w:color w:val="FF0000"/>
              </w:rPr>
              <w:t>.</w:t>
            </w:r>
            <w:r w:rsidR="00C82349">
              <w:rPr>
                <w:rFonts w:cstheme="minorHAnsi"/>
                <w:color w:val="FF0000"/>
              </w:rPr>
              <w:t>xx</w:t>
            </w:r>
            <w:proofErr w:type="spellEnd"/>
            <w:r w:rsidR="00C82349" w:rsidRPr="001C10C9">
              <w:rPr>
                <w:rFonts w:cstheme="minorHAnsi"/>
                <w:color w:val="FF0000"/>
              </w:rPr>
              <w:t xml:space="preserve"> = $</w:t>
            </w:r>
            <w:r w:rsidR="00C82349">
              <w:rPr>
                <w:rFonts w:cstheme="minorHAnsi"/>
                <w:color w:val="FF0000"/>
              </w:rPr>
              <w:t>xxx</w:t>
            </w:r>
            <w:r w:rsidR="00C82349" w:rsidRPr="001C10C9">
              <w:rPr>
                <w:rFonts w:cstheme="minorHAnsi"/>
                <w:color w:val="FF0000"/>
              </w:rPr>
              <w:t xml:space="preserve"> </w:t>
            </w:r>
            <w:r w:rsidR="001C10C9">
              <w:rPr>
                <w:rFonts w:cstheme="minorHAnsi"/>
                <w:color w:val="FF0000"/>
              </w:rPr>
              <w:t>with a of</w:t>
            </w:r>
            <w:r w:rsidR="001C10C9" w:rsidRPr="001C10C9">
              <w:rPr>
                <w:rFonts w:cstheme="minorHAnsi"/>
                <w:color w:val="FF0000"/>
              </w:rPr>
              <w:t xml:space="preserve"> total of $</w:t>
            </w:r>
            <w:proofErr w:type="spellStart"/>
            <w:r w:rsidR="00C82349">
              <w:rPr>
                <w:rFonts w:cstheme="minorHAnsi"/>
                <w:color w:val="FF0000"/>
              </w:rPr>
              <w:t>x,xxx</w:t>
            </w:r>
            <w:proofErr w:type="spellEnd"/>
            <w:r w:rsidR="001C10C9" w:rsidRPr="001C10C9">
              <w:rPr>
                <w:rFonts w:cstheme="minorHAnsi"/>
                <w:color w:val="FF0000"/>
              </w:rPr>
              <w:t xml:space="preserve"> general fund transfer</w:t>
            </w:r>
            <w:r w:rsidR="000E4BED">
              <w:rPr>
                <w:rFonts w:cstheme="minorHAnsi"/>
                <w:color w:val="FF0000"/>
              </w:rPr>
              <w:t>)</w:t>
            </w:r>
          </w:p>
          <w:p w14:paraId="1C548886" w14:textId="6C6CB981" w:rsidR="00BF1038" w:rsidRPr="00DB72A7" w:rsidRDefault="00BF1038" w:rsidP="00BF1038">
            <w:pPr>
              <w:pStyle w:val="ListParagraph"/>
              <w:numPr>
                <w:ilvl w:val="0"/>
                <w:numId w:val="12"/>
              </w:numPr>
              <w:spacing w:after="60"/>
              <w:contextualSpacing w:val="0"/>
              <w:rPr>
                <w:rFonts w:cstheme="minorHAnsi"/>
                <w:color w:val="FF0000"/>
              </w:rPr>
            </w:pPr>
            <w:r>
              <w:rPr>
                <w:rFonts w:cstheme="minorHAnsi"/>
                <w:b/>
                <w:color w:val="FF0000"/>
              </w:rPr>
              <w:t xml:space="preserve">No </w:t>
            </w:r>
            <w:r w:rsidRPr="00DB72A7">
              <w:rPr>
                <w:rFonts w:cstheme="minorHAnsi"/>
                <w:color w:val="FF0000"/>
              </w:rPr>
              <w:t xml:space="preserve">–SFA does not </w:t>
            </w:r>
            <w:r>
              <w:rPr>
                <w:rFonts w:cstheme="minorHAnsi"/>
                <w:color w:val="FF0000"/>
              </w:rPr>
              <w:t xml:space="preserve">charge a full price or </w:t>
            </w:r>
            <w:r w:rsidRPr="00DB72A7">
              <w:rPr>
                <w:rFonts w:cstheme="minorHAnsi"/>
                <w:color w:val="FF0000"/>
              </w:rPr>
              <w:t>receive a general fund transfer to cover</w:t>
            </w:r>
            <w:r>
              <w:rPr>
                <w:rFonts w:cstheme="minorHAnsi"/>
                <w:color w:val="FF0000"/>
              </w:rPr>
              <w:t xml:space="preserve"> meals served to adults</w:t>
            </w:r>
            <w:r w:rsidRPr="00DB72A7">
              <w:rPr>
                <w:rFonts w:cstheme="minorHAnsi"/>
                <w:color w:val="FF0000"/>
              </w:rPr>
              <w:t xml:space="preserve"> </w:t>
            </w:r>
          </w:p>
          <w:p w14:paraId="72064030" w14:textId="310D802C" w:rsidR="00BF1038" w:rsidRDefault="00BF1038" w:rsidP="00BF1038">
            <w:pPr>
              <w:pStyle w:val="ListParagraph"/>
              <w:numPr>
                <w:ilvl w:val="0"/>
                <w:numId w:val="12"/>
              </w:numPr>
              <w:spacing w:after="60"/>
              <w:contextualSpacing w:val="0"/>
              <w:rPr>
                <w:rFonts w:cstheme="minorHAnsi"/>
                <w:color w:val="FF0000"/>
              </w:rPr>
            </w:pPr>
            <w:r w:rsidRPr="00DB72A7">
              <w:rPr>
                <w:rFonts w:cstheme="minorHAnsi"/>
                <w:b/>
                <w:color w:val="FF0000"/>
              </w:rPr>
              <w:t>N/A</w:t>
            </w:r>
            <w:r>
              <w:rPr>
                <w:rFonts w:cstheme="minorHAnsi"/>
                <w:b/>
                <w:color w:val="FF0000"/>
              </w:rPr>
              <w:t xml:space="preserve"> </w:t>
            </w:r>
            <w:r w:rsidRPr="00DB72A7">
              <w:rPr>
                <w:rFonts w:cstheme="minorHAnsi"/>
                <w:color w:val="FF0000"/>
              </w:rPr>
              <w:t>–SFA does not offer or sell meals to adults</w:t>
            </w:r>
            <w:r w:rsidRPr="00277275">
              <w:rPr>
                <w:rFonts w:cstheme="minorHAnsi"/>
                <w:color w:val="FF0000"/>
              </w:rPr>
              <w:t xml:space="preserve"> </w:t>
            </w:r>
          </w:p>
          <w:p w14:paraId="4F6641E7" w14:textId="490C3B09" w:rsidR="0005012D" w:rsidRPr="00AA1945" w:rsidRDefault="002F3A0C" w:rsidP="00B00F55">
            <w:pPr>
              <w:spacing w:beforeLines="60" w:before="144" w:afterLines="60" w:after="144"/>
              <w:rPr>
                <w:rFonts w:ascii="Calibri" w:eastAsiaTheme="minorHAnsi" w:hAnsi="Calibri" w:cs="Calibri"/>
                <w:color w:val="FF0000"/>
              </w:rPr>
            </w:pPr>
            <w:r w:rsidRPr="00053680">
              <w:rPr>
                <w:rFonts w:ascii="Calibri" w:eastAsiaTheme="minorHAnsi" w:hAnsi="Calibri" w:cs="Calibri"/>
                <w:b/>
                <w:color w:val="FF0000"/>
              </w:rPr>
              <w:t>*</w:t>
            </w:r>
            <w:proofErr w:type="gramStart"/>
            <w:r w:rsidRPr="00053680">
              <w:rPr>
                <w:rFonts w:ascii="Calibri" w:eastAsiaTheme="minorHAnsi" w:hAnsi="Calibri" w:cs="Calibri"/>
                <w:b/>
                <w:color w:val="FF0000"/>
              </w:rPr>
              <w:t>staff</w:t>
            </w:r>
            <w:proofErr w:type="gramEnd"/>
            <w:r>
              <w:rPr>
                <w:rFonts w:ascii="Calibri" w:eastAsiaTheme="minorHAnsi" w:hAnsi="Calibri" w:cs="Calibri"/>
                <w:color w:val="FF0000"/>
              </w:rPr>
              <w:t xml:space="preserve"> – school district employees, excluding food service staff</w:t>
            </w:r>
          </w:p>
        </w:tc>
      </w:tr>
      <w:tr w:rsidR="00BF1038" w:rsidRPr="00CD3F6B" w14:paraId="3A3994DD" w14:textId="77777777" w:rsidTr="00763E5B">
        <w:trPr>
          <w:trHeight w:val="260"/>
        </w:trPr>
        <w:tc>
          <w:tcPr>
            <w:tcW w:w="628" w:type="dxa"/>
            <w:shd w:val="clear" w:color="auto" w:fill="auto"/>
          </w:tcPr>
          <w:p w14:paraId="5F09DD99" w14:textId="77777777" w:rsidR="00BF1038" w:rsidRDefault="00BF1038" w:rsidP="00B00F55">
            <w:pPr>
              <w:spacing w:beforeLines="60" w:before="144" w:afterLines="60" w:after="144"/>
              <w:rPr>
                <w:rFonts w:cstheme="minorHAnsi"/>
              </w:rPr>
            </w:pPr>
            <w:r>
              <w:rPr>
                <w:rFonts w:cstheme="minorHAnsi"/>
              </w:rPr>
              <w:t>711.</w:t>
            </w:r>
          </w:p>
        </w:tc>
        <w:tc>
          <w:tcPr>
            <w:tcW w:w="8936" w:type="dxa"/>
            <w:gridSpan w:val="3"/>
          </w:tcPr>
          <w:p w14:paraId="1887293A" w14:textId="77777777" w:rsidR="00BF1038" w:rsidRDefault="00BF1038" w:rsidP="00B00F55">
            <w:pPr>
              <w:spacing w:beforeLines="60" w:before="144" w:afterLines="60" w:after="144"/>
              <w:rPr>
                <w:rFonts w:eastAsia="Times New Roman" w:cstheme="minorHAnsi"/>
                <w:color w:val="000000"/>
              </w:rPr>
            </w:pPr>
            <w:r>
              <w:rPr>
                <w:rFonts w:eastAsia="Times New Roman" w:cstheme="minorHAnsi"/>
                <w:color w:val="000000"/>
              </w:rPr>
              <w:t xml:space="preserve">Question: </w:t>
            </w:r>
            <w:r w:rsidRPr="00C93397">
              <w:rPr>
                <w:rFonts w:eastAsia="Times New Roman" w:cstheme="minorHAnsi"/>
                <w:color w:val="000000"/>
              </w:rPr>
              <w:t>If the SFA charged for adult meals, were the meal prices sufficient to cover the overall cost of the meals in compliance with FNS Instruction 782-5, Rev. 1?</w:t>
            </w:r>
          </w:p>
          <w:p w14:paraId="25D1F95B" w14:textId="2A255D6C" w:rsidR="00CA6AB0" w:rsidRPr="00CA6AB0" w:rsidRDefault="00BF1038" w:rsidP="00CA6AB0">
            <w:pPr>
              <w:spacing w:beforeLines="60" w:before="144" w:afterLines="60" w:after="144"/>
              <w:rPr>
                <w:rFonts w:ascii="Calibri" w:eastAsiaTheme="minorHAnsi" w:hAnsi="Calibri" w:cs="Calibri"/>
                <w:color w:val="FF0000"/>
              </w:rPr>
            </w:pPr>
            <w:r>
              <w:rPr>
                <w:rFonts w:cstheme="minorHAnsi"/>
                <w:b/>
                <w:color w:val="FF0000"/>
              </w:rPr>
              <w:t xml:space="preserve">Tips: </w:t>
            </w:r>
            <w:r w:rsidR="00763E5B" w:rsidRPr="00C25590">
              <w:rPr>
                <w:rFonts w:ascii="Calibri" w:eastAsiaTheme="minorHAnsi" w:hAnsi="Calibri" w:cs="Calibri"/>
                <w:color w:val="FF0000"/>
              </w:rPr>
              <w:t xml:space="preserve">Adult meal prices must be reviewed annually and need to be sufficient to cover all costs for producing the meal. Student payments, federal or state reimbursements or other program revenues cannot be used to subsidize meals served to adults. </w:t>
            </w:r>
            <w:r w:rsidR="00763E5B">
              <w:rPr>
                <w:rFonts w:ascii="Calibri" w:eastAsiaTheme="minorHAnsi" w:hAnsi="Calibri" w:cs="Calibri"/>
                <w:color w:val="FF0000"/>
              </w:rPr>
              <w:t xml:space="preserve"> </w:t>
            </w:r>
            <w:r w:rsidR="00CA6AB0" w:rsidRPr="00CA6AB0">
              <w:rPr>
                <w:color w:val="FF0000"/>
              </w:rPr>
              <w:t xml:space="preserve">If cost data is not available, it is encouraged to charge adults the free reimbursement rate plus USDA Foods entitlement.  </w:t>
            </w:r>
          </w:p>
          <w:p w14:paraId="5D66D311" w14:textId="767DC927" w:rsidR="00CA6AB0" w:rsidRDefault="00CA6AB0" w:rsidP="00CA6AB0">
            <w:pPr>
              <w:spacing w:before="100" w:beforeAutospacing="1" w:after="100" w:afterAutospacing="1"/>
            </w:pPr>
            <w:r w:rsidRPr="00CA6AB0">
              <w:rPr>
                <w:color w:val="FF0000"/>
              </w:rPr>
              <w:t xml:space="preserve">During the operation of SSO, the USDA is encouraging to use the higher SFSP reimbursement rate plus USDA Foods entitlement, $2.50 for adult breakfast and $4.60 for adult lunch. </w:t>
            </w:r>
            <w:r>
              <w:t> </w:t>
            </w:r>
          </w:p>
          <w:p w14:paraId="4CBC0AD7" w14:textId="03864069" w:rsidR="00CA6AB0" w:rsidRPr="00CA6AB0" w:rsidRDefault="00CA6AB0" w:rsidP="00CA6AB0">
            <w:pPr>
              <w:spacing w:before="100" w:beforeAutospacing="1" w:after="100" w:afterAutospacing="1"/>
              <w:rPr>
                <w:color w:val="FF0000"/>
              </w:rPr>
            </w:pPr>
            <w:r w:rsidRPr="00CA6AB0">
              <w:rPr>
                <w:i/>
                <w:iCs/>
                <w:color w:val="FF0000"/>
                <w:sz w:val="20"/>
                <w:szCs w:val="20"/>
              </w:rPr>
              <w:t xml:space="preserve">Please note </w:t>
            </w:r>
            <w:r w:rsidRPr="00CA6AB0">
              <w:rPr>
                <w:b/>
                <w:bCs/>
                <w:i/>
                <w:iCs/>
                <w:color w:val="FF0000"/>
                <w:sz w:val="20"/>
                <w:szCs w:val="20"/>
              </w:rPr>
              <w:t>at a minimum, Sponsors should be charging adult meals the free reimbursement rate for SBP/NSLP plus USDA Foods entitlement per meal</w:t>
            </w:r>
            <w:r w:rsidRPr="0026410A">
              <w:rPr>
                <w:b/>
                <w:bCs/>
                <w:i/>
                <w:iCs/>
                <w:color w:val="FF0000"/>
                <w:sz w:val="20"/>
                <w:szCs w:val="20"/>
              </w:rPr>
              <w:t>, (</w:t>
            </w:r>
            <w:r w:rsidRPr="0026410A">
              <w:rPr>
                <w:b/>
                <w:bCs/>
                <w:i/>
                <w:iCs/>
                <w:color w:val="FF0000"/>
                <w:sz w:val="20"/>
                <w:szCs w:val="20"/>
                <w:shd w:val="clear" w:color="auto" w:fill="FFFF00"/>
              </w:rPr>
              <w:t>Adult Breakfast $2.</w:t>
            </w:r>
            <w:r w:rsidR="00A53844" w:rsidRPr="0026410A">
              <w:rPr>
                <w:b/>
                <w:bCs/>
                <w:i/>
                <w:iCs/>
                <w:color w:val="FF0000"/>
                <w:sz w:val="20"/>
                <w:szCs w:val="20"/>
                <w:shd w:val="clear" w:color="auto" w:fill="FFFF00"/>
              </w:rPr>
              <w:t xml:space="preserve">15 </w:t>
            </w:r>
            <w:r w:rsidRPr="0026410A">
              <w:rPr>
                <w:b/>
                <w:bCs/>
                <w:i/>
                <w:iCs/>
                <w:color w:val="FF0000"/>
                <w:sz w:val="20"/>
                <w:szCs w:val="20"/>
                <w:shd w:val="clear" w:color="auto" w:fill="FFFF00"/>
              </w:rPr>
              <w:t>and</w:t>
            </w:r>
            <w:r w:rsidRPr="0026410A">
              <w:rPr>
                <w:b/>
                <w:bCs/>
                <w:i/>
                <w:iCs/>
                <w:color w:val="FF0000"/>
                <w:sz w:val="20"/>
                <w:szCs w:val="20"/>
              </w:rPr>
              <w:t xml:space="preserve"> </w:t>
            </w:r>
            <w:r w:rsidRPr="0026410A">
              <w:rPr>
                <w:b/>
                <w:bCs/>
                <w:i/>
                <w:iCs/>
                <w:color w:val="FF0000"/>
                <w:sz w:val="20"/>
                <w:szCs w:val="20"/>
                <w:shd w:val="clear" w:color="auto" w:fill="FFFF00"/>
              </w:rPr>
              <w:t>Adult Lunch $4.</w:t>
            </w:r>
            <w:r w:rsidR="00A53844" w:rsidRPr="0026410A">
              <w:rPr>
                <w:b/>
                <w:bCs/>
                <w:i/>
                <w:iCs/>
                <w:color w:val="FF0000"/>
                <w:sz w:val="20"/>
                <w:szCs w:val="20"/>
                <w:shd w:val="clear" w:color="auto" w:fill="FFFF00"/>
              </w:rPr>
              <w:t>35</w:t>
            </w:r>
            <w:r w:rsidRPr="0026410A">
              <w:rPr>
                <w:b/>
                <w:bCs/>
                <w:i/>
                <w:iCs/>
                <w:color w:val="FF0000"/>
                <w:sz w:val="20"/>
                <w:szCs w:val="20"/>
                <w:shd w:val="clear" w:color="auto" w:fill="FFFF00"/>
              </w:rPr>
              <w:t>)</w:t>
            </w:r>
            <w:r w:rsidRPr="0026410A">
              <w:rPr>
                <w:b/>
                <w:bCs/>
                <w:i/>
                <w:iCs/>
                <w:color w:val="FF0000"/>
                <w:sz w:val="20"/>
                <w:szCs w:val="20"/>
              </w:rPr>
              <w:t>.</w:t>
            </w:r>
          </w:p>
          <w:p w14:paraId="64F8C7E0" w14:textId="77777777" w:rsidR="00CA6AB0" w:rsidRPr="00CA6AB0" w:rsidRDefault="00CA6AB0" w:rsidP="00CA6AB0">
            <w:pPr>
              <w:spacing w:before="100" w:beforeAutospacing="1" w:after="100" w:afterAutospacing="1"/>
              <w:rPr>
                <w:color w:val="FF0000"/>
              </w:rPr>
            </w:pPr>
            <w:r w:rsidRPr="00CA6AB0">
              <w:rPr>
                <w:i/>
                <w:iCs/>
                <w:color w:val="FF0000"/>
                <w:sz w:val="20"/>
                <w:szCs w:val="20"/>
              </w:rPr>
              <w:t>Sponsors that meet the minimum pricing provided above will not receive a finding during the Administrative Review.</w:t>
            </w:r>
            <w:r w:rsidRPr="00CA6AB0">
              <w:rPr>
                <w:b/>
                <w:bCs/>
                <w:i/>
                <w:iCs/>
                <w:color w:val="FF0000"/>
                <w:sz w:val="20"/>
                <w:szCs w:val="20"/>
              </w:rPr>
              <w:t xml:space="preserve"> </w:t>
            </w:r>
          </w:p>
          <w:p w14:paraId="409F177B" w14:textId="3D08F013" w:rsidR="00BF1038" w:rsidRPr="00F420EF" w:rsidRDefault="00BF1038" w:rsidP="00BF1038">
            <w:pPr>
              <w:pStyle w:val="ListParagraph"/>
              <w:numPr>
                <w:ilvl w:val="0"/>
                <w:numId w:val="13"/>
              </w:numPr>
              <w:spacing w:beforeLines="60" w:before="144" w:afterLines="60" w:after="144"/>
              <w:rPr>
                <w:rFonts w:cstheme="minorHAnsi"/>
                <w:b/>
                <w:color w:val="FF0000"/>
              </w:rPr>
            </w:pPr>
            <w:r w:rsidRPr="00F420EF">
              <w:rPr>
                <w:rFonts w:cstheme="minorHAnsi"/>
                <w:b/>
                <w:color w:val="FF0000"/>
              </w:rPr>
              <w:t xml:space="preserve">Yes </w:t>
            </w:r>
            <w:r w:rsidRPr="00F420EF">
              <w:rPr>
                <w:rFonts w:cstheme="minorHAnsi"/>
                <w:color w:val="FF0000"/>
              </w:rPr>
              <w:t xml:space="preserve">–SFA </w:t>
            </w:r>
            <w:proofErr w:type="gramStart"/>
            <w:r w:rsidRPr="00F420EF">
              <w:rPr>
                <w:rFonts w:cstheme="minorHAnsi"/>
                <w:color w:val="FF0000"/>
              </w:rPr>
              <w:t>is in compliance with</w:t>
            </w:r>
            <w:proofErr w:type="gramEnd"/>
            <w:r w:rsidRPr="00F420EF">
              <w:rPr>
                <w:rFonts w:cstheme="minorHAnsi"/>
                <w:color w:val="FF0000"/>
              </w:rPr>
              <w:t xml:space="preserve"> adult meal prices, please use the </w:t>
            </w:r>
            <w:hyperlink r:id="rId20" w:history="1">
              <w:r w:rsidRPr="003169C8">
                <w:rPr>
                  <w:color w:val="0000FF"/>
                  <w:u w:val="single"/>
                </w:rPr>
                <w:t xml:space="preserve">Adult Meal Pricing Tool </w:t>
              </w:r>
            </w:hyperlink>
            <w:r w:rsidRPr="00F420EF">
              <w:rPr>
                <w:rFonts w:cstheme="minorHAnsi"/>
                <w:color w:val="FF0000"/>
              </w:rPr>
              <w:t>to check adult prices</w:t>
            </w:r>
            <w:r w:rsidRPr="00F420EF">
              <w:rPr>
                <w:color w:val="0000FF"/>
                <w:u w:val="single"/>
              </w:rPr>
              <w:t xml:space="preserve"> </w:t>
            </w:r>
          </w:p>
          <w:p w14:paraId="3254A0D4" w14:textId="22156FD8" w:rsidR="00BF1038" w:rsidRPr="00DB72A7" w:rsidRDefault="00BF1038" w:rsidP="00BF1038">
            <w:pPr>
              <w:pStyle w:val="ListParagraph"/>
              <w:numPr>
                <w:ilvl w:val="0"/>
                <w:numId w:val="12"/>
              </w:numPr>
              <w:rPr>
                <w:rFonts w:cstheme="minorHAnsi"/>
                <w:color w:val="FF0000"/>
              </w:rPr>
            </w:pPr>
            <w:r>
              <w:rPr>
                <w:rFonts w:cstheme="minorHAnsi"/>
                <w:b/>
                <w:color w:val="FF0000"/>
              </w:rPr>
              <w:t xml:space="preserve">No </w:t>
            </w:r>
            <w:r w:rsidRPr="00DB72A7">
              <w:rPr>
                <w:rFonts w:cstheme="minorHAnsi"/>
                <w:color w:val="FF0000"/>
              </w:rPr>
              <w:t xml:space="preserve">–SFA </w:t>
            </w:r>
            <w:r>
              <w:rPr>
                <w:rFonts w:cstheme="minorHAnsi"/>
                <w:color w:val="FF0000"/>
              </w:rPr>
              <w:t>is not in compliance with adult meal prices and there is no general fund transfer to cover the price gap</w:t>
            </w:r>
            <w:r w:rsidRPr="00DB72A7">
              <w:rPr>
                <w:rFonts w:cstheme="minorHAnsi"/>
                <w:color w:val="FF0000"/>
              </w:rPr>
              <w:t xml:space="preserve"> </w:t>
            </w:r>
          </w:p>
          <w:p w14:paraId="73AAA201" w14:textId="02D7DCEA" w:rsidR="00BF1038" w:rsidRDefault="00BF1038" w:rsidP="00BF1038">
            <w:pPr>
              <w:pStyle w:val="ListParagraph"/>
              <w:numPr>
                <w:ilvl w:val="0"/>
                <w:numId w:val="12"/>
              </w:numPr>
              <w:rPr>
                <w:rFonts w:cstheme="minorHAnsi"/>
                <w:color w:val="FF0000"/>
              </w:rPr>
            </w:pPr>
            <w:r w:rsidRPr="00DB72A7">
              <w:rPr>
                <w:rFonts w:cstheme="minorHAnsi"/>
                <w:b/>
                <w:color w:val="FF0000"/>
              </w:rPr>
              <w:t>N/A</w:t>
            </w:r>
            <w:r>
              <w:rPr>
                <w:rFonts w:cstheme="minorHAnsi"/>
                <w:b/>
                <w:color w:val="FF0000"/>
              </w:rPr>
              <w:t xml:space="preserve"> </w:t>
            </w:r>
            <w:r w:rsidRPr="00DB72A7">
              <w:rPr>
                <w:rFonts w:cstheme="minorHAnsi"/>
                <w:color w:val="FF0000"/>
              </w:rPr>
              <w:t>–SFA does not offer or sell meals to adults</w:t>
            </w:r>
          </w:p>
          <w:p w14:paraId="08C9A131" w14:textId="38E3F8DF" w:rsidR="00F76878" w:rsidRPr="00CD3F6B" w:rsidRDefault="00BF1038" w:rsidP="00CA6AB0">
            <w:pPr>
              <w:spacing w:beforeLines="60" w:before="144" w:afterLines="60" w:after="144"/>
              <w:rPr>
                <w:rFonts w:eastAsia="Times New Roman" w:cstheme="minorHAnsi"/>
                <w:i/>
                <w:color w:val="000000"/>
                <w:sz w:val="20"/>
                <w:szCs w:val="20"/>
              </w:rPr>
            </w:pPr>
            <w:r>
              <w:rPr>
                <w:rFonts w:ascii="Calibri" w:eastAsiaTheme="minorHAnsi" w:hAnsi="Calibri" w:cs="Calibri"/>
                <w:color w:val="FF0000"/>
              </w:rPr>
              <w:lastRenderedPageBreak/>
              <w:t>If the SFA uses a different calculation then the one provided in the adult meal pricing tool, please include this calculation in the comment section.</w:t>
            </w:r>
          </w:p>
        </w:tc>
      </w:tr>
      <w:tr w:rsidR="00BF1038" w14:paraId="408AC1B2" w14:textId="77777777" w:rsidTr="00165FC9">
        <w:trPr>
          <w:trHeight w:val="584"/>
        </w:trPr>
        <w:tc>
          <w:tcPr>
            <w:tcW w:w="9564" w:type="dxa"/>
            <w:gridSpan w:val="4"/>
            <w:shd w:val="clear" w:color="auto" w:fill="D9D9D9" w:themeFill="background1" w:themeFillShade="D9"/>
          </w:tcPr>
          <w:p w14:paraId="7899D4EF" w14:textId="666B7337" w:rsidR="00BF1038" w:rsidRDefault="0026410A" w:rsidP="00A44ED7">
            <w:pPr>
              <w:spacing w:beforeLines="60" w:before="144" w:afterLines="60" w:after="144"/>
              <w:jc w:val="center"/>
              <w:rPr>
                <w:rFonts w:eastAsia="Times New Roman" w:cstheme="minorHAnsi"/>
                <w:color w:val="000000"/>
              </w:rPr>
            </w:pPr>
            <w:hyperlink r:id="rId21" w:history="1">
              <w:r w:rsidR="00BF1038" w:rsidRPr="004816EB">
                <w:rPr>
                  <w:rStyle w:val="Hyperlink"/>
                  <w:b/>
                  <w:sz w:val="24"/>
                  <w:szCs w:val="24"/>
                </w:rPr>
                <w:t>Indirect Costs</w:t>
              </w:r>
            </w:hyperlink>
            <w:r w:rsidR="00BF1038">
              <w:rPr>
                <w:b/>
                <w:sz w:val="24"/>
                <w:szCs w:val="24"/>
              </w:rPr>
              <w:t xml:space="preserve"> – Last Audited School Year (SY 20</w:t>
            </w:r>
            <w:r w:rsidR="008A4539">
              <w:rPr>
                <w:b/>
                <w:sz w:val="24"/>
                <w:szCs w:val="24"/>
              </w:rPr>
              <w:t>20</w:t>
            </w:r>
            <w:r w:rsidR="00BF1038">
              <w:rPr>
                <w:b/>
                <w:sz w:val="24"/>
                <w:szCs w:val="24"/>
              </w:rPr>
              <w:t>-</w:t>
            </w:r>
            <w:r w:rsidR="00CA6AB0">
              <w:rPr>
                <w:b/>
                <w:sz w:val="24"/>
                <w:szCs w:val="24"/>
              </w:rPr>
              <w:t>2</w:t>
            </w:r>
            <w:r w:rsidR="008A4539">
              <w:rPr>
                <w:b/>
                <w:sz w:val="24"/>
                <w:szCs w:val="24"/>
              </w:rPr>
              <w:t>1</w:t>
            </w:r>
            <w:r w:rsidR="00BF1038">
              <w:rPr>
                <w:b/>
                <w:sz w:val="24"/>
                <w:szCs w:val="24"/>
              </w:rPr>
              <w:t>)</w:t>
            </w:r>
          </w:p>
        </w:tc>
      </w:tr>
      <w:tr w:rsidR="00BF1038" w:rsidRPr="007D7620" w14:paraId="2625AE54" w14:textId="77777777" w:rsidTr="00165FC9">
        <w:trPr>
          <w:trHeight w:val="2600"/>
        </w:trPr>
        <w:tc>
          <w:tcPr>
            <w:tcW w:w="628" w:type="dxa"/>
            <w:shd w:val="clear" w:color="auto" w:fill="auto"/>
          </w:tcPr>
          <w:p w14:paraId="2635A0A8" w14:textId="77777777" w:rsidR="00BF1038" w:rsidRDefault="00BF1038" w:rsidP="00B00F55">
            <w:pPr>
              <w:spacing w:beforeLines="60" w:before="144" w:afterLines="60" w:after="144"/>
              <w:rPr>
                <w:rFonts w:cstheme="minorHAnsi"/>
              </w:rPr>
            </w:pPr>
            <w:r>
              <w:rPr>
                <w:rFonts w:cstheme="minorHAnsi"/>
              </w:rPr>
              <w:t>712.</w:t>
            </w:r>
          </w:p>
        </w:tc>
        <w:tc>
          <w:tcPr>
            <w:tcW w:w="8936" w:type="dxa"/>
            <w:gridSpan w:val="3"/>
          </w:tcPr>
          <w:p w14:paraId="72612272" w14:textId="77777777" w:rsidR="00BF1038" w:rsidRDefault="00BF1038" w:rsidP="00B00F55">
            <w:pPr>
              <w:spacing w:beforeLines="60" w:before="144" w:afterLines="60" w:after="144"/>
              <w:rPr>
                <w:rFonts w:eastAsia="Times New Roman" w:cstheme="minorHAnsi"/>
                <w:color w:val="000000"/>
              </w:rPr>
            </w:pPr>
            <w:r>
              <w:rPr>
                <w:rFonts w:eastAsia="Times New Roman" w:cstheme="minorHAnsi"/>
                <w:color w:val="000000"/>
              </w:rPr>
              <w:t xml:space="preserve">Question: </w:t>
            </w:r>
            <w:r w:rsidRPr="00C93397">
              <w:rPr>
                <w:rFonts w:eastAsia="Times New Roman" w:cstheme="minorHAnsi"/>
                <w:color w:val="000000"/>
              </w:rPr>
              <w:t>Were indirect costs charged to the SFA’s nonprofit school food service account?</w:t>
            </w:r>
          </w:p>
          <w:p w14:paraId="13737251" w14:textId="77777777" w:rsidR="00BF1038" w:rsidRDefault="00BF1038" w:rsidP="00B00F55">
            <w:pPr>
              <w:spacing w:after="60"/>
              <w:ind w:left="29"/>
              <w:rPr>
                <w:rFonts w:eastAsia="Times New Roman" w:cstheme="minorHAnsi"/>
                <w:color w:val="FF0000"/>
              </w:rPr>
            </w:pPr>
            <w:r>
              <w:rPr>
                <w:rFonts w:cstheme="minorHAnsi"/>
                <w:b/>
                <w:color w:val="FF0000"/>
              </w:rPr>
              <w:t xml:space="preserve">Tips: </w:t>
            </w:r>
            <w:r w:rsidRPr="009C56B2">
              <w:rPr>
                <w:rFonts w:cstheme="minorHAnsi"/>
                <w:color w:val="FF0000"/>
              </w:rPr>
              <w:t>Indirect</w:t>
            </w:r>
            <w:r w:rsidRPr="00112C1F">
              <w:rPr>
                <w:rFonts w:eastAsia="Times New Roman" w:cstheme="minorHAnsi"/>
                <w:color w:val="FF0000"/>
              </w:rPr>
              <w:t xml:space="preserve"> cost</w:t>
            </w:r>
            <w:r>
              <w:rPr>
                <w:rFonts w:eastAsia="Times New Roman" w:cstheme="minorHAnsi"/>
                <w:color w:val="FF0000"/>
              </w:rPr>
              <w:t>s are</w:t>
            </w:r>
            <w:r w:rsidRPr="00112C1F">
              <w:rPr>
                <w:rFonts w:eastAsia="Times New Roman" w:cstheme="minorHAnsi"/>
                <w:color w:val="FF0000"/>
              </w:rPr>
              <w:t xml:space="preserve"> an allowable expense to the nonprofit food service fund.  </w:t>
            </w:r>
            <w:r>
              <w:rPr>
                <w:rFonts w:eastAsia="Times New Roman" w:cstheme="minorHAnsi"/>
                <w:color w:val="FF0000"/>
              </w:rPr>
              <w:t>Indirect costs can be seen as overhead expenses that support an operation (</w:t>
            </w:r>
            <w:r w:rsidRPr="00171CC9">
              <w:rPr>
                <w:rFonts w:eastAsia="Times New Roman" w:cstheme="minorHAnsi"/>
                <w:color w:val="FF0000"/>
              </w:rPr>
              <w:t>administrative overhead functions such as accounting, payroll, purchasing, facili</w:t>
            </w:r>
            <w:r>
              <w:rPr>
                <w:rFonts w:eastAsia="Times New Roman" w:cstheme="minorHAnsi"/>
                <w:color w:val="FF0000"/>
              </w:rPr>
              <w:t xml:space="preserve">ties management, maintenance, </w:t>
            </w:r>
            <w:proofErr w:type="spellStart"/>
            <w:r>
              <w:rPr>
                <w:rFonts w:eastAsia="Times New Roman" w:cstheme="minorHAnsi"/>
                <w:color w:val="FF0000"/>
              </w:rPr>
              <w:t>etc</w:t>
            </w:r>
            <w:proofErr w:type="spellEnd"/>
            <w:r>
              <w:rPr>
                <w:rFonts w:eastAsia="Times New Roman" w:cstheme="minorHAnsi"/>
                <w:color w:val="FF0000"/>
              </w:rPr>
              <w:t>).</w:t>
            </w:r>
          </w:p>
          <w:p w14:paraId="4EF54D7D" w14:textId="77777777" w:rsidR="00BF1038" w:rsidRPr="00112C1F" w:rsidRDefault="00BF1038" w:rsidP="00B00F55">
            <w:pPr>
              <w:spacing w:after="60"/>
              <w:ind w:left="29"/>
              <w:rPr>
                <w:rFonts w:eastAsia="Times New Roman" w:cstheme="minorHAnsi"/>
                <w:color w:val="FF0000"/>
              </w:rPr>
            </w:pPr>
            <w:r w:rsidRPr="00112C1F">
              <w:rPr>
                <w:rFonts w:eastAsia="Times New Roman" w:cstheme="minorHAnsi"/>
                <w:color w:val="FF0000"/>
              </w:rPr>
              <w:t xml:space="preserve">The SA must confirm that SFAs follow fair and consistent methodologies to identify and allocate allowable indirect costs </w:t>
            </w:r>
            <w:r>
              <w:rPr>
                <w:rFonts w:eastAsia="Times New Roman" w:cstheme="minorHAnsi"/>
                <w:color w:val="FF0000"/>
              </w:rPr>
              <w:t>to school food service accounts,</w:t>
            </w:r>
            <w:r w:rsidRPr="00112C1F">
              <w:rPr>
                <w:rFonts w:eastAsia="Times New Roman" w:cstheme="minorHAnsi"/>
                <w:color w:val="FF0000"/>
              </w:rPr>
              <w:t xml:space="preserve"> (2 CFR 200)</w:t>
            </w:r>
            <w:r>
              <w:rPr>
                <w:rFonts w:eastAsia="Times New Roman" w:cstheme="minorHAnsi"/>
                <w:color w:val="FF0000"/>
              </w:rPr>
              <w:t xml:space="preserve">. </w:t>
            </w:r>
          </w:p>
          <w:p w14:paraId="33AA99DD" w14:textId="2B706D30" w:rsidR="00BF1038" w:rsidRPr="00112C1F" w:rsidRDefault="00BF1038" w:rsidP="00BF1038">
            <w:pPr>
              <w:pStyle w:val="ListParagraph"/>
              <w:numPr>
                <w:ilvl w:val="0"/>
                <w:numId w:val="11"/>
              </w:numPr>
              <w:spacing w:after="60"/>
              <w:rPr>
                <w:rFonts w:cstheme="minorHAnsi"/>
                <w:color w:val="FF0000"/>
              </w:rPr>
            </w:pPr>
            <w:r w:rsidRPr="00B566D3">
              <w:rPr>
                <w:rFonts w:cstheme="minorHAnsi"/>
                <w:b/>
                <w:color w:val="FF0000"/>
              </w:rPr>
              <w:t xml:space="preserve">Yes </w:t>
            </w:r>
            <w:r>
              <w:rPr>
                <w:rFonts w:cstheme="minorHAnsi"/>
                <w:color w:val="FF0000"/>
              </w:rPr>
              <w:t>– the SFA was charged for indirect costs, (object codes 0869 from the CDE Chart of Accounts)</w:t>
            </w:r>
          </w:p>
          <w:p w14:paraId="32DD8AE1" w14:textId="77777777" w:rsidR="00BF1038" w:rsidRPr="00B566D3" w:rsidRDefault="00BF1038" w:rsidP="00BF1038">
            <w:pPr>
              <w:pStyle w:val="ListParagraph"/>
              <w:numPr>
                <w:ilvl w:val="0"/>
                <w:numId w:val="11"/>
              </w:numPr>
              <w:spacing w:after="60"/>
              <w:rPr>
                <w:rFonts w:cstheme="minorHAnsi"/>
                <w:color w:val="FF0000"/>
              </w:rPr>
            </w:pPr>
            <w:r w:rsidRPr="00112C1F">
              <w:rPr>
                <w:rFonts w:cstheme="minorHAnsi"/>
                <w:b/>
                <w:color w:val="FF0000"/>
              </w:rPr>
              <w:t>No</w:t>
            </w:r>
            <w:r>
              <w:rPr>
                <w:rFonts w:cstheme="minorHAnsi"/>
                <w:color w:val="FF0000"/>
              </w:rPr>
              <w:t xml:space="preserve"> – the SFA is not being charged indirect costs</w:t>
            </w:r>
          </w:p>
          <w:p w14:paraId="59309737" w14:textId="7A8982AB" w:rsidR="00BF1038" w:rsidRDefault="0026410A" w:rsidP="00BF1038">
            <w:pPr>
              <w:pStyle w:val="NoSpacing"/>
              <w:rPr>
                <w:color w:val="FF0000"/>
              </w:rPr>
            </w:pPr>
            <w:hyperlink r:id="rId22" w:history="1">
              <w:r w:rsidR="00BF1038">
                <w:rPr>
                  <w:rStyle w:val="Hyperlink"/>
                  <w:rFonts w:cstheme="minorHAnsi"/>
                  <w:b/>
                </w:rPr>
                <w:t>Indirect Costs</w:t>
              </w:r>
            </w:hyperlink>
            <w:r w:rsidR="00BF1038">
              <w:rPr>
                <w:color w:val="FF0000"/>
              </w:rPr>
              <w:t xml:space="preserve"> </w:t>
            </w:r>
          </w:p>
          <w:p w14:paraId="382608A0" w14:textId="2D367B08" w:rsidR="00BF1038" w:rsidRPr="007D7620" w:rsidRDefault="0026410A" w:rsidP="00BF1038">
            <w:pPr>
              <w:pStyle w:val="NoSpacing"/>
              <w:spacing w:after="60"/>
              <w:rPr>
                <w:color w:val="FF0000"/>
              </w:rPr>
            </w:pPr>
            <w:hyperlink r:id="rId23" w:history="1">
              <w:r w:rsidR="00BF1038" w:rsidRPr="009F3E89">
                <w:rPr>
                  <w:rStyle w:val="Hyperlink"/>
                  <w:rFonts w:cstheme="minorHAnsi"/>
                  <w:b/>
                </w:rPr>
                <w:t>Indirect Cost Rates</w:t>
              </w:r>
            </w:hyperlink>
          </w:p>
        </w:tc>
      </w:tr>
    </w:tbl>
    <w:p w14:paraId="340A64C9" w14:textId="6EBCB9D8" w:rsidR="0000094B" w:rsidRPr="00165FC9" w:rsidRDefault="0000094B" w:rsidP="00165FC9">
      <w:pPr>
        <w:rPr>
          <w:rFonts w:cstheme="minorHAnsi"/>
          <w:color w:val="FF0000"/>
        </w:rPr>
      </w:pPr>
    </w:p>
    <w:sectPr w:rsidR="0000094B" w:rsidRPr="00165FC9">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0FDB" w14:textId="77777777" w:rsidR="00C5000F" w:rsidRDefault="00C5000F" w:rsidP="004C63D3">
      <w:pPr>
        <w:spacing w:after="0" w:line="240" w:lineRule="auto"/>
      </w:pPr>
      <w:r>
        <w:separator/>
      </w:r>
    </w:p>
  </w:endnote>
  <w:endnote w:type="continuationSeparator" w:id="0">
    <w:p w14:paraId="4B49B2DA" w14:textId="77777777" w:rsidR="00C5000F" w:rsidRDefault="00C5000F" w:rsidP="004C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ABE9" w14:textId="37AF327F" w:rsidR="00B45DAE" w:rsidRDefault="00C82349" w:rsidP="00F81E6E">
    <w:pPr>
      <w:pStyle w:val="Footer"/>
      <w:jc w:val="center"/>
    </w:pPr>
    <w:r>
      <w:t>September 2021</w:t>
    </w:r>
    <w:r w:rsidR="00B45DAE">
      <w:t xml:space="preserve"> </w:t>
    </w:r>
    <w:r w:rsidR="00B45DAE">
      <w:tab/>
      <w:t>This institution is an equal opportunity provider.</w:t>
    </w:r>
    <w:r w:rsidR="00B45DAE">
      <w:tab/>
      <w:t xml:space="preserve"> </w:t>
    </w:r>
    <w:sdt>
      <w:sdtPr>
        <w:id w:val="1093286891"/>
        <w:docPartObj>
          <w:docPartGallery w:val="Page Numbers (Bottom of Page)"/>
          <w:docPartUnique/>
        </w:docPartObj>
      </w:sdtPr>
      <w:sdtEndPr>
        <w:rPr>
          <w:noProof/>
        </w:rPr>
      </w:sdtEndPr>
      <w:sdtContent>
        <w:r w:rsidR="00B45DAE">
          <w:fldChar w:fldCharType="begin"/>
        </w:r>
        <w:r w:rsidR="00B45DAE">
          <w:instrText xml:space="preserve"> PAGE   \* MERGEFORMAT </w:instrText>
        </w:r>
        <w:r w:rsidR="00B45DAE">
          <w:fldChar w:fldCharType="separate"/>
        </w:r>
        <w:r w:rsidR="00E75839">
          <w:rPr>
            <w:noProof/>
          </w:rPr>
          <w:t>1</w:t>
        </w:r>
        <w:r w:rsidR="00B45DA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6C65" w14:textId="77777777" w:rsidR="00C5000F" w:rsidRDefault="00C5000F" w:rsidP="004C63D3">
      <w:pPr>
        <w:spacing w:after="0" w:line="240" w:lineRule="auto"/>
      </w:pPr>
      <w:r>
        <w:separator/>
      </w:r>
    </w:p>
  </w:footnote>
  <w:footnote w:type="continuationSeparator" w:id="0">
    <w:p w14:paraId="40AC0EF1" w14:textId="77777777" w:rsidR="00C5000F" w:rsidRDefault="00C5000F" w:rsidP="004C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59C1" w14:textId="5B21C609" w:rsidR="00B45DAE" w:rsidRPr="004C63D3" w:rsidRDefault="00B45DAE" w:rsidP="004C63D3">
    <w:pPr>
      <w:pStyle w:val="Header"/>
      <w:jc w:val="center"/>
      <w:rPr>
        <w:b/>
      </w:rPr>
    </w:pPr>
    <w:r>
      <w:rPr>
        <w:b/>
      </w:rPr>
      <w:t xml:space="preserve">USDA Administrative Review: </w:t>
    </w:r>
    <w:r w:rsidR="003834BB">
      <w:rPr>
        <w:b/>
      </w:rPr>
      <w:t>Resource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5D8"/>
    <w:multiLevelType w:val="hybridMultilevel"/>
    <w:tmpl w:val="FA4CF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E60EA8"/>
    <w:multiLevelType w:val="hybridMultilevel"/>
    <w:tmpl w:val="01F6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A7DC0"/>
    <w:multiLevelType w:val="hybridMultilevel"/>
    <w:tmpl w:val="116827C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270C5A"/>
    <w:multiLevelType w:val="hybridMultilevel"/>
    <w:tmpl w:val="B5924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D414A"/>
    <w:multiLevelType w:val="hybridMultilevel"/>
    <w:tmpl w:val="0346EA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20CD017D"/>
    <w:multiLevelType w:val="hybridMultilevel"/>
    <w:tmpl w:val="77CAFD72"/>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6" w15:restartNumberingAfterBreak="0">
    <w:nsid w:val="22235BAF"/>
    <w:multiLevelType w:val="hybridMultilevel"/>
    <w:tmpl w:val="14F0B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A35E6"/>
    <w:multiLevelType w:val="hybridMultilevel"/>
    <w:tmpl w:val="EA12362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 w15:restartNumberingAfterBreak="0">
    <w:nsid w:val="395A7212"/>
    <w:multiLevelType w:val="hybridMultilevel"/>
    <w:tmpl w:val="C87247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E7712DC"/>
    <w:multiLevelType w:val="hybridMultilevel"/>
    <w:tmpl w:val="499A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C34A1"/>
    <w:multiLevelType w:val="hybridMultilevel"/>
    <w:tmpl w:val="6968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87C80"/>
    <w:multiLevelType w:val="hybridMultilevel"/>
    <w:tmpl w:val="13CCC6C4"/>
    <w:lvl w:ilvl="0" w:tplc="04090019">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154974"/>
    <w:multiLevelType w:val="hybridMultilevel"/>
    <w:tmpl w:val="EFEE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00058"/>
    <w:multiLevelType w:val="hybridMultilevel"/>
    <w:tmpl w:val="968864DC"/>
    <w:lvl w:ilvl="0" w:tplc="082CBFD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37765A0"/>
    <w:multiLevelType w:val="hybridMultilevel"/>
    <w:tmpl w:val="E30C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239042">
    <w:abstractNumId w:val="9"/>
  </w:num>
  <w:num w:numId="2" w16cid:durableId="1544976151">
    <w:abstractNumId w:val="3"/>
  </w:num>
  <w:num w:numId="3" w16cid:durableId="1489132885">
    <w:abstractNumId w:val="0"/>
  </w:num>
  <w:num w:numId="4" w16cid:durableId="580605454">
    <w:abstractNumId w:val="4"/>
  </w:num>
  <w:num w:numId="5" w16cid:durableId="263926215">
    <w:abstractNumId w:val="8"/>
  </w:num>
  <w:num w:numId="6" w16cid:durableId="638456149">
    <w:abstractNumId w:val="2"/>
  </w:num>
  <w:num w:numId="7" w16cid:durableId="953948594">
    <w:abstractNumId w:val="11"/>
  </w:num>
  <w:num w:numId="8" w16cid:durableId="493691513">
    <w:abstractNumId w:val="14"/>
  </w:num>
  <w:num w:numId="9" w16cid:durableId="1085103957">
    <w:abstractNumId w:val="12"/>
  </w:num>
  <w:num w:numId="10" w16cid:durableId="615983800">
    <w:abstractNumId w:val="6"/>
  </w:num>
  <w:num w:numId="11" w16cid:durableId="1437366842">
    <w:abstractNumId w:val="7"/>
  </w:num>
  <w:num w:numId="12" w16cid:durableId="1341545924">
    <w:abstractNumId w:val="5"/>
  </w:num>
  <w:num w:numId="13" w16cid:durableId="1329476204">
    <w:abstractNumId w:val="10"/>
  </w:num>
  <w:num w:numId="14" w16cid:durableId="1158886540">
    <w:abstractNumId w:val="1"/>
  </w:num>
  <w:num w:numId="15" w16cid:durableId="7825415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D3"/>
    <w:rsid w:val="0000094B"/>
    <w:rsid w:val="0000194D"/>
    <w:rsid w:val="00003878"/>
    <w:rsid w:val="000051F1"/>
    <w:rsid w:val="00011A22"/>
    <w:rsid w:val="0002230C"/>
    <w:rsid w:val="00031FED"/>
    <w:rsid w:val="00033A14"/>
    <w:rsid w:val="00034F81"/>
    <w:rsid w:val="000359DB"/>
    <w:rsid w:val="0005012D"/>
    <w:rsid w:val="00053680"/>
    <w:rsid w:val="00065A5C"/>
    <w:rsid w:val="00066392"/>
    <w:rsid w:val="000665D2"/>
    <w:rsid w:val="000718E8"/>
    <w:rsid w:val="0007788C"/>
    <w:rsid w:val="00096768"/>
    <w:rsid w:val="000A12C1"/>
    <w:rsid w:val="000A201B"/>
    <w:rsid w:val="000A3B93"/>
    <w:rsid w:val="000A46C1"/>
    <w:rsid w:val="000A7C36"/>
    <w:rsid w:val="000B1937"/>
    <w:rsid w:val="000B7710"/>
    <w:rsid w:val="000C0E86"/>
    <w:rsid w:val="000D77BB"/>
    <w:rsid w:val="000E20DB"/>
    <w:rsid w:val="000E4BED"/>
    <w:rsid w:val="000E4F22"/>
    <w:rsid w:val="00103D36"/>
    <w:rsid w:val="001045FE"/>
    <w:rsid w:val="00110C3A"/>
    <w:rsid w:val="0011626C"/>
    <w:rsid w:val="001213D6"/>
    <w:rsid w:val="00127960"/>
    <w:rsid w:val="00133443"/>
    <w:rsid w:val="0014315A"/>
    <w:rsid w:val="00147759"/>
    <w:rsid w:val="001559F0"/>
    <w:rsid w:val="00165FC9"/>
    <w:rsid w:val="00171283"/>
    <w:rsid w:val="00183E04"/>
    <w:rsid w:val="00196F96"/>
    <w:rsid w:val="001A2D75"/>
    <w:rsid w:val="001A3F26"/>
    <w:rsid w:val="001A5DE4"/>
    <w:rsid w:val="001C0A71"/>
    <w:rsid w:val="001C10C9"/>
    <w:rsid w:val="001C24C3"/>
    <w:rsid w:val="001C40C1"/>
    <w:rsid w:val="001C7585"/>
    <w:rsid w:val="001D6448"/>
    <w:rsid w:val="001F19F3"/>
    <w:rsid w:val="001F4734"/>
    <w:rsid w:val="00203C99"/>
    <w:rsid w:val="002129A3"/>
    <w:rsid w:val="002156C5"/>
    <w:rsid w:val="00216E88"/>
    <w:rsid w:val="002171B7"/>
    <w:rsid w:val="00223058"/>
    <w:rsid w:val="00223842"/>
    <w:rsid w:val="00225369"/>
    <w:rsid w:val="00232100"/>
    <w:rsid w:val="00246749"/>
    <w:rsid w:val="0026410A"/>
    <w:rsid w:val="0027666C"/>
    <w:rsid w:val="00294437"/>
    <w:rsid w:val="002B522E"/>
    <w:rsid w:val="002B77A0"/>
    <w:rsid w:val="002C3472"/>
    <w:rsid w:val="002C4924"/>
    <w:rsid w:val="002D3E5E"/>
    <w:rsid w:val="002D562B"/>
    <w:rsid w:val="002D65CF"/>
    <w:rsid w:val="002E14CF"/>
    <w:rsid w:val="002E54B4"/>
    <w:rsid w:val="002F0377"/>
    <w:rsid w:val="002F3A0C"/>
    <w:rsid w:val="002F5452"/>
    <w:rsid w:val="002F59F6"/>
    <w:rsid w:val="0030183C"/>
    <w:rsid w:val="00301897"/>
    <w:rsid w:val="0031293A"/>
    <w:rsid w:val="003169C8"/>
    <w:rsid w:val="00323AEE"/>
    <w:rsid w:val="003248A0"/>
    <w:rsid w:val="00332C14"/>
    <w:rsid w:val="00332C98"/>
    <w:rsid w:val="003342BF"/>
    <w:rsid w:val="00341D5C"/>
    <w:rsid w:val="003443D3"/>
    <w:rsid w:val="00350B6C"/>
    <w:rsid w:val="00352C01"/>
    <w:rsid w:val="00352CCA"/>
    <w:rsid w:val="00353AF9"/>
    <w:rsid w:val="0035601F"/>
    <w:rsid w:val="00365339"/>
    <w:rsid w:val="00373ABB"/>
    <w:rsid w:val="00376469"/>
    <w:rsid w:val="003834BB"/>
    <w:rsid w:val="00385BEF"/>
    <w:rsid w:val="00387D5E"/>
    <w:rsid w:val="00392E39"/>
    <w:rsid w:val="003A5C08"/>
    <w:rsid w:val="003A664D"/>
    <w:rsid w:val="003A7C3F"/>
    <w:rsid w:val="003B5F68"/>
    <w:rsid w:val="003B6B93"/>
    <w:rsid w:val="003B6C8C"/>
    <w:rsid w:val="003B71EE"/>
    <w:rsid w:val="003D1E49"/>
    <w:rsid w:val="003D434C"/>
    <w:rsid w:val="003D5622"/>
    <w:rsid w:val="003E3777"/>
    <w:rsid w:val="003F52BD"/>
    <w:rsid w:val="003F72D4"/>
    <w:rsid w:val="00406E09"/>
    <w:rsid w:val="00417C64"/>
    <w:rsid w:val="0043004F"/>
    <w:rsid w:val="00434F05"/>
    <w:rsid w:val="00476300"/>
    <w:rsid w:val="004929F7"/>
    <w:rsid w:val="00496E5F"/>
    <w:rsid w:val="004A4C5E"/>
    <w:rsid w:val="004C2F57"/>
    <w:rsid w:val="004C63D3"/>
    <w:rsid w:val="004D3426"/>
    <w:rsid w:val="004D4BE7"/>
    <w:rsid w:val="004D6FFB"/>
    <w:rsid w:val="004E2E45"/>
    <w:rsid w:val="004F7791"/>
    <w:rsid w:val="005143D6"/>
    <w:rsid w:val="00540DE3"/>
    <w:rsid w:val="00545876"/>
    <w:rsid w:val="00546BB5"/>
    <w:rsid w:val="00547591"/>
    <w:rsid w:val="00567C2B"/>
    <w:rsid w:val="0057144E"/>
    <w:rsid w:val="00573B0E"/>
    <w:rsid w:val="00580102"/>
    <w:rsid w:val="00581DF2"/>
    <w:rsid w:val="00587B0B"/>
    <w:rsid w:val="005909D0"/>
    <w:rsid w:val="00597237"/>
    <w:rsid w:val="005A09AB"/>
    <w:rsid w:val="005A2B8F"/>
    <w:rsid w:val="005B3085"/>
    <w:rsid w:val="005B5250"/>
    <w:rsid w:val="005B6311"/>
    <w:rsid w:val="005B6D1D"/>
    <w:rsid w:val="005C0EEF"/>
    <w:rsid w:val="005C39C4"/>
    <w:rsid w:val="005C53AF"/>
    <w:rsid w:val="005C7D0B"/>
    <w:rsid w:val="005D0C12"/>
    <w:rsid w:val="005D20B0"/>
    <w:rsid w:val="005D5520"/>
    <w:rsid w:val="005D6436"/>
    <w:rsid w:val="005D756C"/>
    <w:rsid w:val="005E2F82"/>
    <w:rsid w:val="005E39DB"/>
    <w:rsid w:val="005F6264"/>
    <w:rsid w:val="00614662"/>
    <w:rsid w:val="00620927"/>
    <w:rsid w:val="006225F9"/>
    <w:rsid w:val="00626703"/>
    <w:rsid w:val="00631CAB"/>
    <w:rsid w:val="00633B90"/>
    <w:rsid w:val="00635362"/>
    <w:rsid w:val="00641FF6"/>
    <w:rsid w:val="00645C43"/>
    <w:rsid w:val="00666C5B"/>
    <w:rsid w:val="006672F1"/>
    <w:rsid w:val="0067232A"/>
    <w:rsid w:val="00675C85"/>
    <w:rsid w:val="006818B9"/>
    <w:rsid w:val="00681C78"/>
    <w:rsid w:val="0068254C"/>
    <w:rsid w:val="00682B54"/>
    <w:rsid w:val="00690906"/>
    <w:rsid w:val="00690A91"/>
    <w:rsid w:val="006A0C77"/>
    <w:rsid w:val="006A3995"/>
    <w:rsid w:val="006B5EB3"/>
    <w:rsid w:val="006B7AC6"/>
    <w:rsid w:val="006C1519"/>
    <w:rsid w:val="006D2185"/>
    <w:rsid w:val="006D3C58"/>
    <w:rsid w:val="006D42BC"/>
    <w:rsid w:val="006E14D2"/>
    <w:rsid w:val="006F0D08"/>
    <w:rsid w:val="006F0D49"/>
    <w:rsid w:val="006F3950"/>
    <w:rsid w:val="006F7C2F"/>
    <w:rsid w:val="00712E81"/>
    <w:rsid w:val="00734213"/>
    <w:rsid w:val="007354D6"/>
    <w:rsid w:val="007415BB"/>
    <w:rsid w:val="007518AC"/>
    <w:rsid w:val="00757658"/>
    <w:rsid w:val="007621BE"/>
    <w:rsid w:val="00763E5B"/>
    <w:rsid w:val="00765CA1"/>
    <w:rsid w:val="00766671"/>
    <w:rsid w:val="0076689E"/>
    <w:rsid w:val="00775F49"/>
    <w:rsid w:val="00777256"/>
    <w:rsid w:val="00791CC1"/>
    <w:rsid w:val="007B02F6"/>
    <w:rsid w:val="007B2579"/>
    <w:rsid w:val="007B6FB5"/>
    <w:rsid w:val="007B700F"/>
    <w:rsid w:val="007C04B1"/>
    <w:rsid w:val="007C1370"/>
    <w:rsid w:val="007C41CB"/>
    <w:rsid w:val="007D0508"/>
    <w:rsid w:val="007E0A48"/>
    <w:rsid w:val="007E4B7A"/>
    <w:rsid w:val="007E6D81"/>
    <w:rsid w:val="007F0536"/>
    <w:rsid w:val="007F0C79"/>
    <w:rsid w:val="007F13C6"/>
    <w:rsid w:val="007F1EAE"/>
    <w:rsid w:val="007F478B"/>
    <w:rsid w:val="007F6777"/>
    <w:rsid w:val="007F75CD"/>
    <w:rsid w:val="0080252B"/>
    <w:rsid w:val="008048E6"/>
    <w:rsid w:val="00804974"/>
    <w:rsid w:val="0081277F"/>
    <w:rsid w:val="00812AFD"/>
    <w:rsid w:val="008149B8"/>
    <w:rsid w:val="00821E53"/>
    <w:rsid w:val="008233A5"/>
    <w:rsid w:val="008257C1"/>
    <w:rsid w:val="00833A86"/>
    <w:rsid w:val="008365D3"/>
    <w:rsid w:val="0084119B"/>
    <w:rsid w:val="008477F3"/>
    <w:rsid w:val="008510D8"/>
    <w:rsid w:val="008676A0"/>
    <w:rsid w:val="00880B78"/>
    <w:rsid w:val="008939BC"/>
    <w:rsid w:val="008A42DA"/>
    <w:rsid w:val="008A4539"/>
    <w:rsid w:val="008B0426"/>
    <w:rsid w:val="008B1872"/>
    <w:rsid w:val="008B3161"/>
    <w:rsid w:val="008B7AE1"/>
    <w:rsid w:val="008C41CE"/>
    <w:rsid w:val="008E7532"/>
    <w:rsid w:val="008F0C88"/>
    <w:rsid w:val="0090053B"/>
    <w:rsid w:val="0090515A"/>
    <w:rsid w:val="00917458"/>
    <w:rsid w:val="00925532"/>
    <w:rsid w:val="00933A3E"/>
    <w:rsid w:val="00937E2C"/>
    <w:rsid w:val="00942B28"/>
    <w:rsid w:val="009468B7"/>
    <w:rsid w:val="00986403"/>
    <w:rsid w:val="00990437"/>
    <w:rsid w:val="0099095A"/>
    <w:rsid w:val="009A4013"/>
    <w:rsid w:val="009A6927"/>
    <w:rsid w:val="009B1BCD"/>
    <w:rsid w:val="009B2F08"/>
    <w:rsid w:val="009D15ED"/>
    <w:rsid w:val="009D43F7"/>
    <w:rsid w:val="009D5689"/>
    <w:rsid w:val="009E19BF"/>
    <w:rsid w:val="009F3E89"/>
    <w:rsid w:val="009F617A"/>
    <w:rsid w:val="00A11C94"/>
    <w:rsid w:val="00A13F0A"/>
    <w:rsid w:val="00A148A3"/>
    <w:rsid w:val="00A149A5"/>
    <w:rsid w:val="00A16A2F"/>
    <w:rsid w:val="00A21C08"/>
    <w:rsid w:val="00A3155E"/>
    <w:rsid w:val="00A331DD"/>
    <w:rsid w:val="00A336D1"/>
    <w:rsid w:val="00A36624"/>
    <w:rsid w:val="00A4258D"/>
    <w:rsid w:val="00A42ABC"/>
    <w:rsid w:val="00A43A16"/>
    <w:rsid w:val="00A44ED7"/>
    <w:rsid w:val="00A50B35"/>
    <w:rsid w:val="00A51142"/>
    <w:rsid w:val="00A53844"/>
    <w:rsid w:val="00A56B59"/>
    <w:rsid w:val="00A6361C"/>
    <w:rsid w:val="00A67906"/>
    <w:rsid w:val="00A67E14"/>
    <w:rsid w:val="00A770FA"/>
    <w:rsid w:val="00A771B4"/>
    <w:rsid w:val="00A82E75"/>
    <w:rsid w:val="00A9632A"/>
    <w:rsid w:val="00AB3D07"/>
    <w:rsid w:val="00AB3FE9"/>
    <w:rsid w:val="00AC3E67"/>
    <w:rsid w:val="00AE60FE"/>
    <w:rsid w:val="00AF1A77"/>
    <w:rsid w:val="00AF4771"/>
    <w:rsid w:val="00AF64F4"/>
    <w:rsid w:val="00AF793A"/>
    <w:rsid w:val="00B061CA"/>
    <w:rsid w:val="00B15ED9"/>
    <w:rsid w:val="00B16293"/>
    <w:rsid w:val="00B1648B"/>
    <w:rsid w:val="00B22D3B"/>
    <w:rsid w:val="00B24842"/>
    <w:rsid w:val="00B26DCE"/>
    <w:rsid w:val="00B36A63"/>
    <w:rsid w:val="00B37A1D"/>
    <w:rsid w:val="00B45DAE"/>
    <w:rsid w:val="00B52F19"/>
    <w:rsid w:val="00B545B3"/>
    <w:rsid w:val="00B57250"/>
    <w:rsid w:val="00B648EC"/>
    <w:rsid w:val="00B64E5D"/>
    <w:rsid w:val="00B76C38"/>
    <w:rsid w:val="00B826C9"/>
    <w:rsid w:val="00B853A6"/>
    <w:rsid w:val="00B91C44"/>
    <w:rsid w:val="00B93978"/>
    <w:rsid w:val="00B958A4"/>
    <w:rsid w:val="00B975A3"/>
    <w:rsid w:val="00BA716A"/>
    <w:rsid w:val="00BB295E"/>
    <w:rsid w:val="00BB4F27"/>
    <w:rsid w:val="00BC00AB"/>
    <w:rsid w:val="00BC3EE1"/>
    <w:rsid w:val="00BD0D6B"/>
    <w:rsid w:val="00BD2048"/>
    <w:rsid w:val="00BD51A8"/>
    <w:rsid w:val="00BE73FF"/>
    <w:rsid w:val="00BE7A05"/>
    <w:rsid w:val="00BE7A8C"/>
    <w:rsid w:val="00BE7EF8"/>
    <w:rsid w:val="00BF1038"/>
    <w:rsid w:val="00BF1D58"/>
    <w:rsid w:val="00C04CE3"/>
    <w:rsid w:val="00C20473"/>
    <w:rsid w:val="00C233BF"/>
    <w:rsid w:val="00C25CD8"/>
    <w:rsid w:val="00C279B3"/>
    <w:rsid w:val="00C31C30"/>
    <w:rsid w:val="00C3390F"/>
    <w:rsid w:val="00C36851"/>
    <w:rsid w:val="00C45001"/>
    <w:rsid w:val="00C47047"/>
    <w:rsid w:val="00C5000F"/>
    <w:rsid w:val="00C54455"/>
    <w:rsid w:val="00C56158"/>
    <w:rsid w:val="00C56536"/>
    <w:rsid w:val="00C56F6E"/>
    <w:rsid w:val="00C76C09"/>
    <w:rsid w:val="00C82349"/>
    <w:rsid w:val="00C82B25"/>
    <w:rsid w:val="00C8507C"/>
    <w:rsid w:val="00C93397"/>
    <w:rsid w:val="00CA0452"/>
    <w:rsid w:val="00CA462B"/>
    <w:rsid w:val="00CA6AB0"/>
    <w:rsid w:val="00CB5768"/>
    <w:rsid w:val="00CB6D10"/>
    <w:rsid w:val="00CC517B"/>
    <w:rsid w:val="00CE0363"/>
    <w:rsid w:val="00CE585E"/>
    <w:rsid w:val="00CE5B1A"/>
    <w:rsid w:val="00CF1C71"/>
    <w:rsid w:val="00CF4DC9"/>
    <w:rsid w:val="00CF78D1"/>
    <w:rsid w:val="00D04A6E"/>
    <w:rsid w:val="00D06782"/>
    <w:rsid w:val="00D14D78"/>
    <w:rsid w:val="00D245AC"/>
    <w:rsid w:val="00D2464F"/>
    <w:rsid w:val="00D246DE"/>
    <w:rsid w:val="00D24C83"/>
    <w:rsid w:val="00D274D7"/>
    <w:rsid w:val="00D2762A"/>
    <w:rsid w:val="00D27987"/>
    <w:rsid w:val="00D66955"/>
    <w:rsid w:val="00D677CA"/>
    <w:rsid w:val="00D7469B"/>
    <w:rsid w:val="00D839DC"/>
    <w:rsid w:val="00D86B83"/>
    <w:rsid w:val="00D87426"/>
    <w:rsid w:val="00DA3D38"/>
    <w:rsid w:val="00DB0ECF"/>
    <w:rsid w:val="00DC1F18"/>
    <w:rsid w:val="00DD6888"/>
    <w:rsid w:val="00DE28FB"/>
    <w:rsid w:val="00DE4996"/>
    <w:rsid w:val="00DF1BFC"/>
    <w:rsid w:val="00E01F4E"/>
    <w:rsid w:val="00E148E7"/>
    <w:rsid w:val="00E14CD1"/>
    <w:rsid w:val="00E17F76"/>
    <w:rsid w:val="00E22752"/>
    <w:rsid w:val="00E316D3"/>
    <w:rsid w:val="00E408D9"/>
    <w:rsid w:val="00E434B1"/>
    <w:rsid w:val="00E47B31"/>
    <w:rsid w:val="00E56974"/>
    <w:rsid w:val="00E61479"/>
    <w:rsid w:val="00E6408A"/>
    <w:rsid w:val="00E65A4B"/>
    <w:rsid w:val="00E72FA8"/>
    <w:rsid w:val="00E75839"/>
    <w:rsid w:val="00E80CD5"/>
    <w:rsid w:val="00EB10B9"/>
    <w:rsid w:val="00EB5077"/>
    <w:rsid w:val="00ED5478"/>
    <w:rsid w:val="00ED70F4"/>
    <w:rsid w:val="00EF2F4D"/>
    <w:rsid w:val="00F00903"/>
    <w:rsid w:val="00F07D81"/>
    <w:rsid w:val="00F163B5"/>
    <w:rsid w:val="00F16E78"/>
    <w:rsid w:val="00F20176"/>
    <w:rsid w:val="00F212CD"/>
    <w:rsid w:val="00F22B1F"/>
    <w:rsid w:val="00F363EE"/>
    <w:rsid w:val="00F43922"/>
    <w:rsid w:val="00F46F54"/>
    <w:rsid w:val="00F5134D"/>
    <w:rsid w:val="00F52CCD"/>
    <w:rsid w:val="00F64863"/>
    <w:rsid w:val="00F70D3B"/>
    <w:rsid w:val="00F70F62"/>
    <w:rsid w:val="00F73A98"/>
    <w:rsid w:val="00F74033"/>
    <w:rsid w:val="00F76878"/>
    <w:rsid w:val="00F77CC5"/>
    <w:rsid w:val="00F81E6E"/>
    <w:rsid w:val="00F87E27"/>
    <w:rsid w:val="00F93701"/>
    <w:rsid w:val="00F96480"/>
    <w:rsid w:val="00FA2DCB"/>
    <w:rsid w:val="00FB5F22"/>
    <w:rsid w:val="00FB76A1"/>
    <w:rsid w:val="00FB7D17"/>
    <w:rsid w:val="00FC73AC"/>
    <w:rsid w:val="00FE0391"/>
    <w:rsid w:val="00FF2F60"/>
    <w:rsid w:val="00FF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B08C"/>
  <w15:docId w15:val="{A94B1C00-94CB-4FE8-88CE-CB8ED545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3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3D3"/>
    <w:pPr>
      <w:ind w:left="720"/>
      <w:contextualSpacing/>
    </w:pPr>
  </w:style>
  <w:style w:type="table" w:customStyle="1" w:styleId="TableGrid1">
    <w:name w:val="Table Grid1"/>
    <w:basedOn w:val="TableNormal"/>
    <w:next w:val="TableGrid"/>
    <w:uiPriority w:val="59"/>
    <w:rsid w:val="004C63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D3"/>
    <w:rPr>
      <w:rFonts w:eastAsiaTheme="minorEastAsia"/>
    </w:rPr>
  </w:style>
  <w:style w:type="paragraph" w:styleId="Footer">
    <w:name w:val="footer"/>
    <w:basedOn w:val="Normal"/>
    <w:link w:val="FooterChar"/>
    <w:uiPriority w:val="99"/>
    <w:unhideWhenUsed/>
    <w:rsid w:val="004C6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D3"/>
    <w:rPr>
      <w:rFonts w:eastAsiaTheme="minorEastAsia"/>
    </w:rPr>
  </w:style>
  <w:style w:type="character" w:styleId="Hyperlink">
    <w:name w:val="Hyperlink"/>
    <w:basedOn w:val="DefaultParagraphFont"/>
    <w:unhideWhenUsed/>
    <w:rsid w:val="00A148A3"/>
    <w:rPr>
      <w:color w:val="0000FF" w:themeColor="hyperlink"/>
      <w:u w:val="single"/>
    </w:rPr>
  </w:style>
  <w:style w:type="paragraph" w:customStyle="1" w:styleId="Default">
    <w:name w:val="Default"/>
    <w:rsid w:val="0091745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1293A"/>
    <w:rPr>
      <w:sz w:val="16"/>
      <w:szCs w:val="16"/>
    </w:rPr>
  </w:style>
  <w:style w:type="paragraph" w:styleId="CommentText">
    <w:name w:val="annotation text"/>
    <w:basedOn w:val="Normal"/>
    <w:link w:val="CommentTextChar"/>
    <w:uiPriority w:val="99"/>
    <w:semiHidden/>
    <w:unhideWhenUsed/>
    <w:rsid w:val="0031293A"/>
    <w:pPr>
      <w:spacing w:line="240" w:lineRule="auto"/>
    </w:pPr>
    <w:rPr>
      <w:sz w:val="20"/>
      <w:szCs w:val="20"/>
    </w:rPr>
  </w:style>
  <w:style w:type="character" w:customStyle="1" w:styleId="CommentTextChar">
    <w:name w:val="Comment Text Char"/>
    <w:basedOn w:val="DefaultParagraphFont"/>
    <w:link w:val="CommentText"/>
    <w:uiPriority w:val="99"/>
    <w:semiHidden/>
    <w:rsid w:val="0031293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1293A"/>
    <w:rPr>
      <w:b/>
      <w:bCs/>
    </w:rPr>
  </w:style>
  <w:style w:type="character" w:customStyle="1" w:styleId="CommentSubjectChar">
    <w:name w:val="Comment Subject Char"/>
    <w:basedOn w:val="CommentTextChar"/>
    <w:link w:val="CommentSubject"/>
    <w:uiPriority w:val="99"/>
    <w:semiHidden/>
    <w:rsid w:val="0031293A"/>
    <w:rPr>
      <w:rFonts w:eastAsiaTheme="minorEastAsia"/>
      <w:b/>
      <w:bCs/>
      <w:sz w:val="20"/>
      <w:szCs w:val="20"/>
    </w:rPr>
  </w:style>
  <w:style w:type="paragraph" w:styleId="BalloonText">
    <w:name w:val="Balloon Text"/>
    <w:basedOn w:val="Normal"/>
    <w:link w:val="BalloonTextChar"/>
    <w:uiPriority w:val="99"/>
    <w:semiHidden/>
    <w:unhideWhenUsed/>
    <w:rsid w:val="00312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93A"/>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8149B8"/>
    <w:rPr>
      <w:color w:val="800080" w:themeColor="followedHyperlink"/>
      <w:u w:val="single"/>
    </w:rPr>
  </w:style>
  <w:style w:type="paragraph" w:styleId="BodyText">
    <w:name w:val="Body Text"/>
    <w:basedOn w:val="Normal"/>
    <w:link w:val="BodyTextChar"/>
    <w:uiPriority w:val="1"/>
    <w:qFormat/>
    <w:rsid w:val="00FE0391"/>
    <w:pPr>
      <w:autoSpaceDE w:val="0"/>
      <w:autoSpaceDN w:val="0"/>
      <w:adjustRightInd w:val="0"/>
      <w:spacing w:after="0" w:line="240" w:lineRule="auto"/>
      <w:ind w:left="40"/>
    </w:pPr>
    <w:rPr>
      <w:rFonts w:ascii="Calibri" w:eastAsiaTheme="minorHAnsi" w:hAnsi="Calibri" w:cs="Calibri"/>
    </w:rPr>
  </w:style>
  <w:style w:type="character" w:customStyle="1" w:styleId="BodyTextChar">
    <w:name w:val="Body Text Char"/>
    <w:basedOn w:val="DefaultParagraphFont"/>
    <w:link w:val="BodyText"/>
    <w:uiPriority w:val="1"/>
    <w:rsid w:val="00FE0391"/>
    <w:rPr>
      <w:rFonts w:ascii="Calibri" w:hAnsi="Calibri" w:cs="Calibri"/>
    </w:rPr>
  </w:style>
  <w:style w:type="paragraph" w:styleId="NoSpacing">
    <w:name w:val="No Spacing"/>
    <w:uiPriority w:val="1"/>
    <w:qFormat/>
    <w:rsid w:val="00675C8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2507">
      <w:bodyDiv w:val="1"/>
      <w:marLeft w:val="0"/>
      <w:marRight w:val="0"/>
      <w:marTop w:val="0"/>
      <w:marBottom w:val="0"/>
      <w:divBdr>
        <w:top w:val="none" w:sz="0" w:space="0" w:color="auto"/>
        <w:left w:val="none" w:sz="0" w:space="0" w:color="auto"/>
        <w:bottom w:val="none" w:sz="0" w:space="0" w:color="auto"/>
        <w:right w:val="none" w:sz="0" w:space="0" w:color="auto"/>
      </w:divBdr>
      <w:divsChild>
        <w:div w:id="875771381">
          <w:marLeft w:val="0"/>
          <w:marRight w:val="0"/>
          <w:marTop w:val="0"/>
          <w:marBottom w:val="0"/>
          <w:divBdr>
            <w:top w:val="none" w:sz="0" w:space="0" w:color="auto"/>
            <w:left w:val="none" w:sz="0" w:space="0" w:color="auto"/>
            <w:bottom w:val="none" w:sz="0" w:space="0" w:color="auto"/>
            <w:right w:val="none" w:sz="0" w:space="0" w:color="auto"/>
          </w:divBdr>
          <w:divsChild>
            <w:div w:id="830371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821047781">
      <w:bodyDiv w:val="1"/>
      <w:marLeft w:val="0"/>
      <w:marRight w:val="0"/>
      <w:marTop w:val="0"/>
      <w:marBottom w:val="0"/>
      <w:divBdr>
        <w:top w:val="none" w:sz="0" w:space="0" w:color="auto"/>
        <w:left w:val="none" w:sz="0" w:space="0" w:color="auto"/>
        <w:bottom w:val="none" w:sz="0" w:space="0" w:color="auto"/>
        <w:right w:val="none" w:sz="0" w:space="0" w:color="auto"/>
      </w:divBdr>
      <w:divsChild>
        <w:div w:id="598022454">
          <w:marLeft w:val="0"/>
          <w:marRight w:val="0"/>
          <w:marTop w:val="0"/>
          <w:marBottom w:val="0"/>
          <w:divBdr>
            <w:top w:val="none" w:sz="0" w:space="0" w:color="auto"/>
            <w:left w:val="none" w:sz="0" w:space="0" w:color="auto"/>
            <w:bottom w:val="none" w:sz="0" w:space="0" w:color="auto"/>
            <w:right w:val="none" w:sz="0" w:space="0" w:color="auto"/>
          </w:divBdr>
        </w:div>
      </w:divsChild>
    </w:div>
    <w:div w:id="1158957508">
      <w:bodyDiv w:val="1"/>
      <w:marLeft w:val="0"/>
      <w:marRight w:val="0"/>
      <w:marTop w:val="0"/>
      <w:marBottom w:val="0"/>
      <w:divBdr>
        <w:top w:val="none" w:sz="0" w:space="0" w:color="auto"/>
        <w:left w:val="none" w:sz="0" w:space="0" w:color="auto"/>
        <w:bottom w:val="none" w:sz="0" w:space="0" w:color="auto"/>
        <w:right w:val="none" w:sz="0" w:space="0" w:color="auto"/>
      </w:divBdr>
    </w:div>
    <w:div w:id="21241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finance/sfCOA.htm" TargetMode="External"/><Relationship Id="rId13" Type="http://schemas.openxmlformats.org/officeDocument/2006/relationships/hyperlink" Target="http://www.cde.state.co.us/nutrition/capitalequipmentpurchases" TargetMode="External"/><Relationship Id="rId18" Type="http://schemas.openxmlformats.org/officeDocument/2006/relationships/hyperlink" Target="http://www.cde.state.co.us/nutrition/fianancialnonprogramrevenu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de.state.co.us/nutrition/nutritionfinancial" TargetMode="External"/><Relationship Id="rId7" Type="http://schemas.openxmlformats.org/officeDocument/2006/relationships/endnotes" Target="endnotes.xml"/><Relationship Id="rId12" Type="http://schemas.openxmlformats.org/officeDocument/2006/relationships/hyperlink" Target="http://www.cde.state.co.us/nutrition/capitalequipmentpurchases" TargetMode="External"/><Relationship Id="rId17" Type="http://schemas.openxmlformats.org/officeDocument/2006/relationships/hyperlink" Target="http://www.cde.state.co.us/nutrition/nutripaidlunchequi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fr.gov/cgi-bin/text-idx?rgn=div5&amp;node=7:4.1.1.1.1" TargetMode="External"/><Relationship Id="rId20" Type="http://schemas.openxmlformats.org/officeDocument/2006/relationships/hyperlink" Target="http://www.cde.state.co.us/nutrition/fianancialnonprogramreven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7180cdb25aa74a63b31a7d218a41aa6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de.state.co.us/nutrition/nutripaidlunchequity" TargetMode="External"/><Relationship Id="rId23" Type="http://schemas.openxmlformats.org/officeDocument/2006/relationships/hyperlink" Target="http://www.cde.state.co.us/cdefinance/icrc" TargetMode="External"/><Relationship Id="rId10" Type="http://schemas.openxmlformats.org/officeDocument/2006/relationships/hyperlink" Target="http://www.cde.state.co.us/nutrition/capitalequipmentpurchases" TargetMode="External"/><Relationship Id="rId19" Type="http://schemas.openxmlformats.org/officeDocument/2006/relationships/hyperlink" Target="https://app.smartsheet.com/b/form/7180cdb25aa74a63b31a7d218a41aa6f" TargetMode="External"/><Relationship Id="rId4" Type="http://schemas.openxmlformats.org/officeDocument/2006/relationships/settings" Target="settings.xml"/><Relationship Id="rId9" Type="http://schemas.openxmlformats.org/officeDocument/2006/relationships/hyperlink" Target="https://docs.google.com/forms/d/e/1FAIpQLSck00XagoGzXI4AgFCGsvL7Ei8MxVXjA4RjeDA5OO_VQg30eg/viewform?usp=sf_link" TargetMode="External"/><Relationship Id="rId14" Type="http://schemas.openxmlformats.org/officeDocument/2006/relationships/hyperlink" Target="https://app.smartsheet.com/b/form/7180cdb25aa74a63b31a7d218a41aa6f" TargetMode="External"/><Relationship Id="rId22" Type="http://schemas.openxmlformats.org/officeDocument/2006/relationships/hyperlink" Target="http://www.cde.state.co.us/nutrition/nutritionfinancia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F399-2AB8-4D59-B0CB-7A9FE0E3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Brehan</dc:creator>
  <cp:lastModifiedBy>Burnham, Rachael</cp:lastModifiedBy>
  <cp:revision>3</cp:revision>
  <dcterms:created xsi:type="dcterms:W3CDTF">2022-10-04T19:46:00Z</dcterms:created>
  <dcterms:modified xsi:type="dcterms:W3CDTF">2022-10-04T19:48:00Z</dcterms:modified>
</cp:coreProperties>
</file>