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136" w:type="dxa"/>
        <w:tblLook w:val="04A0" w:firstRow="1" w:lastRow="0" w:firstColumn="1" w:lastColumn="0" w:noHBand="0" w:noVBand="1"/>
      </w:tblPr>
      <w:tblGrid>
        <w:gridCol w:w="2430"/>
        <w:gridCol w:w="9706"/>
      </w:tblGrid>
      <w:tr w:rsidR="00431DF2" w:rsidRPr="00205F35" w14:paraId="6D14CF3B" w14:textId="77777777" w:rsidTr="00431DF2">
        <w:trPr>
          <w:trHeight w:val="855"/>
        </w:trPr>
        <w:tc>
          <w:tcPr>
            <w:tcW w:w="12136" w:type="dxa"/>
            <w:gridSpan w:val="2"/>
            <w:tcBorders>
              <w:top w:val="nil"/>
              <w:left w:val="nil"/>
              <w:right w:val="nil"/>
            </w:tcBorders>
            <w:shd w:val="clear" w:color="000000" w:fill="FFFFFF"/>
            <w:noWrap/>
            <w:hideMark/>
          </w:tcPr>
          <w:p w14:paraId="0980B26E" w14:textId="77777777" w:rsidR="00431DF2" w:rsidRPr="00205F35" w:rsidRDefault="00431DF2" w:rsidP="00205F35">
            <w:pPr>
              <w:contextualSpacing w:val="0"/>
              <w:jc w:val="center"/>
              <w:rPr>
                <w:rFonts w:ascii="Times New Roman" w:eastAsia="Times New Roman" w:hAnsi="Times New Roman" w:cs="Times New Roman"/>
                <w:b/>
                <w:bCs/>
                <w:color w:val="000000"/>
                <w:kern w:val="0"/>
                <w:sz w:val="32"/>
                <w:szCs w:val="32"/>
              </w:rPr>
            </w:pPr>
            <w:r w:rsidRPr="00205F35">
              <w:rPr>
                <w:rFonts w:ascii="Times New Roman" w:eastAsia="Times New Roman" w:hAnsi="Times New Roman" w:cs="Times New Roman"/>
                <w:b/>
                <w:bCs/>
                <w:color w:val="000000"/>
                <w:kern w:val="0"/>
                <w:sz w:val="32"/>
                <w:szCs w:val="32"/>
              </w:rPr>
              <w:t>School Bullying Prevention and Education Grant (BPEG) Program</w:t>
            </w:r>
          </w:p>
          <w:p w14:paraId="74D3669F" w14:textId="2949C8E1" w:rsidR="00431DF2" w:rsidRPr="00205F35" w:rsidRDefault="00431DF2" w:rsidP="00205F35">
            <w:pPr>
              <w:jc w:val="center"/>
              <w:rPr>
                <w:rFonts w:ascii="Times New Roman" w:eastAsia="Times New Roman" w:hAnsi="Times New Roman" w:cs="Times New Roman"/>
                <w:b/>
                <w:bCs/>
                <w:color w:val="000000"/>
                <w:kern w:val="0"/>
                <w:sz w:val="32"/>
                <w:szCs w:val="32"/>
              </w:rPr>
            </w:pPr>
            <w:r w:rsidRPr="00205F35">
              <w:rPr>
                <w:rFonts w:ascii="Times New Roman" w:eastAsia="Times New Roman" w:hAnsi="Times New Roman" w:cs="Times New Roman"/>
                <w:b/>
                <w:bCs/>
                <w:color w:val="000000"/>
                <w:kern w:val="0"/>
                <w:sz w:val="32"/>
                <w:szCs w:val="32"/>
              </w:rPr>
              <w:t>Practice Profiles</w:t>
            </w:r>
          </w:p>
        </w:tc>
      </w:tr>
      <w:tr w:rsidR="00205F35" w:rsidRPr="00205F35" w14:paraId="52945BA2" w14:textId="77777777" w:rsidTr="004C44B9">
        <w:trPr>
          <w:trHeight w:val="315"/>
        </w:trPr>
        <w:tc>
          <w:tcPr>
            <w:tcW w:w="2430" w:type="dxa"/>
            <w:tcBorders>
              <w:left w:val="nil"/>
              <w:bottom w:val="nil"/>
              <w:right w:val="nil"/>
            </w:tcBorders>
            <w:shd w:val="clear" w:color="000000" w:fill="FFFFFF"/>
            <w:noWrap/>
            <w:vAlign w:val="bottom"/>
            <w:hideMark/>
          </w:tcPr>
          <w:p w14:paraId="5076947E" w14:textId="7FEDB63F" w:rsidR="00205F35" w:rsidRPr="00205F35" w:rsidRDefault="00205F35" w:rsidP="00205F35">
            <w:pPr>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 </w:t>
            </w:r>
          </w:p>
        </w:tc>
        <w:tc>
          <w:tcPr>
            <w:tcW w:w="9706" w:type="dxa"/>
            <w:tcBorders>
              <w:left w:val="nil"/>
              <w:right w:val="nil"/>
            </w:tcBorders>
            <w:shd w:val="clear" w:color="000000" w:fill="FFFFFF"/>
            <w:noWrap/>
            <w:vAlign w:val="bottom"/>
            <w:hideMark/>
          </w:tcPr>
          <w:p w14:paraId="702B9231" w14:textId="77777777" w:rsidR="00205F35" w:rsidRPr="00205F35" w:rsidRDefault="00205F35" w:rsidP="00205F35">
            <w:pPr>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 </w:t>
            </w:r>
          </w:p>
        </w:tc>
      </w:tr>
      <w:tr w:rsidR="00205F35" w:rsidRPr="00205F35" w14:paraId="76AD202A" w14:textId="77777777" w:rsidTr="004C44B9">
        <w:trPr>
          <w:trHeight w:val="1755"/>
        </w:trPr>
        <w:tc>
          <w:tcPr>
            <w:tcW w:w="2430" w:type="dxa"/>
            <w:tcBorders>
              <w:top w:val="nil"/>
              <w:left w:val="nil"/>
              <w:bottom w:val="nil"/>
            </w:tcBorders>
            <w:shd w:val="clear" w:color="000000" w:fill="FFFFFF"/>
            <w:noWrap/>
            <w:hideMark/>
          </w:tcPr>
          <w:p w14:paraId="208C3D2E" w14:textId="1FD761F0" w:rsidR="00205F35" w:rsidRPr="00205F35" w:rsidRDefault="00205F35" w:rsidP="009278F0">
            <w:pPr>
              <w:contextualSpacing w:val="0"/>
              <w:rPr>
                <w:rFonts w:ascii="Times New Roman" w:eastAsia="Times New Roman" w:hAnsi="Times New Roman" w:cs="Times New Roman"/>
                <w:b/>
                <w:bCs/>
                <w:color w:val="000000"/>
                <w:kern w:val="0"/>
                <w:sz w:val="24"/>
                <w:szCs w:val="24"/>
              </w:rPr>
            </w:pPr>
            <w:r w:rsidRPr="00205F35">
              <w:rPr>
                <w:rFonts w:ascii="Times New Roman" w:eastAsia="Times New Roman" w:hAnsi="Times New Roman" w:cs="Times New Roman"/>
                <w:b/>
                <w:bCs/>
                <w:color w:val="000000"/>
                <w:kern w:val="0"/>
                <w:sz w:val="24"/>
                <w:szCs w:val="24"/>
              </w:rPr>
              <w:t>Purpose:</w:t>
            </w:r>
          </w:p>
        </w:tc>
        <w:tc>
          <w:tcPr>
            <w:tcW w:w="9706" w:type="dxa"/>
            <w:tcBorders>
              <w:top w:val="nil"/>
              <w:bottom w:val="nil"/>
              <w:right w:val="nil"/>
            </w:tcBorders>
            <w:shd w:val="clear" w:color="auto" w:fill="auto"/>
            <w:hideMark/>
          </w:tcPr>
          <w:p w14:paraId="3F13D3B2" w14:textId="77777777" w:rsidR="00205F35" w:rsidRPr="00205F35" w:rsidRDefault="00205F35" w:rsidP="009278F0">
            <w:pPr>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Practice Profiles identify the core components of a program and describe the key activities that are associated with each core component. Practice Profiles enable a program to be teachable, learnable, and doable. These Practice Profiles have been developed for BPEG program grantees in an effort to support their knowledge and understanding of what expected implementation of the BPEG program looks like in practice.</w:t>
            </w:r>
          </w:p>
        </w:tc>
      </w:tr>
      <w:tr w:rsidR="00205F35" w:rsidRPr="00205F35" w14:paraId="355F2307" w14:textId="77777777" w:rsidTr="004C44B9">
        <w:trPr>
          <w:trHeight w:val="315"/>
        </w:trPr>
        <w:tc>
          <w:tcPr>
            <w:tcW w:w="2430" w:type="dxa"/>
            <w:tcBorders>
              <w:top w:val="nil"/>
              <w:left w:val="nil"/>
              <w:bottom w:val="nil"/>
            </w:tcBorders>
            <w:shd w:val="clear" w:color="000000" w:fill="FFFFFF"/>
            <w:noWrap/>
            <w:vAlign w:val="center"/>
            <w:hideMark/>
          </w:tcPr>
          <w:p w14:paraId="6AB7D68E" w14:textId="77777777" w:rsidR="00205F35" w:rsidRPr="00205F35" w:rsidRDefault="00205F35" w:rsidP="00205F35">
            <w:pPr>
              <w:contextualSpacing w:val="0"/>
              <w:rPr>
                <w:rFonts w:ascii="Times New Roman" w:eastAsia="Times New Roman" w:hAnsi="Times New Roman" w:cs="Times New Roman"/>
                <w:b/>
                <w:bCs/>
                <w:color w:val="000000"/>
                <w:kern w:val="0"/>
                <w:sz w:val="24"/>
                <w:szCs w:val="24"/>
              </w:rPr>
            </w:pPr>
            <w:r w:rsidRPr="00205F35">
              <w:rPr>
                <w:rFonts w:ascii="Times New Roman" w:eastAsia="Times New Roman" w:hAnsi="Times New Roman" w:cs="Times New Roman"/>
                <w:b/>
                <w:bCs/>
                <w:color w:val="000000"/>
                <w:kern w:val="0"/>
                <w:sz w:val="24"/>
                <w:szCs w:val="24"/>
              </w:rPr>
              <w:t> </w:t>
            </w:r>
          </w:p>
        </w:tc>
        <w:tc>
          <w:tcPr>
            <w:tcW w:w="9706" w:type="dxa"/>
            <w:tcBorders>
              <w:top w:val="nil"/>
              <w:bottom w:val="nil"/>
              <w:right w:val="nil"/>
            </w:tcBorders>
            <w:shd w:val="clear" w:color="000000" w:fill="FFFFFF"/>
            <w:noWrap/>
            <w:hideMark/>
          </w:tcPr>
          <w:p w14:paraId="29AEE39F" w14:textId="77777777" w:rsidR="00205F35" w:rsidRPr="00205F35" w:rsidRDefault="00205F35" w:rsidP="00205F35">
            <w:pPr>
              <w:ind w:firstLineChars="100" w:firstLine="240"/>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 </w:t>
            </w:r>
          </w:p>
        </w:tc>
      </w:tr>
      <w:tr w:rsidR="00205F35" w:rsidRPr="00205F35" w14:paraId="534CAE59" w14:textId="77777777" w:rsidTr="004C44B9">
        <w:trPr>
          <w:trHeight w:val="765"/>
        </w:trPr>
        <w:tc>
          <w:tcPr>
            <w:tcW w:w="2430" w:type="dxa"/>
            <w:tcBorders>
              <w:top w:val="nil"/>
              <w:left w:val="nil"/>
              <w:bottom w:val="nil"/>
            </w:tcBorders>
            <w:shd w:val="clear" w:color="000000" w:fill="FFFFFF"/>
            <w:noWrap/>
            <w:hideMark/>
          </w:tcPr>
          <w:p w14:paraId="1DCF9C56" w14:textId="5E985CC5" w:rsidR="00205F35" w:rsidRPr="00205F35" w:rsidRDefault="00205F35" w:rsidP="009278F0">
            <w:pPr>
              <w:contextualSpacing w:val="0"/>
              <w:rPr>
                <w:rFonts w:ascii="Times New Roman" w:eastAsia="Times New Roman" w:hAnsi="Times New Roman" w:cs="Times New Roman"/>
                <w:b/>
                <w:bCs/>
                <w:color w:val="000000"/>
                <w:kern w:val="0"/>
                <w:sz w:val="24"/>
                <w:szCs w:val="24"/>
              </w:rPr>
            </w:pPr>
            <w:r w:rsidRPr="00205F35">
              <w:rPr>
                <w:rFonts w:ascii="Times New Roman" w:eastAsia="Times New Roman" w:hAnsi="Times New Roman" w:cs="Times New Roman"/>
                <w:b/>
                <w:bCs/>
                <w:color w:val="000000"/>
                <w:kern w:val="0"/>
                <w:sz w:val="24"/>
                <w:szCs w:val="24"/>
              </w:rPr>
              <w:t>Audience:</w:t>
            </w:r>
          </w:p>
        </w:tc>
        <w:tc>
          <w:tcPr>
            <w:tcW w:w="9706" w:type="dxa"/>
            <w:tcBorders>
              <w:top w:val="nil"/>
              <w:bottom w:val="nil"/>
              <w:right w:val="nil"/>
            </w:tcBorders>
            <w:shd w:val="clear" w:color="000000" w:fill="FFFFFF"/>
            <w:hideMark/>
          </w:tcPr>
          <w:p w14:paraId="40AD4C16" w14:textId="09F7C3E6" w:rsidR="00205F35" w:rsidRPr="00205F35" w:rsidRDefault="00205F35" w:rsidP="009278F0">
            <w:pPr>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 xml:space="preserve">These Practice Profiles were designed to be used by BPEG Implementation Teams, applicants for the BPEG program, and other educational professionals across the state of Colorado. </w:t>
            </w:r>
          </w:p>
        </w:tc>
      </w:tr>
      <w:tr w:rsidR="00205F35" w:rsidRPr="00205F35" w14:paraId="5328F80A" w14:textId="77777777" w:rsidTr="004C44B9">
        <w:trPr>
          <w:trHeight w:val="315"/>
        </w:trPr>
        <w:tc>
          <w:tcPr>
            <w:tcW w:w="2430" w:type="dxa"/>
            <w:tcBorders>
              <w:top w:val="nil"/>
              <w:left w:val="nil"/>
              <w:bottom w:val="nil"/>
            </w:tcBorders>
            <w:shd w:val="clear" w:color="000000" w:fill="FFFFFF"/>
            <w:noWrap/>
            <w:vAlign w:val="center"/>
            <w:hideMark/>
          </w:tcPr>
          <w:p w14:paraId="3FC97BAD" w14:textId="54574195" w:rsidR="00205F35" w:rsidRPr="00205F35" w:rsidRDefault="00205F35" w:rsidP="00205F35">
            <w:pPr>
              <w:contextualSpacing w:val="0"/>
              <w:rPr>
                <w:rFonts w:ascii="Times New Roman" w:eastAsia="Times New Roman" w:hAnsi="Times New Roman" w:cs="Times New Roman"/>
                <w:b/>
                <w:bCs/>
                <w:color w:val="000000"/>
                <w:kern w:val="0"/>
                <w:sz w:val="24"/>
                <w:szCs w:val="24"/>
              </w:rPr>
            </w:pPr>
            <w:r w:rsidRPr="00205F35">
              <w:rPr>
                <w:rFonts w:ascii="Times New Roman" w:eastAsia="Times New Roman" w:hAnsi="Times New Roman" w:cs="Times New Roman"/>
                <w:b/>
                <w:bCs/>
                <w:color w:val="000000"/>
                <w:kern w:val="0"/>
                <w:sz w:val="24"/>
                <w:szCs w:val="24"/>
              </w:rPr>
              <w:t> </w:t>
            </w:r>
          </w:p>
        </w:tc>
        <w:tc>
          <w:tcPr>
            <w:tcW w:w="9706" w:type="dxa"/>
            <w:tcBorders>
              <w:top w:val="nil"/>
              <w:bottom w:val="nil"/>
              <w:right w:val="nil"/>
            </w:tcBorders>
            <w:shd w:val="clear" w:color="000000" w:fill="FFFFFF"/>
            <w:noWrap/>
            <w:vAlign w:val="bottom"/>
            <w:hideMark/>
          </w:tcPr>
          <w:p w14:paraId="2F9A728B" w14:textId="77777777" w:rsidR="00205F35" w:rsidRPr="00205F35" w:rsidRDefault="00205F35" w:rsidP="00205F35">
            <w:pPr>
              <w:ind w:firstLineChars="100" w:firstLine="240"/>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 </w:t>
            </w:r>
          </w:p>
        </w:tc>
      </w:tr>
      <w:tr w:rsidR="00205F35" w:rsidRPr="00205F35" w14:paraId="1A64DDE4" w14:textId="77777777" w:rsidTr="004C44B9">
        <w:trPr>
          <w:trHeight w:val="2295"/>
        </w:trPr>
        <w:tc>
          <w:tcPr>
            <w:tcW w:w="2430" w:type="dxa"/>
            <w:tcBorders>
              <w:top w:val="nil"/>
              <w:left w:val="nil"/>
              <w:bottom w:val="nil"/>
            </w:tcBorders>
            <w:shd w:val="clear" w:color="000000" w:fill="FFFFFF"/>
            <w:noWrap/>
            <w:hideMark/>
          </w:tcPr>
          <w:p w14:paraId="65C084A7" w14:textId="748B1D90" w:rsidR="00205F35" w:rsidRPr="00205F35" w:rsidRDefault="00205F35" w:rsidP="009278F0">
            <w:pPr>
              <w:contextualSpacing w:val="0"/>
              <w:rPr>
                <w:rFonts w:ascii="Times New Roman" w:eastAsia="Times New Roman" w:hAnsi="Times New Roman" w:cs="Times New Roman"/>
                <w:b/>
                <w:bCs/>
                <w:color w:val="000000"/>
                <w:kern w:val="0"/>
                <w:sz w:val="24"/>
                <w:szCs w:val="24"/>
              </w:rPr>
            </w:pPr>
            <w:r w:rsidRPr="00205F35">
              <w:rPr>
                <w:rFonts w:ascii="Times New Roman" w:eastAsia="Times New Roman" w:hAnsi="Times New Roman" w:cs="Times New Roman"/>
                <w:b/>
                <w:bCs/>
                <w:color w:val="000000"/>
                <w:kern w:val="0"/>
                <w:sz w:val="24"/>
                <w:szCs w:val="24"/>
              </w:rPr>
              <w:t>How to Use:</w:t>
            </w:r>
          </w:p>
        </w:tc>
        <w:tc>
          <w:tcPr>
            <w:tcW w:w="9706" w:type="dxa"/>
            <w:tcBorders>
              <w:top w:val="nil"/>
              <w:bottom w:val="nil"/>
              <w:right w:val="nil"/>
            </w:tcBorders>
            <w:shd w:val="clear" w:color="000000" w:fill="FFFFFF"/>
            <w:hideMark/>
          </w:tcPr>
          <w:p w14:paraId="25ADDF86" w14:textId="5C0F1089" w:rsidR="00205F35" w:rsidRPr="00205F35" w:rsidRDefault="00205F35" w:rsidP="009278F0">
            <w:pPr>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 xml:space="preserve">Individuals and teams may review each of the Practice Profiles to gain a better understanding of the expected activities in which BPEG program grantees engage. The title of each Practice Profile is the name of the corresponding BPEG Core Component. The top half of each Practice Profile includes the definition of the BPEG Core Component and how it relates to effective bullying prevention. In the bottom half of each Practice Profile, the left-most column describes the expected use of each activity of the Core Component. The middle column describes what the activity looks like when in development. The right-most column describes the unacceptable or non-existent use of each activity. </w:t>
            </w:r>
          </w:p>
        </w:tc>
      </w:tr>
      <w:tr w:rsidR="00205F35" w:rsidRPr="00205F35" w14:paraId="235AC613" w14:textId="77777777" w:rsidTr="004C44B9">
        <w:trPr>
          <w:trHeight w:val="315"/>
        </w:trPr>
        <w:tc>
          <w:tcPr>
            <w:tcW w:w="2430" w:type="dxa"/>
            <w:tcBorders>
              <w:top w:val="nil"/>
              <w:left w:val="nil"/>
            </w:tcBorders>
            <w:shd w:val="clear" w:color="000000" w:fill="FFFFFF"/>
            <w:noWrap/>
            <w:vAlign w:val="center"/>
            <w:hideMark/>
          </w:tcPr>
          <w:p w14:paraId="2AA12EE0" w14:textId="77777777" w:rsidR="00205F35" w:rsidRPr="00205F35" w:rsidRDefault="00205F35" w:rsidP="00205F35">
            <w:pPr>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 </w:t>
            </w:r>
          </w:p>
        </w:tc>
        <w:tc>
          <w:tcPr>
            <w:tcW w:w="9706" w:type="dxa"/>
            <w:tcBorders>
              <w:top w:val="nil"/>
              <w:right w:val="nil"/>
            </w:tcBorders>
            <w:shd w:val="clear" w:color="000000" w:fill="FFFFFF"/>
            <w:noWrap/>
            <w:vAlign w:val="bottom"/>
            <w:hideMark/>
          </w:tcPr>
          <w:p w14:paraId="048FFFF3" w14:textId="273298EF" w:rsidR="00205F35" w:rsidRPr="00205F35" w:rsidRDefault="00205F35" w:rsidP="00205F35">
            <w:pPr>
              <w:ind w:firstLineChars="100" w:firstLine="240"/>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 </w:t>
            </w:r>
          </w:p>
        </w:tc>
      </w:tr>
      <w:tr w:rsidR="00205F35" w:rsidRPr="00205F35" w14:paraId="42C705C4" w14:textId="77777777" w:rsidTr="004C44B9">
        <w:trPr>
          <w:trHeight w:val="1962"/>
        </w:trPr>
        <w:tc>
          <w:tcPr>
            <w:tcW w:w="2430" w:type="dxa"/>
            <w:tcBorders>
              <w:top w:val="nil"/>
              <w:left w:val="nil"/>
            </w:tcBorders>
            <w:shd w:val="clear" w:color="000000" w:fill="FFFFFF"/>
            <w:noWrap/>
            <w:hideMark/>
          </w:tcPr>
          <w:p w14:paraId="6C6D949A" w14:textId="7A90EC9E" w:rsidR="00205F35" w:rsidRPr="00205F35" w:rsidRDefault="004C44B9" w:rsidP="009278F0">
            <w:pPr>
              <w:contextualSpacing w:val="0"/>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noProof/>
                <w:color w:val="000000"/>
                <w:kern w:val="0"/>
                <w:sz w:val="24"/>
                <w:szCs w:val="24"/>
              </w:rPr>
              <w:drawing>
                <wp:anchor distT="0" distB="0" distL="114300" distR="114300" simplePos="0" relativeHeight="251658240" behindDoc="0" locked="0" layoutInCell="1" allowOverlap="1" wp14:anchorId="229E9DE9" wp14:editId="6C9D838C">
                  <wp:simplePos x="0" y="0"/>
                  <wp:positionH relativeFrom="column">
                    <wp:posOffset>-67058</wp:posOffset>
                  </wp:positionH>
                  <wp:positionV relativeFrom="paragraph">
                    <wp:posOffset>1229360</wp:posOffset>
                  </wp:positionV>
                  <wp:extent cx="2000250" cy="592455"/>
                  <wp:effectExtent l="0" t="0" r="0" b="0"/>
                  <wp:wrapNone/>
                  <wp:docPr id="109621059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10590" name="Picture 1"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0250" cy="592455"/>
                          </a:xfrm>
                          <a:prstGeom prst="rect">
                            <a:avLst/>
                          </a:prstGeom>
                        </pic:spPr>
                      </pic:pic>
                    </a:graphicData>
                  </a:graphic>
                  <wp14:sizeRelH relativeFrom="margin">
                    <wp14:pctWidth>0</wp14:pctWidth>
                  </wp14:sizeRelH>
                  <wp14:sizeRelV relativeFrom="margin">
                    <wp14:pctHeight>0</wp14:pctHeight>
                  </wp14:sizeRelV>
                </wp:anchor>
              </w:drawing>
            </w:r>
            <w:r w:rsidR="00205F35" w:rsidRPr="00205F35">
              <w:rPr>
                <w:rFonts w:ascii="Times New Roman" w:eastAsia="Times New Roman" w:hAnsi="Times New Roman" w:cs="Times New Roman"/>
                <w:b/>
                <w:bCs/>
                <w:color w:val="000000"/>
                <w:kern w:val="0"/>
                <w:sz w:val="24"/>
                <w:szCs w:val="24"/>
              </w:rPr>
              <w:t>Development:</w:t>
            </w:r>
          </w:p>
        </w:tc>
        <w:tc>
          <w:tcPr>
            <w:tcW w:w="9706" w:type="dxa"/>
            <w:tcBorders>
              <w:top w:val="nil"/>
              <w:right w:val="nil"/>
            </w:tcBorders>
            <w:shd w:val="clear" w:color="000000" w:fill="FFFFFF"/>
            <w:hideMark/>
          </w:tcPr>
          <w:p w14:paraId="42EABFA5" w14:textId="4CA7578C" w:rsidR="00205F35" w:rsidRPr="00205F35" w:rsidRDefault="004C44B9" w:rsidP="009278F0">
            <w:pPr>
              <w:contextualSpacing w:val="0"/>
              <w:rPr>
                <w:rFonts w:ascii="Times New Roman" w:eastAsia="Times New Roman" w:hAnsi="Times New Roman" w:cs="Times New Roman"/>
                <w:color w:val="000000"/>
                <w:kern w:val="0"/>
                <w:sz w:val="24"/>
                <w:szCs w:val="24"/>
              </w:rPr>
            </w:pPr>
            <w:r>
              <w:rPr>
                <w:rFonts w:ascii="Times New Roman" w:eastAsia="Times New Roman" w:hAnsi="Times New Roman" w:cs="Times New Roman"/>
                <w:b/>
                <w:bCs/>
                <w:noProof/>
                <w:color w:val="000000"/>
                <w:kern w:val="0"/>
                <w:sz w:val="24"/>
                <w:szCs w:val="24"/>
              </w:rPr>
              <w:drawing>
                <wp:anchor distT="0" distB="0" distL="114300" distR="114300" simplePos="0" relativeHeight="251659264" behindDoc="0" locked="0" layoutInCell="1" allowOverlap="1" wp14:anchorId="0477429F" wp14:editId="5F5F2D71">
                  <wp:simplePos x="0" y="0"/>
                  <wp:positionH relativeFrom="column">
                    <wp:posOffset>4244711</wp:posOffset>
                  </wp:positionH>
                  <wp:positionV relativeFrom="paragraph">
                    <wp:posOffset>1249045</wp:posOffset>
                  </wp:positionV>
                  <wp:extent cx="2371090" cy="398780"/>
                  <wp:effectExtent l="0" t="0" r="0" b="1270"/>
                  <wp:wrapNone/>
                  <wp:docPr id="1858700065"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00065" name="Picture 2" descr="Shap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1090" cy="398780"/>
                          </a:xfrm>
                          <a:prstGeom prst="rect">
                            <a:avLst/>
                          </a:prstGeom>
                        </pic:spPr>
                      </pic:pic>
                    </a:graphicData>
                  </a:graphic>
                  <wp14:sizeRelH relativeFrom="margin">
                    <wp14:pctWidth>0</wp14:pctWidth>
                  </wp14:sizeRelH>
                  <wp14:sizeRelV relativeFrom="margin">
                    <wp14:pctHeight>0</wp14:pctHeight>
                  </wp14:sizeRelV>
                </wp:anchor>
              </w:drawing>
            </w:r>
            <w:r w:rsidR="00205F35" w:rsidRPr="00205F35">
              <w:rPr>
                <w:rFonts w:ascii="Times New Roman" w:eastAsia="Times New Roman" w:hAnsi="Times New Roman" w:cs="Times New Roman"/>
                <w:color w:val="000000"/>
                <w:kern w:val="0"/>
                <w:sz w:val="24"/>
                <w:szCs w:val="24"/>
              </w:rPr>
              <w:t>The development of the BPEG Practice Profiles included a literature review of evidence-based best practices for bullying prevention. The core components of the BPEG program were then aligned with these best practices and the Colorado Multi-tiered System of Supports (COMTSS) framework. Individual activities for each core component were selected based on information from peer-reviewed journals and book chapters.</w:t>
            </w:r>
          </w:p>
        </w:tc>
      </w:tr>
      <w:tr w:rsidR="00205F35" w:rsidRPr="00205F35" w14:paraId="5678B209" w14:textId="77777777" w:rsidTr="00431DF2">
        <w:trPr>
          <w:trHeight w:val="465"/>
        </w:trPr>
        <w:tc>
          <w:tcPr>
            <w:tcW w:w="12136" w:type="dxa"/>
            <w:gridSpan w:val="2"/>
            <w:tcBorders>
              <w:top w:val="nil"/>
              <w:left w:val="nil"/>
              <w:right w:val="nil"/>
            </w:tcBorders>
            <w:shd w:val="clear" w:color="000000" w:fill="FFFFFF"/>
            <w:noWrap/>
            <w:vAlign w:val="center"/>
            <w:hideMark/>
          </w:tcPr>
          <w:p w14:paraId="47E97272" w14:textId="4620FCD9" w:rsidR="00431DF2" w:rsidRDefault="00431DF2" w:rsidP="00205F35">
            <w:pPr>
              <w:contextualSpacing w:val="0"/>
              <w:jc w:val="center"/>
              <w:rPr>
                <w:rFonts w:ascii="Times New Roman" w:eastAsia="Times New Roman" w:hAnsi="Times New Roman" w:cs="Times New Roman"/>
                <w:b/>
                <w:bCs/>
                <w:color w:val="000000"/>
                <w:kern w:val="0"/>
                <w:sz w:val="24"/>
                <w:szCs w:val="24"/>
              </w:rPr>
            </w:pPr>
          </w:p>
          <w:p w14:paraId="68350E76" w14:textId="12FB25E5" w:rsidR="00205F35" w:rsidRPr="00205F35" w:rsidRDefault="00205F35" w:rsidP="00205F35">
            <w:pPr>
              <w:contextualSpacing w:val="0"/>
              <w:jc w:val="center"/>
              <w:rPr>
                <w:rFonts w:ascii="Times New Roman" w:eastAsia="Times New Roman" w:hAnsi="Times New Roman" w:cs="Times New Roman"/>
                <w:b/>
                <w:bCs/>
                <w:color w:val="000000"/>
                <w:kern w:val="0"/>
                <w:sz w:val="24"/>
                <w:szCs w:val="24"/>
              </w:rPr>
            </w:pPr>
            <w:r w:rsidRPr="00205F35">
              <w:rPr>
                <w:rFonts w:ascii="Times New Roman" w:eastAsia="Times New Roman" w:hAnsi="Times New Roman" w:cs="Times New Roman"/>
                <w:b/>
                <w:bCs/>
                <w:color w:val="000000"/>
                <w:kern w:val="0"/>
                <w:sz w:val="24"/>
                <w:szCs w:val="24"/>
              </w:rPr>
              <w:lastRenderedPageBreak/>
              <w:t>Definitions</w:t>
            </w:r>
          </w:p>
        </w:tc>
      </w:tr>
      <w:tr w:rsidR="00205F35" w:rsidRPr="00205F35" w14:paraId="609D9186" w14:textId="77777777" w:rsidTr="004C44B9">
        <w:trPr>
          <w:trHeight w:val="360"/>
        </w:trPr>
        <w:tc>
          <w:tcPr>
            <w:tcW w:w="2430" w:type="dxa"/>
            <w:tcBorders>
              <w:left w:val="nil"/>
              <w:bottom w:val="nil"/>
              <w:right w:val="nil"/>
            </w:tcBorders>
            <w:shd w:val="clear" w:color="000000" w:fill="FFFFFF"/>
            <w:noWrap/>
            <w:vAlign w:val="center"/>
            <w:hideMark/>
          </w:tcPr>
          <w:p w14:paraId="6F52F60F" w14:textId="77777777" w:rsidR="00205F35" w:rsidRPr="00205F35" w:rsidRDefault="00205F35" w:rsidP="00205F35">
            <w:pPr>
              <w:contextualSpacing w:val="0"/>
              <w:jc w:val="center"/>
              <w:rPr>
                <w:rFonts w:ascii="Times New Roman" w:eastAsia="Times New Roman" w:hAnsi="Times New Roman" w:cs="Times New Roman"/>
                <w:b/>
                <w:bCs/>
                <w:color w:val="000000"/>
                <w:kern w:val="0"/>
                <w:sz w:val="24"/>
                <w:szCs w:val="24"/>
              </w:rPr>
            </w:pPr>
            <w:r w:rsidRPr="00205F35">
              <w:rPr>
                <w:rFonts w:ascii="Times New Roman" w:eastAsia="Times New Roman" w:hAnsi="Times New Roman" w:cs="Times New Roman"/>
                <w:b/>
                <w:bCs/>
                <w:color w:val="000000"/>
                <w:kern w:val="0"/>
                <w:sz w:val="24"/>
                <w:szCs w:val="24"/>
              </w:rPr>
              <w:lastRenderedPageBreak/>
              <w:t> </w:t>
            </w:r>
          </w:p>
        </w:tc>
        <w:tc>
          <w:tcPr>
            <w:tcW w:w="9706" w:type="dxa"/>
            <w:tcBorders>
              <w:left w:val="nil"/>
              <w:right w:val="nil"/>
            </w:tcBorders>
            <w:shd w:val="clear" w:color="000000" w:fill="FFFFFF"/>
            <w:noWrap/>
            <w:vAlign w:val="center"/>
            <w:hideMark/>
          </w:tcPr>
          <w:p w14:paraId="5CB681C7" w14:textId="77777777" w:rsidR="00205F35" w:rsidRPr="00205F35" w:rsidRDefault="00205F35" w:rsidP="00205F35">
            <w:pPr>
              <w:contextualSpacing w:val="0"/>
              <w:jc w:val="center"/>
              <w:rPr>
                <w:rFonts w:ascii="Times New Roman" w:eastAsia="Times New Roman" w:hAnsi="Times New Roman" w:cs="Times New Roman"/>
                <w:b/>
                <w:bCs/>
                <w:color w:val="000000"/>
                <w:kern w:val="0"/>
                <w:sz w:val="24"/>
                <w:szCs w:val="24"/>
              </w:rPr>
            </w:pPr>
            <w:r w:rsidRPr="00205F35">
              <w:rPr>
                <w:rFonts w:ascii="Times New Roman" w:eastAsia="Times New Roman" w:hAnsi="Times New Roman" w:cs="Times New Roman"/>
                <w:b/>
                <w:bCs/>
                <w:color w:val="000000"/>
                <w:kern w:val="0"/>
                <w:sz w:val="24"/>
                <w:szCs w:val="24"/>
              </w:rPr>
              <w:t> </w:t>
            </w:r>
          </w:p>
        </w:tc>
      </w:tr>
      <w:tr w:rsidR="00205F35" w:rsidRPr="00205F35" w14:paraId="5CCC8FF9" w14:textId="77777777" w:rsidTr="004C44B9">
        <w:trPr>
          <w:trHeight w:val="630"/>
        </w:trPr>
        <w:tc>
          <w:tcPr>
            <w:tcW w:w="2430" w:type="dxa"/>
            <w:tcBorders>
              <w:top w:val="nil"/>
              <w:left w:val="nil"/>
              <w:bottom w:val="nil"/>
            </w:tcBorders>
            <w:shd w:val="clear" w:color="000000" w:fill="FFFFFF"/>
            <w:hideMark/>
          </w:tcPr>
          <w:p w14:paraId="17E4A08B" w14:textId="77777777" w:rsidR="00205F35" w:rsidRPr="00205F35" w:rsidRDefault="00205F35" w:rsidP="009278F0">
            <w:pPr>
              <w:contextualSpacing w:val="0"/>
              <w:rPr>
                <w:rFonts w:ascii="Times New Roman" w:eastAsia="Times New Roman" w:hAnsi="Times New Roman" w:cs="Times New Roman"/>
                <w:b/>
                <w:bCs/>
                <w:color w:val="000000"/>
                <w:kern w:val="0"/>
                <w:sz w:val="24"/>
                <w:szCs w:val="24"/>
              </w:rPr>
            </w:pPr>
            <w:r w:rsidRPr="00205F35">
              <w:rPr>
                <w:rFonts w:ascii="Times New Roman" w:eastAsia="Times New Roman" w:hAnsi="Times New Roman" w:cs="Times New Roman"/>
                <w:b/>
                <w:bCs/>
                <w:color w:val="000000"/>
                <w:kern w:val="0"/>
                <w:sz w:val="24"/>
                <w:szCs w:val="24"/>
              </w:rPr>
              <w:t>Bullying:</w:t>
            </w:r>
          </w:p>
        </w:tc>
        <w:tc>
          <w:tcPr>
            <w:tcW w:w="9706" w:type="dxa"/>
            <w:tcBorders>
              <w:top w:val="nil"/>
              <w:bottom w:val="nil"/>
              <w:right w:val="nil"/>
            </w:tcBorders>
            <w:shd w:val="clear" w:color="000000" w:fill="FFFFFF"/>
            <w:hideMark/>
          </w:tcPr>
          <w:p w14:paraId="38EFA653" w14:textId="77777777" w:rsidR="00205F35" w:rsidRPr="00205F35" w:rsidRDefault="00205F35" w:rsidP="00205F35">
            <w:pPr>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Behavior intended to harm another that is repeated, or likely to be repeated, and is marked by an imbalance of power between the perpetrator and target.</w:t>
            </w:r>
          </w:p>
        </w:tc>
      </w:tr>
      <w:tr w:rsidR="00205F35" w:rsidRPr="00205F35" w14:paraId="4A5F1DDD" w14:textId="77777777" w:rsidTr="004C44B9">
        <w:trPr>
          <w:trHeight w:val="285"/>
        </w:trPr>
        <w:tc>
          <w:tcPr>
            <w:tcW w:w="2430" w:type="dxa"/>
            <w:tcBorders>
              <w:top w:val="nil"/>
              <w:left w:val="nil"/>
              <w:bottom w:val="nil"/>
            </w:tcBorders>
            <w:shd w:val="clear" w:color="000000" w:fill="FFFFFF"/>
            <w:vAlign w:val="center"/>
            <w:hideMark/>
          </w:tcPr>
          <w:p w14:paraId="2EBC2AC9" w14:textId="77777777" w:rsidR="00205F35" w:rsidRPr="00205F35" w:rsidRDefault="00205F35" w:rsidP="00205F35">
            <w:pPr>
              <w:contextualSpacing w:val="0"/>
              <w:rPr>
                <w:rFonts w:ascii="Times New Roman" w:eastAsia="Times New Roman" w:hAnsi="Times New Roman" w:cs="Times New Roman"/>
                <w:b/>
                <w:bCs/>
                <w:color w:val="000000"/>
                <w:kern w:val="0"/>
                <w:sz w:val="24"/>
                <w:szCs w:val="24"/>
              </w:rPr>
            </w:pPr>
            <w:r w:rsidRPr="00205F35">
              <w:rPr>
                <w:rFonts w:ascii="Times New Roman" w:eastAsia="Times New Roman" w:hAnsi="Times New Roman" w:cs="Times New Roman"/>
                <w:b/>
                <w:bCs/>
                <w:color w:val="000000"/>
                <w:kern w:val="0"/>
                <w:sz w:val="24"/>
                <w:szCs w:val="24"/>
              </w:rPr>
              <w:t> </w:t>
            </w:r>
          </w:p>
        </w:tc>
        <w:tc>
          <w:tcPr>
            <w:tcW w:w="9706" w:type="dxa"/>
            <w:tcBorders>
              <w:top w:val="nil"/>
              <w:bottom w:val="nil"/>
              <w:right w:val="nil"/>
            </w:tcBorders>
            <w:shd w:val="clear" w:color="000000" w:fill="FFFFFF"/>
            <w:vAlign w:val="bottom"/>
            <w:hideMark/>
          </w:tcPr>
          <w:p w14:paraId="03C22702" w14:textId="77777777" w:rsidR="00205F35" w:rsidRPr="00205F35" w:rsidRDefault="00205F35" w:rsidP="00205F35">
            <w:pPr>
              <w:contextualSpacing w:val="0"/>
              <w:rPr>
                <w:rFonts w:ascii="Times New Roman" w:eastAsia="Times New Roman" w:hAnsi="Times New Roman" w:cs="Times New Roman"/>
                <w:i/>
                <w:iCs/>
                <w:color w:val="000000"/>
                <w:kern w:val="0"/>
                <w:sz w:val="24"/>
                <w:szCs w:val="24"/>
              </w:rPr>
            </w:pPr>
            <w:r w:rsidRPr="00205F35">
              <w:rPr>
                <w:rFonts w:ascii="Times New Roman" w:eastAsia="Times New Roman" w:hAnsi="Times New Roman" w:cs="Times New Roman"/>
                <w:i/>
                <w:iCs/>
                <w:color w:val="000000"/>
                <w:kern w:val="0"/>
                <w:sz w:val="24"/>
                <w:szCs w:val="24"/>
              </w:rPr>
              <w:t> </w:t>
            </w:r>
          </w:p>
        </w:tc>
      </w:tr>
      <w:tr w:rsidR="00205F35" w:rsidRPr="00205F35" w14:paraId="6495EF85" w14:textId="77777777" w:rsidTr="004C44B9">
        <w:trPr>
          <w:trHeight w:val="945"/>
        </w:trPr>
        <w:tc>
          <w:tcPr>
            <w:tcW w:w="2430" w:type="dxa"/>
            <w:tcBorders>
              <w:top w:val="nil"/>
              <w:left w:val="nil"/>
              <w:bottom w:val="nil"/>
            </w:tcBorders>
            <w:shd w:val="clear" w:color="000000" w:fill="FFFFFF"/>
            <w:hideMark/>
          </w:tcPr>
          <w:p w14:paraId="3E099295" w14:textId="77777777" w:rsidR="00205F35" w:rsidRPr="00205F35" w:rsidRDefault="00A7505B" w:rsidP="009278F0">
            <w:pPr>
              <w:contextualSpacing w:val="0"/>
              <w:rPr>
                <w:rFonts w:ascii="Times New Roman" w:eastAsia="Times New Roman" w:hAnsi="Times New Roman" w:cs="Times New Roman"/>
                <w:b/>
                <w:bCs/>
                <w:color w:val="0563C1"/>
                <w:kern w:val="0"/>
                <w:sz w:val="24"/>
                <w:szCs w:val="24"/>
                <w:u w:val="single"/>
              </w:rPr>
            </w:pPr>
            <w:hyperlink r:id="rId8" w:history="1">
              <w:r w:rsidR="00205F35" w:rsidRPr="00205F35">
                <w:rPr>
                  <w:rFonts w:ascii="Times New Roman" w:eastAsia="Times New Roman" w:hAnsi="Times New Roman" w:cs="Times New Roman"/>
                  <w:b/>
                  <w:bCs/>
                  <w:color w:val="0563C1"/>
                  <w:kern w:val="0"/>
                  <w:sz w:val="24"/>
                  <w:szCs w:val="24"/>
                  <w:u w:val="single"/>
                </w:rPr>
                <w:t>Bullying (Colorado Legal Definition):</w:t>
              </w:r>
            </w:hyperlink>
          </w:p>
        </w:tc>
        <w:tc>
          <w:tcPr>
            <w:tcW w:w="9706" w:type="dxa"/>
            <w:tcBorders>
              <w:top w:val="nil"/>
              <w:bottom w:val="nil"/>
              <w:right w:val="nil"/>
            </w:tcBorders>
            <w:shd w:val="clear" w:color="000000" w:fill="FFFFFF"/>
            <w:hideMark/>
          </w:tcPr>
          <w:p w14:paraId="10493C2B" w14:textId="77777777" w:rsidR="00205F35" w:rsidRPr="00205F35" w:rsidRDefault="00205F35" w:rsidP="00205F35">
            <w:pPr>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"Bullying means any written or verbal expression, or physical or electronic act or gesture, or a pattern thereof, that is intended to coerce, intimidate, or cause any physical, mental, or emotional harm to any student." (C.R.S. 22-32-109.1(1)(b)).</w:t>
            </w:r>
          </w:p>
        </w:tc>
      </w:tr>
      <w:tr w:rsidR="00205F35" w:rsidRPr="00205F35" w14:paraId="0FCEE4D5" w14:textId="77777777" w:rsidTr="004C44B9">
        <w:trPr>
          <w:trHeight w:val="315"/>
        </w:trPr>
        <w:tc>
          <w:tcPr>
            <w:tcW w:w="2430" w:type="dxa"/>
            <w:tcBorders>
              <w:top w:val="nil"/>
              <w:left w:val="nil"/>
              <w:bottom w:val="nil"/>
            </w:tcBorders>
            <w:shd w:val="clear" w:color="000000" w:fill="FFFFFF"/>
            <w:vAlign w:val="center"/>
            <w:hideMark/>
          </w:tcPr>
          <w:p w14:paraId="6712C078" w14:textId="77777777" w:rsidR="00205F35" w:rsidRPr="00205F35" w:rsidRDefault="00205F35" w:rsidP="00205F35">
            <w:pPr>
              <w:contextualSpacing w:val="0"/>
              <w:rPr>
                <w:rFonts w:ascii="Times New Roman" w:eastAsia="Times New Roman" w:hAnsi="Times New Roman" w:cs="Times New Roman"/>
                <w:b/>
                <w:bCs/>
                <w:color w:val="000000"/>
                <w:kern w:val="0"/>
                <w:sz w:val="24"/>
                <w:szCs w:val="24"/>
              </w:rPr>
            </w:pPr>
            <w:r w:rsidRPr="00205F35">
              <w:rPr>
                <w:rFonts w:ascii="Times New Roman" w:eastAsia="Times New Roman" w:hAnsi="Times New Roman" w:cs="Times New Roman"/>
                <w:b/>
                <w:bCs/>
                <w:color w:val="000000"/>
                <w:kern w:val="0"/>
                <w:sz w:val="24"/>
                <w:szCs w:val="24"/>
              </w:rPr>
              <w:t> </w:t>
            </w:r>
          </w:p>
        </w:tc>
        <w:tc>
          <w:tcPr>
            <w:tcW w:w="9706" w:type="dxa"/>
            <w:tcBorders>
              <w:top w:val="nil"/>
              <w:bottom w:val="nil"/>
              <w:right w:val="nil"/>
            </w:tcBorders>
            <w:shd w:val="clear" w:color="000000" w:fill="FFFFFF"/>
            <w:hideMark/>
          </w:tcPr>
          <w:p w14:paraId="556E9ECC" w14:textId="77777777" w:rsidR="00205F35" w:rsidRPr="00205F35" w:rsidRDefault="00205F35" w:rsidP="00205F35">
            <w:pPr>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 </w:t>
            </w:r>
          </w:p>
        </w:tc>
      </w:tr>
      <w:tr w:rsidR="00205F35" w:rsidRPr="00205F35" w14:paraId="67A52071" w14:textId="77777777" w:rsidTr="004C44B9">
        <w:trPr>
          <w:trHeight w:val="630"/>
        </w:trPr>
        <w:tc>
          <w:tcPr>
            <w:tcW w:w="2430" w:type="dxa"/>
            <w:tcBorders>
              <w:top w:val="nil"/>
              <w:left w:val="nil"/>
              <w:bottom w:val="nil"/>
            </w:tcBorders>
            <w:shd w:val="clear" w:color="000000" w:fill="FFFFFF"/>
            <w:hideMark/>
          </w:tcPr>
          <w:p w14:paraId="0F2D885D" w14:textId="77777777" w:rsidR="00205F35" w:rsidRPr="00205F35" w:rsidRDefault="00A7505B" w:rsidP="009278F0">
            <w:pPr>
              <w:contextualSpacing w:val="0"/>
              <w:rPr>
                <w:rFonts w:ascii="Times New Roman" w:eastAsia="Times New Roman" w:hAnsi="Times New Roman" w:cs="Times New Roman"/>
                <w:b/>
                <w:bCs/>
                <w:color w:val="0563C1"/>
                <w:kern w:val="0"/>
                <w:sz w:val="24"/>
                <w:szCs w:val="24"/>
                <w:u w:val="single"/>
              </w:rPr>
            </w:pPr>
            <w:hyperlink r:id="rId9" w:history="1">
              <w:r w:rsidR="00205F35" w:rsidRPr="00205F35">
                <w:rPr>
                  <w:rFonts w:ascii="Times New Roman" w:eastAsia="Times New Roman" w:hAnsi="Times New Roman" w:cs="Times New Roman"/>
                  <w:b/>
                  <w:bCs/>
                  <w:color w:val="0563C1"/>
                  <w:kern w:val="0"/>
                  <w:sz w:val="24"/>
                  <w:szCs w:val="24"/>
                  <w:u w:val="single"/>
                </w:rPr>
                <w:t>Conflict:</w:t>
              </w:r>
            </w:hyperlink>
          </w:p>
        </w:tc>
        <w:tc>
          <w:tcPr>
            <w:tcW w:w="9706" w:type="dxa"/>
            <w:tcBorders>
              <w:top w:val="nil"/>
              <w:bottom w:val="nil"/>
              <w:right w:val="nil"/>
            </w:tcBorders>
            <w:shd w:val="clear" w:color="000000" w:fill="FFFFFF"/>
            <w:hideMark/>
          </w:tcPr>
          <w:p w14:paraId="60D5081D" w14:textId="77777777" w:rsidR="00205F35" w:rsidRPr="00205F35" w:rsidRDefault="00205F35" w:rsidP="00205F35">
            <w:pPr>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Disagreement or argument in which both sides express their views, have equal power, and typically stop their behavior when they realize it is hurting someone.</w:t>
            </w:r>
          </w:p>
        </w:tc>
      </w:tr>
      <w:tr w:rsidR="00205F35" w:rsidRPr="00205F35" w14:paraId="21471FE7" w14:textId="77777777" w:rsidTr="004C44B9">
        <w:trPr>
          <w:trHeight w:val="315"/>
        </w:trPr>
        <w:tc>
          <w:tcPr>
            <w:tcW w:w="2430" w:type="dxa"/>
            <w:tcBorders>
              <w:top w:val="nil"/>
              <w:left w:val="nil"/>
              <w:bottom w:val="nil"/>
            </w:tcBorders>
            <w:shd w:val="clear" w:color="000000" w:fill="FFFFFF"/>
            <w:vAlign w:val="center"/>
            <w:hideMark/>
          </w:tcPr>
          <w:p w14:paraId="44DA7C12" w14:textId="77777777" w:rsidR="00205F35" w:rsidRPr="00205F35" w:rsidRDefault="00205F35" w:rsidP="00205F35">
            <w:pPr>
              <w:contextualSpacing w:val="0"/>
              <w:rPr>
                <w:rFonts w:ascii="Times New Roman" w:eastAsia="Times New Roman" w:hAnsi="Times New Roman" w:cs="Times New Roman"/>
                <w:b/>
                <w:bCs/>
                <w:color w:val="000000"/>
                <w:kern w:val="0"/>
                <w:sz w:val="24"/>
                <w:szCs w:val="24"/>
              </w:rPr>
            </w:pPr>
            <w:r w:rsidRPr="00205F35">
              <w:rPr>
                <w:rFonts w:ascii="Times New Roman" w:eastAsia="Times New Roman" w:hAnsi="Times New Roman" w:cs="Times New Roman"/>
                <w:b/>
                <w:bCs/>
                <w:color w:val="000000"/>
                <w:kern w:val="0"/>
                <w:sz w:val="24"/>
                <w:szCs w:val="24"/>
              </w:rPr>
              <w:t> </w:t>
            </w:r>
          </w:p>
        </w:tc>
        <w:tc>
          <w:tcPr>
            <w:tcW w:w="9706" w:type="dxa"/>
            <w:tcBorders>
              <w:top w:val="nil"/>
              <w:right w:val="nil"/>
            </w:tcBorders>
            <w:shd w:val="clear" w:color="000000" w:fill="FFFFFF"/>
            <w:hideMark/>
          </w:tcPr>
          <w:p w14:paraId="0CD6A365" w14:textId="77777777" w:rsidR="00205F35" w:rsidRPr="00205F35" w:rsidRDefault="00205F35" w:rsidP="00205F35">
            <w:pPr>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 </w:t>
            </w:r>
          </w:p>
        </w:tc>
      </w:tr>
      <w:tr w:rsidR="00205F35" w:rsidRPr="00205F35" w14:paraId="15D16822" w14:textId="77777777" w:rsidTr="004C44B9">
        <w:trPr>
          <w:trHeight w:val="630"/>
        </w:trPr>
        <w:tc>
          <w:tcPr>
            <w:tcW w:w="2430" w:type="dxa"/>
            <w:tcBorders>
              <w:top w:val="nil"/>
              <w:left w:val="nil"/>
              <w:bottom w:val="nil"/>
            </w:tcBorders>
            <w:shd w:val="clear" w:color="auto" w:fill="auto"/>
            <w:hideMark/>
          </w:tcPr>
          <w:p w14:paraId="409F9BF6" w14:textId="77777777" w:rsidR="00205F35" w:rsidRPr="00205F35" w:rsidRDefault="00205F35" w:rsidP="009278F0">
            <w:pPr>
              <w:contextualSpacing w:val="0"/>
              <w:rPr>
                <w:rFonts w:ascii="Times New Roman" w:eastAsia="Times New Roman" w:hAnsi="Times New Roman" w:cs="Times New Roman"/>
                <w:b/>
                <w:bCs/>
                <w:color w:val="000000"/>
                <w:kern w:val="0"/>
                <w:sz w:val="24"/>
                <w:szCs w:val="24"/>
              </w:rPr>
            </w:pPr>
            <w:r w:rsidRPr="00205F35">
              <w:rPr>
                <w:rFonts w:ascii="Times New Roman" w:eastAsia="Times New Roman" w:hAnsi="Times New Roman" w:cs="Times New Roman"/>
                <w:b/>
                <w:bCs/>
                <w:color w:val="000000"/>
                <w:kern w:val="0"/>
                <w:sz w:val="24"/>
                <w:szCs w:val="24"/>
              </w:rPr>
              <w:t>Discriminatory Harassment:</w:t>
            </w:r>
          </w:p>
        </w:tc>
        <w:tc>
          <w:tcPr>
            <w:tcW w:w="9706" w:type="dxa"/>
            <w:tcBorders>
              <w:top w:val="nil"/>
              <w:bottom w:val="nil"/>
              <w:right w:val="nil"/>
            </w:tcBorders>
            <w:shd w:val="clear" w:color="000000" w:fill="FFFFFF"/>
            <w:hideMark/>
          </w:tcPr>
          <w:p w14:paraId="462F0B4D" w14:textId="77777777" w:rsidR="00205F35" w:rsidRPr="00205F35" w:rsidRDefault="00205F35" w:rsidP="00205F35">
            <w:pPr>
              <w:contextualSpacing w:val="0"/>
              <w:rPr>
                <w:rFonts w:ascii="Times New Roman" w:eastAsia="Times New Roman" w:hAnsi="Times New Roman" w:cs="Times New Roman"/>
                <w:color w:val="000000"/>
                <w:kern w:val="0"/>
                <w:sz w:val="24"/>
                <w:szCs w:val="24"/>
              </w:rPr>
            </w:pPr>
            <w:r w:rsidRPr="00205F35">
              <w:rPr>
                <w:rFonts w:ascii="Times New Roman" w:eastAsia="Times New Roman" w:hAnsi="Times New Roman" w:cs="Times New Roman"/>
                <w:color w:val="000000"/>
                <w:kern w:val="0"/>
                <w:sz w:val="24"/>
                <w:szCs w:val="24"/>
              </w:rPr>
              <w:t xml:space="preserve">Bullying may also be considered “discriminatory harassment” if the bullying is based on a federally protected class (e.g., race, sex, gender). </w:t>
            </w:r>
          </w:p>
        </w:tc>
      </w:tr>
    </w:tbl>
    <w:p w14:paraId="7FC4F530" w14:textId="36EFE90A" w:rsidR="00B57688" w:rsidRDefault="00B57688">
      <w:pPr>
        <w:rPr>
          <w:rFonts w:ascii="Arial" w:hAnsi="Arial" w:cs="Arial"/>
        </w:rPr>
      </w:pPr>
    </w:p>
    <w:p w14:paraId="2CCBFF73" w14:textId="77777777" w:rsidR="00B57688" w:rsidRDefault="00B57688">
      <w:pPr>
        <w:spacing w:after="160" w:line="259" w:lineRule="auto"/>
        <w:contextualSpacing w:val="0"/>
        <w:rPr>
          <w:rFonts w:ascii="Arial" w:hAnsi="Arial" w:cs="Arial"/>
        </w:rPr>
      </w:pPr>
      <w:r>
        <w:rPr>
          <w:rFonts w:ascii="Arial" w:hAnsi="Arial" w:cs="Arial"/>
        </w:rPr>
        <w:br w:type="page"/>
      </w:r>
    </w:p>
    <w:tbl>
      <w:tblPr>
        <w:tblW w:w="12060" w:type="dxa"/>
        <w:tblLook w:val="04A0" w:firstRow="1" w:lastRow="0" w:firstColumn="1" w:lastColumn="0" w:noHBand="0" w:noVBand="1"/>
      </w:tblPr>
      <w:tblGrid>
        <w:gridCol w:w="4020"/>
        <w:gridCol w:w="4020"/>
        <w:gridCol w:w="4020"/>
      </w:tblGrid>
      <w:tr w:rsidR="00B57688" w:rsidRPr="00B57688" w14:paraId="13E725D6" w14:textId="77777777" w:rsidTr="00B57688">
        <w:trPr>
          <w:trHeight w:val="499"/>
        </w:trPr>
        <w:tc>
          <w:tcPr>
            <w:tcW w:w="12060" w:type="dxa"/>
            <w:gridSpan w:val="3"/>
            <w:tcBorders>
              <w:top w:val="single" w:sz="4" w:space="0" w:color="auto"/>
              <w:left w:val="single" w:sz="4" w:space="0" w:color="auto"/>
              <w:bottom w:val="single" w:sz="4" w:space="0" w:color="auto"/>
              <w:right w:val="single" w:sz="4" w:space="0" w:color="000000"/>
            </w:tcBorders>
            <w:shd w:val="clear" w:color="000000" w:fill="9BC2E6"/>
            <w:vAlign w:val="center"/>
            <w:hideMark/>
          </w:tcPr>
          <w:p w14:paraId="733358EB" w14:textId="77777777" w:rsidR="00B57688" w:rsidRPr="00B57688" w:rsidRDefault="00B57688" w:rsidP="00B57688">
            <w:pPr>
              <w:contextualSpacing w:val="0"/>
              <w:jc w:val="center"/>
              <w:rPr>
                <w:rFonts w:ascii="Times New Roman" w:eastAsia="Times New Roman" w:hAnsi="Times New Roman" w:cs="Times New Roman"/>
                <w:b/>
                <w:bCs/>
                <w:color w:val="000000"/>
                <w:kern w:val="0"/>
                <w:sz w:val="32"/>
                <w:szCs w:val="32"/>
              </w:rPr>
            </w:pPr>
            <w:r w:rsidRPr="00B57688">
              <w:rPr>
                <w:rFonts w:ascii="Times New Roman" w:eastAsia="Times New Roman" w:hAnsi="Times New Roman" w:cs="Times New Roman"/>
                <w:b/>
                <w:bCs/>
                <w:color w:val="000000"/>
                <w:kern w:val="0"/>
                <w:sz w:val="32"/>
                <w:szCs w:val="32"/>
              </w:rPr>
              <w:lastRenderedPageBreak/>
              <w:t>BPEG Practice Profile: Positive School Climate</w:t>
            </w:r>
          </w:p>
        </w:tc>
      </w:tr>
      <w:tr w:rsidR="00B57688" w:rsidRPr="00B57688" w14:paraId="328AB101" w14:textId="77777777" w:rsidTr="00B57688">
        <w:trPr>
          <w:trHeight w:val="315"/>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25A33CF7"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Audience for this Practice Profile:</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02668861"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BPEG Implementation Team (BIT)</w:t>
            </w:r>
          </w:p>
        </w:tc>
      </w:tr>
      <w:tr w:rsidR="00B57688" w:rsidRPr="00B57688" w14:paraId="1ABC44BA" w14:textId="77777777" w:rsidTr="00B57688">
        <w:trPr>
          <w:trHeight w:val="690"/>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0DB53CF3"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Definition of Core Component:</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7CEFE8A0"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The experience of students, families, and staff within a school that is marked by feelings of safety, trusting relationships, and a sense of belonging for all.</w:t>
            </w:r>
          </w:p>
        </w:tc>
      </w:tr>
      <w:tr w:rsidR="00B57688" w:rsidRPr="00B57688" w14:paraId="62B8979E" w14:textId="77777777" w:rsidTr="00B57688">
        <w:trPr>
          <w:trHeight w:val="1080"/>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43A55E20"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How the Core Component is Essential to Reducing Bullying:</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3A18C133"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A positive school climate is foundational to effective bullying prevention. Research demonstrates a strong correlation between low levels of bullying and a positive school climate.</w:t>
            </w:r>
          </w:p>
        </w:tc>
      </w:tr>
      <w:tr w:rsidR="00B57688" w:rsidRPr="00B57688" w14:paraId="1EE3E7FE" w14:textId="77777777" w:rsidTr="00454AB4">
        <w:trPr>
          <w:trHeight w:val="315"/>
        </w:trPr>
        <w:tc>
          <w:tcPr>
            <w:tcW w:w="4020" w:type="dxa"/>
            <w:tcBorders>
              <w:top w:val="nil"/>
              <w:left w:val="single" w:sz="4" w:space="0" w:color="auto"/>
              <w:bottom w:val="single" w:sz="4" w:space="0" w:color="auto"/>
              <w:right w:val="nil"/>
            </w:tcBorders>
            <w:shd w:val="clear" w:color="000000" w:fill="DDEBF7"/>
            <w:vAlign w:val="center"/>
            <w:hideMark/>
          </w:tcPr>
          <w:p w14:paraId="5E9D7D49" w14:textId="3CC3DB22" w:rsidR="00B57688" w:rsidRPr="00B57688" w:rsidRDefault="00B57688" w:rsidP="00454AB4">
            <w:pPr>
              <w:contextualSpacing w:val="0"/>
              <w:jc w:val="center"/>
              <w:rPr>
                <w:rFonts w:ascii="Times New Roman" w:eastAsia="Times New Roman" w:hAnsi="Times New Roman" w:cs="Times New Roman"/>
                <w:b/>
                <w:bCs/>
                <w:color w:val="000000"/>
                <w:kern w:val="0"/>
                <w:sz w:val="24"/>
                <w:szCs w:val="24"/>
              </w:rPr>
            </w:pPr>
            <w:r w:rsidRPr="00B57688">
              <w:rPr>
                <w:rFonts w:ascii="Times New Roman" w:eastAsia="Times New Roman" w:hAnsi="Times New Roman" w:cs="Times New Roman"/>
                <w:b/>
                <w:bCs/>
                <w:color w:val="000000"/>
                <w:kern w:val="0"/>
                <w:sz w:val="24"/>
                <w:szCs w:val="24"/>
              </w:rPr>
              <w:t>Expected Use in Practice</w:t>
            </w:r>
          </w:p>
        </w:tc>
        <w:tc>
          <w:tcPr>
            <w:tcW w:w="4020" w:type="dxa"/>
            <w:tcBorders>
              <w:top w:val="nil"/>
              <w:left w:val="single" w:sz="4" w:space="0" w:color="auto"/>
              <w:bottom w:val="single" w:sz="4" w:space="0" w:color="auto"/>
              <w:right w:val="single" w:sz="4" w:space="0" w:color="auto"/>
            </w:tcBorders>
            <w:shd w:val="clear" w:color="000000" w:fill="DDEBF7"/>
            <w:noWrap/>
            <w:vAlign w:val="center"/>
            <w:hideMark/>
          </w:tcPr>
          <w:p w14:paraId="5ADC4125" w14:textId="77777777" w:rsidR="00B57688" w:rsidRPr="00B57688" w:rsidRDefault="00B57688" w:rsidP="00454AB4">
            <w:pPr>
              <w:contextualSpacing w:val="0"/>
              <w:jc w:val="center"/>
              <w:rPr>
                <w:rFonts w:ascii="Times New Roman" w:eastAsia="Times New Roman" w:hAnsi="Times New Roman" w:cs="Times New Roman"/>
                <w:b/>
                <w:bCs/>
                <w:color w:val="000000"/>
                <w:kern w:val="0"/>
                <w:sz w:val="24"/>
                <w:szCs w:val="24"/>
              </w:rPr>
            </w:pPr>
            <w:r w:rsidRPr="00B57688">
              <w:rPr>
                <w:rFonts w:ascii="Times New Roman" w:eastAsia="Times New Roman" w:hAnsi="Times New Roman" w:cs="Times New Roman"/>
                <w:b/>
                <w:bCs/>
                <w:color w:val="000000"/>
                <w:kern w:val="0"/>
                <w:sz w:val="24"/>
                <w:szCs w:val="24"/>
              </w:rPr>
              <w:t>Developmental Use</w:t>
            </w:r>
          </w:p>
        </w:tc>
        <w:tc>
          <w:tcPr>
            <w:tcW w:w="4020" w:type="dxa"/>
            <w:tcBorders>
              <w:top w:val="nil"/>
              <w:left w:val="nil"/>
              <w:bottom w:val="single" w:sz="4" w:space="0" w:color="auto"/>
              <w:right w:val="single" w:sz="4" w:space="0" w:color="auto"/>
            </w:tcBorders>
            <w:shd w:val="clear" w:color="000000" w:fill="DDEBF7"/>
            <w:noWrap/>
            <w:vAlign w:val="center"/>
            <w:hideMark/>
          </w:tcPr>
          <w:p w14:paraId="4EBC0A4C" w14:textId="77777777" w:rsidR="00B57688" w:rsidRPr="00B57688" w:rsidRDefault="00B57688" w:rsidP="00454AB4">
            <w:pPr>
              <w:contextualSpacing w:val="0"/>
              <w:jc w:val="center"/>
              <w:rPr>
                <w:rFonts w:ascii="Times New Roman" w:eastAsia="Times New Roman" w:hAnsi="Times New Roman" w:cs="Times New Roman"/>
                <w:b/>
                <w:bCs/>
                <w:color w:val="000000"/>
                <w:kern w:val="0"/>
                <w:sz w:val="24"/>
                <w:szCs w:val="24"/>
              </w:rPr>
            </w:pPr>
            <w:r w:rsidRPr="00B57688">
              <w:rPr>
                <w:rFonts w:ascii="Times New Roman" w:eastAsia="Times New Roman" w:hAnsi="Times New Roman" w:cs="Times New Roman"/>
                <w:b/>
                <w:bCs/>
                <w:color w:val="000000"/>
                <w:kern w:val="0"/>
                <w:sz w:val="24"/>
                <w:szCs w:val="24"/>
              </w:rPr>
              <w:t>Unacceptable Use</w:t>
            </w:r>
          </w:p>
        </w:tc>
      </w:tr>
      <w:tr w:rsidR="00B57688" w:rsidRPr="00B57688" w14:paraId="6AC4E8A6" w14:textId="77777777" w:rsidTr="001E774F">
        <w:trPr>
          <w:trHeight w:val="1268"/>
        </w:trPr>
        <w:tc>
          <w:tcPr>
            <w:tcW w:w="4020" w:type="dxa"/>
            <w:tcBorders>
              <w:top w:val="nil"/>
              <w:left w:val="single" w:sz="4" w:space="0" w:color="auto"/>
              <w:bottom w:val="single" w:sz="4" w:space="0" w:color="auto"/>
              <w:right w:val="single" w:sz="4" w:space="0" w:color="auto"/>
            </w:tcBorders>
            <w:shd w:val="clear" w:color="000000" w:fill="FFFFFF"/>
            <w:hideMark/>
          </w:tcPr>
          <w:p w14:paraId="2847C1B5"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The school supports all aspects of safety including physical, social, emotional, identity, and academic safety.</w:t>
            </w:r>
          </w:p>
        </w:tc>
        <w:tc>
          <w:tcPr>
            <w:tcW w:w="4020" w:type="dxa"/>
            <w:tcBorders>
              <w:top w:val="nil"/>
              <w:left w:val="nil"/>
              <w:bottom w:val="single" w:sz="4" w:space="0" w:color="auto"/>
              <w:right w:val="single" w:sz="4" w:space="0" w:color="auto"/>
            </w:tcBorders>
            <w:shd w:val="clear" w:color="000000" w:fill="FFFFFF"/>
            <w:hideMark/>
          </w:tcPr>
          <w:p w14:paraId="63DF0CB3"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The school supports some aspects of safety but not all.</w:t>
            </w:r>
          </w:p>
        </w:tc>
        <w:tc>
          <w:tcPr>
            <w:tcW w:w="4020" w:type="dxa"/>
            <w:tcBorders>
              <w:top w:val="nil"/>
              <w:left w:val="nil"/>
              <w:bottom w:val="single" w:sz="4" w:space="0" w:color="auto"/>
              <w:right w:val="single" w:sz="4" w:space="0" w:color="auto"/>
            </w:tcBorders>
            <w:shd w:val="clear" w:color="000000" w:fill="FFFFFF"/>
            <w:hideMark/>
          </w:tcPr>
          <w:p w14:paraId="7EF727F5"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 xml:space="preserve">The school infrequently supports physical, social, emotional, identity, and academic safety. </w:t>
            </w:r>
          </w:p>
        </w:tc>
      </w:tr>
      <w:tr w:rsidR="00B57688" w:rsidRPr="00B57688" w14:paraId="06CF62CC" w14:textId="77777777" w:rsidTr="001E774F">
        <w:trPr>
          <w:trHeight w:val="1520"/>
        </w:trPr>
        <w:tc>
          <w:tcPr>
            <w:tcW w:w="4020" w:type="dxa"/>
            <w:tcBorders>
              <w:top w:val="nil"/>
              <w:left w:val="single" w:sz="4" w:space="0" w:color="auto"/>
              <w:bottom w:val="single" w:sz="4" w:space="0" w:color="auto"/>
              <w:right w:val="single" w:sz="4" w:space="0" w:color="auto"/>
            </w:tcBorders>
            <w:shd w:val="clear" w:color="000000" w:fill="FFFFFF"/>
            <w:hideMark/>
          </w:tcPr>
          <w:p w14:paraId="1F1E11E2"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All adults in the school immediately intervene in bullying situations.</w:t>
            </w:r>
          </w:p>
        </w:tc>
        <w:tc>
          <w:tcPr>
            <w:tcW w:w="4020" w:type="dxa"/>
            <w:tcBorders>
              <w:top w:val="nil"/>
              <w:left w:val="nil"/>
              <w:bottom w:val="single" w:sz="4" w:space="0" w:color="auto"/>
              <w:right w:val="single" w:sz="4" w:space="0" w:color="auto"/>
            </w:tcBorders>
            <w:shd w:val="clear" w:color="000000" w:fill="FFFFFF"/>
            <w:hideMark/>
          </w:tcPr>
          <w:p w14:paraId="5FA0BC07"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Most adults in the school immediately intervene in bullying situations.</w:t>
            </w:r>
          </w:p>
        </w:tc>
        <w:tc>
          <w:tcPr>
            <w:tcW w:w="4020" w:type="dxa"/>
            <w:tcBorders>
              <w:top w:val="nil"/>
              <w:left w:val="nil"/>
              <w:bottom w:val="single" w:sz="4" w:space="0" w:color="auto"/>
              <w:right w:val="single" w:sz="4" w:space="0" w:color="auto"/>
            </w:tcBorders>
            <w:shd w:val="clear" w:color="000000" w:fill="FFFFFF"/>
            <w:hideMark/>
          </w:tcPr>
          <w:p w14:paraId="345A49D6"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Some adults in the school immediately intervene in bullying situations and/or adults attempt to mediate bullying situations with the target and perpetrator together.</w:t>
            </w:r>
          </w:p>
        </w:tc>
      </w:tr>
      <w:tr w:rsidR="00B57688" w:rsidRPr="00B57688" w14:paraId="37805F73" w14:textId="77777777" w:rsidTr="00B57688">
        <w:trPr>
          <w:trHeight w:val="1575"/>
        </w:trPr>
        <w:tc>
          <w:tcPr>
            <w:tcW w:w="4020" w:type="dxa"/>
            <w:tcBorders>
              <w:top w:val="nil"/>
              <w:left w:val="single" w:sz="4" w:space="0" w:color="auto"/>
              <w:bottom w:val="single" w:sz="4" w:space="0" w:color="auto"/>
              <w:right w:val="single" w:sz="4" w:space="0" w:color="auto"/>
            </w:tcBorders>
            <w:shd w:val="clear" w:color="000000" w:fill="FFFFFF"/>
            <w:hideMark/>
          </w:tcPr>
          <w:p w14:paraId="5D0DED98"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Staff actively supervise students in common areas (e.g., cafeteria) using a structured process.</w:t>
            </w:r>
          </w:p>
        </w:tc>
        <w:tc>
          <w:tcPr>
            <w:tcW w:w="4020" w:type="dxa"/>
            <w:tcBorders>
              <w:top w:val="nil"/>
              <w:left w:val="nil"/>
              <w:bottom w:val="single" w:sz="4" w:space="0" w:color="auto"/>
              <w:right w:val="single" w:sz="4" w:space="0" w:color="auto"/>
            </w:tcBorders>
            <w:shd w:val="clear" w:color="000000" w:fill="FFFFFF"/>
            <w:hideMark/>
          </w:tcPr>
          <w:p w14:paraId="7A60D6FA"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Staff supervise students in common areas, but do not have a structured process for doing so</w:t>
            </w:r>
          </w:p>
        </w:tc>
        <w:tc>
          <w:tcPr>
            <w:tcW w:w="4020" w:type="dxa"/>
            <w:tcBorders>
              <w:top w:val="nil"/>
              <w:left w:val="nil"/>
              <w:bottom w:val="single" w:sz="4" w:space="0" w:color="auto"/>
              <w:right w:val="single" w:sz="4" w:space="0" w:color="auto"/>
            </w:tcBorders>
            <w:shd w:val="clear" w:color="000000" w:fill="FFFFFF"/>
            <w:hideMark/>
          </w:tcPr>
          <w:p w14:paraId="70243133"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Staff are infrequently present in common areas when students are present and/or staff do not actively supervise students in common areas (e.g., staff chat with other staff)</w:t>
            </w:r>
          </w:p>
        </w:tc>
      </w:tr>
      <w:tr w:rsidR="00B57688" w:rsidRPr="00B57688" w14:paraId="6CD26F88" w14:textId="77777777" w:rsidTr="00B57688">
        <w:trPr>
          <w:trHeight w:val="1320"/>
        </w:trPr>
        <w:tc>
          <w:tcPr>
            <w:tcW w:w="4020" w:type="dxa"/>
            <w:tcBorders>
              <w:top w:val="nil"/>
              <w:left w:val="single" w:sz="4" w:space="0" w:color="auto"/>
              <w:bottom w:val="single" w:sz="4" w:space="0" w:color="auto"/>
              <w:right w:val="single" w:sz="4" w:space="0" w:color="auto"/>
            </w:tcBorders>
            <w:shd w:val="clear" w:color="000000" w:fill="FFFFFF"/>
            <w:hideMark/>
          </w:tcPr>
          <w:p w14:paraId="52DA843C"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Staff foster positive relationships between all members of the school community.</w:t>
            </w:r>
          </w:p>
        </w:tc>
        <w:tc>
          <w:tcPr>
            <w:tcW w:w="4020" w:type="dxa"/>
            <w:tcBorders>
              <w:top w:val="nil"/>
              <w:left w:val="nil"/>
              <w:bottom w:val="single" w:sz="4" w:space="0" w:color="auto"/>
              <w:right w:val="single" w:sz="4" w:space="0" w:color="auto"/>
            </w:tcBorders>
            <w:shd w:val="clear" w:color="000000" w:fill="FFFFFF"/>
            <w:hideMark/>
          </w:tcPr>
          <w:p w14:paraId="240FDA40"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Staff are friendly to students and each another but do not make purposeful efforts to build relationships between all members of the school community.</w:t>
            </w:r>
          </w:p>
        </w:tc>
        <w:tc>
          <w:tcPr>
            <w:tcW w:w="4020" w:type="dxa"/>
            <w:tcBorders>
              <w:top w:val="nil"/>
              <w:left w:val="nil"/>
              <w:bottom w:val="single" w:sz="4" w:space="0" w:color="auto"/>
              <w:right w:val="single" w:sz="4" w:space="0" w:color="auto"/>
            </w:tcBorders>
            <w:shd w:val="clear" w:color="000000" w:fill="FFFFFF"/>
            <w:hideMark/>
          </w:tcPr>
          <w:p w14:paraId="0F3484AC" w14:textId="77777777" w:rsidR="00B57688" w:rsidRPr="00B57688" w:rsidRDefault="00B57688" w:rsidP="00B57688">
            <w:pPr>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Staff focus mainly on meeting academic performance goals with limited attempts to foster positive relationships between all members of the school community.</w:t>
            </w:r>
          </w:p>
        </w:tc>
      </w:tr>
      <w:tr w:rsidR="00B57688" w:rsidRPr="00B57688" w14:paraId="0DDA3FE3" w14:textId="77777777" w:rsidTr="00696AC9">
        <w:trPr>
          <w:trHeight w:val="530"/>
        </w:trPr>
        <w:tc>
          <w:tcPr>
            <w:tcW w:w="12060" w:type="dxa"/>
            <w:gridSpan w:val="3"/>
            <w:tcBorders>
              <w:top w:val="nil"/>
              <w:left w:val="nil"/>
              <w:right w:val="nil"/>
            </w:tcBorders>
            <w:shd w:val="clear" w:color="000000" w:fill="FFFFFF"/>
            <w:hideMark/>
          </w:tcPr>
          <w:p w14:paraId="22A6EF90" w14:textId="7ADDB987" w:rsidR="001E774F" w:rsidRDefault="001E774F" w:rsidP="00B57688">
            <w:pPr>
              <w:contextualSpacing w:val="0"/>
              <w:jc w:val="center"/>
              <w:rPr>
                <w:rFonts w:ascii="Times New Roman" w:eastAsia="Times New Roman" w:hAnsi="Times New Roman" w:cs="Times New Roman"/>
                <w:color w:val="000000"/>
                <w:kern w:val="0"/>
                <w:sz w:val="24"/>
                <w:szCs w:val="24"/>
              </w:rPr>
            </w:pPr>
          </w:p>
          <w:p w14:paraId="27236D53" w14:textId="77777777" w:rsidR="007C6CD4" w:rsidRDefault="007C6CD4" w:rsidP="00B57688">
            <w:pPr>
              <w:contextualSpacing w:val="0"/>
              <w:jc w:val="center"/>
              <w:rPr>
                <w:rFonts w:ascii="Times New Roman" w:eastAsia="Times New Roman" w:hAnsi="Times New Roman" w:cs="Times New Roman"/>
                <w:color w:val="000000"/>
                <w:kern w:val="0"/>
                <w:sz w:val="24"/>
                <w:szCs w:val="24"/>
              </w:rPr>
            </w:pPr>
          </w:p>
          <w:p w14:paraId="3B3F0F15" w14:textId="77777777" w:rsidR="00696AC9" w:rsidRDefault="00B57688" w:rsidP="00B57688">
            <w:pPr>
              <w:contextualSpacing w:val="0"/>
              <w:jc w:val="center"/>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lastRenderedPageBreak/>
              <w:t>References</w:t>
            </w:r>
          </w:p>
          <w:p w14:paraId="4BD036FC" w14:textId="50C1F0C8" w:rsidR="00B57688" w:rsidRPr="00B57688" w:rsidRDefault="001E774F" w:rsidP="00B57688">
            <w:pPr>
              <w:contextualSpacing w:val="0"/>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br/>
            </w:r>
          </w:p>
        </w:tc>
      </w:tr>
      <w:tr w:rsidR="00B57688" w:rsidRPr="00B57688" w14:paraId="6A63160B" w14:textId="77777777" w:rsidTr="001E774F">
        <w:trPr>
          <w:trHeight w:val="720"/>
        </w:trPr>
        <w:tc>
          <w:tcPr>
            <w:tcW w:w="12060" w:type="dxa"/>
            <w:gridSpan w:val="3"/>
            <w:shd w:val="clear" w:color="000000" w:fill="FFFFFF"/>
            <w:hideMark/>
          </w:tcPr>
          <w:p w14:paraId="08D18EE1" w14:textId="77777777" w:rsidR="00B57688" w:rsidRPr="00B57688" w:rsidRDefault="00B57688" w:rsidP="004C44B9">
            <w:pPr>
              <w:ind w:left="701" w:hanging="701"/>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lastRenderedPageBreak/>
              <w:t xml:space="preserve">Aldridge, J. M., McChesney, K., &amp; </w:t>
            </w:r>
            <w:proofErr w:type="spellStart"/>
            <w:r w:rsidRPr="00B57688">
              <w:rPr>
                <w:rFonts w:ascii="Times New Roman" w:eastAsia="Times New Roman" w:hAnsi="Times New Roman" w:cs="Times New Roman"/>
                <w:color w:val="000000"/>
                <w:kern w:val="0"/>
                <w:sz w:val="24"/>
                <w:szCs w:val="24"/>
              </w:rPr>
              <w:t>Afari</w:t>
            </w:r>
            <w:proofErr w:type="spellEnd"/>
            <w:r w:rsidRPr="00B57688">
              <w:rPr>
                <w:rFonts w:ascii="Times New Roman" w:eastAsia="Times New Roman" w:hAnsi="Times New Roman" w:cs="Times New Roman"/>
                <w:color w:val="000000"/>
                <w:kern w:val="0"/>
                <w:sz w:val="24"/>
                <w:szCs w:val="24"/>
              </w:rPr>
              <w:t xml:space="preserve">, E. (2018). Relationships between School Climate, Bullying and Delinquent </w:t>
            </w:r>
            <w:proofErr w:type="spellStart"/>
            <w:r w:rsidRPr="00B57688">
              <w:rPr>
                <w:rFonts w:ascii="Times New Roman" w:eastAsia="Times New Roman" w:hAnsi="Times New Roman" w:cs="Times New Roman"/>
                <w:color w:val="000000"/>
                <w:kern w:val="0"/>
                <w:sz w:val="24"/>
                <w:szCs w:val="24"/>
              </w:rPr>
              <w:t>Behaviours</w:t>
            </w:r>
            <w:proofErr w:type="spellEnd"/>
            <w:r w:rsidRPr="00B57688">
              <w:rPr>
                <w:rFonts w:ascii="Times New Roman" w:eastAsia="Times New Roman" w:hAnsi="Times New Roman" w:cs="Times New Roman"/>
                <w:color w:val="000000"/>
                <w:kern w:val="0"/>
                <w:sz w:val="24"/>
                <w:szCs w:val="24"/>
              </w:rPr>
              <w:t xml:space="preserve">. </w:t>
            </w:r>
            <w:r w:rsidRPr="00B57688">
              <w:rPr>
                <w:rFonts w:ascii="Times New Roman" w:eastAsia="Times New Roman" w:hAnsi="Times New Roman" w:cs="Times New Roman"/>
                <w:i/>
                <w:iCs/>
                <w:color w:val="000000"/>
                <w:kern w:val="0"/>
                <w:sz w:val="24"/>
                <w:szCs w:val="24"/>
              </w:rPr>
              <w:t>Learning Environments Research, 21</w:t>
            </w:r>
            <w:r w:rsidRPr="00B57688">
              <w:rPr>
                <w:rFonts w:ascii="Times New Roman" w:eastAsia="Times New Roman" w:hAnsi="Times New Roman" w:cs="Times New Roman"/>
                <w:color w:val="000000"/>
                <w:kern w:val="0"/>
                <w:sz w:val="24"/>
                <w:szCs w:val="24"/>
              </w:rPr>
              <w:t>(2), 153–172. https://doi.org/10.1007/s10984-017-9249-6</w:t>
            </w:r>
          </w:p>
        </w:tc>
      </w:tr>
      <w:tr w:rsidR="00B57688" w:rsidRPr="00B57688" w14:paraId="30F619AA" w14:textId="77777777" w:rsidTr="001E774F">
        <w:trPr>
          <w:trHeight w:val="769"/>
        </w:trPr>
        <w:tc>
          <w:tcPr>
            <w:tcW w:w="12060" w:type="dxa"/>
            <w:gridSpan w:val="3"/>
            <w:shd w:val="clear" w:color="000000" w:fill="FFFFFF"/>
            <w:hideMark/>
          </w:tcPr>
          <w:p w14:paraId="634B7BBD" w14:textId="77777777" w:rsidR="007C6CD4" w:rsidRDefault="007C6CD4" w:rsidP="00B57688">
            <w:pPr>
              <w:contextualSpacing w:val="0"/>
              <w:rPr>
                <w:rFonts w:ascii="Times New Roman" w:eastAsia="Times New Roman" w:hAnsi="Times New Roman" w:cs="Times New Roman"/>
                <w:color w:val="000000"/>
                <w:kern w:val="0"/>
                <w:sz w:val="24"/>
                <w:szCs w:val="24"/>
              </w:rPr>
            </w:pPr>
          </w:p>
          <w:p w14:paraId="765188B2" w14:textId="07053CE7" w:rsidR="00B57688" w:rsidRPr="00B57688" w:rsidRDefault="00B57688" w:rsidP="004C44B9">
            <w:pPr>
              <w:ind w:left="701" w:hanging="720"/>
              <w:contextualSpacing w:val="0"/>
              <w:rPr>
                <w:rFonts w:ascii="Times New Roman" w:eastAsia="Times New Roman" w:hAnsi="Times New Roman" w:cs="Times New Roman"/>
                <w:color w:val="000000"/>
                <w:kern w:val="0"/>
                <w:sz w:val="24"/>
                <w:szCs w:val="24"/>
              </w:rPr>
            </w:pPr>
            <w:proofErr w:type="spellStart"/>
            <w:r w:rsidRPr="00B57688">
              <w:rPr>
                <w:rFonts w:ascii="Times New Roman" w:eastAsia="Times New Roman" w:hAnsi="Times New Roman" w:cs="Times New Roman"/>
                <w:color w:val="000000"/>
                <w:kern w:val="0"/>
                <w:sz w:val="24"/>
                <w:szCs w:val="24"/>
              </w:rPr>
              <w:t>DePry</w:t>
            </w:r>
            <w:proofErr w:type="spellEnd"/>
            <w:r w:rsidRPr="00B57688">
              <w:rPr>
                <w:rFonts w:ascii="Times New Roman" w:eastAsia="Times New Roman" w:hAnsi="Times New Roman" w:cs="Times New Roman"/>
                <w:color w:val="000000"/>
                <w:kern w:val="0"/>
                <w:sz w:val="24"/>
                <w:szCs w:val="24"/>
              </w:rPr>
              <w:t xml:space="preserve">, R., &amp; </w:t>
            </w:r>
            <w:proofErr w:type="spellStart"/>
            <w:r w:rsidRPr="00B57688">
              <w:rPr>
                <w:rFonts w:ascii="Times New Roman" w:eastAsia="Times New Roman" w:hAnsi="Times New Roman" w:cs="Times New Roman"/>
                <w:color w:val="000000"/>
                <w:kern w:val="0"/>
                <w:sz w:val="24"/>
                <w:szCs w:val="24"/>
              </w:rPr>
              <w:t>Sugai</w:t>
            </w:r>
            <w:proofErr w:type="spellEnd"/>
            <w:r w:rsidRPr="00B57688">
              <w:rPr>
                <w:rFonts w:ascii="Times New Roman" w:eastAsia="Times New Roman" w:hAnsi="Times New Roman" w:cs="Times New Roman"/>
                <w:color w:val="000000"/>
                <w:kern w:val="0"/>
                <w:sz w:val="24"/>
                <w:szCs w:val="24"/>
              </w:rPr>
              <w:t xml:space="preserve">, G. (2002). The Effect of Active Supervision and Pre-correction on Minor Behavioral Incidents in a </w:t>
            </w:r>
            <w:r w:rsidR="004C44B9">
              <w:rPr>
                <w:rFonts w:ascii="Times New Roman" w:eastAsia="Times New Roman" w:hAnsi="Times New Roman" w:cs="Times New Roman"/>
                <w:color w:val="000000"/>
                <w:kern w:val="0"/>
                <w:sz w:val="24"/>
                <w:szCs w:val="24"/>
              </w:rPr>
              <w:br/>
            </w:r>
            <w:r w:rsidRPr="00B57688">
              <w:rPr>
                <w:rFonts w:ascii="Times New Roman" w:eastAsia="Times New Roman" w:hAnsi="Times New Roman" w:cs="Times New Roman"/>
                <w:color w:val="000000"/>
                <w:kern w:val="0"/>
                <w:sz w:val="24"/>
                <w:szCs w:val="24"/>
              </w:rPr>
              <w:t xml:space="preserve">Sixth Grade General Education Classroom. </w:t>
            </w:r>
            <w:r w:rsidRPr="00B57688">
              <w:rPr>
                <w:rFonts w:ascii="Times New Roman" w:eastAsia="Times New Roman" w:hAnsi="Times New Roman" w:cs="Times New Roman"/>
                <w:i/>
                <w:iCs/>
                <w:color w:val="000000"/>
                <w:kern w:val="0"/>
                <w:sz w:val="24"/>
                <w:szCs w:val="24"/>
              </w:rPr>
              <w:t>Journal of Behavioral Education, 11</w:t>
            </w:r>
            <w:r w:rsidRPr="00B57688">
              <w:rPr>
                <w:rFonts w:ascii="Times New Roman" w:eastAsia="Times New Roman" w:hAnsi="Times New Roman" w:cs="Times New Roman"/>
                <w:color w:val="000000"/>
                <w:kern w:val="0"/>
                <w:sz w:val="24"/>
                <w:szCs w:val="24"/>
              </w:rPr>
              <w:t>. https://doi.org/10.1023/A:1021162906622</w:t>
            </w:r>
            <w:r w:rsidR="001E774F">
              <w:rPr>
                <w:rFonts w:ascii="Times New Roman" w:eastAsia="Times New Roman" w:hAnsi="Times New Roman" w:cs="Times New Roman"/>
                <w:color w:val="000000"/>
                <w:kern w:val="0"/>
                <w:sz w:val="24"/>
                <w:szCs w:val="24"/>
              </w:rPr>
              <w:br/>
            </w:r>
          </w:p>
        </w:tc>
      </w:tr>
      <w:tr w:rsidR="00B57688" w:rsidRPr="00B57688" w14:paraId="6DB22E0D" w14:textId="77777777" w:rsidTr="001E774F">
        <w:trPr>
          <w:trHeight w:val="750"/>
        </w:trPr>
        <w:tc>
          <w:tcPr>
            <w:tcW w:w="12060" w:type="dxa"/>
            <w:gridSpan w:val="3"/>
            <w:shd w:val="clear" w:color="000000" w:fill="FFFFFF"/>
            <w:hideMark/>
          </w:tcPr>
          <w:p w14:paraId="3ADF4E2F" w14:textId="77777777" w:rsidR="004C44B9" w:rsidRDefault="004C44B9" w:rsidP="00B57688">
            <w:pPr>
              <w:contextualSpacing w:val="0"/>
              <w:rPr>
                <w:rFonts w:ascii="Times New Roman" w:eastAsia="Times New Roman" w:hAnsi="Times New Roman" w:cs="Times New Roman"/>
                <w:color w:val="000000"/>
                <w:kern w:val="0"/>
                <w:sz w:val="24"/>
                <w:szCs w:val="24"/>
              </w:rPr>
            </w:pPr>
          </w:p>
          <w:p w14:paraId="6C43521E" w14:textId="4AA8700C" w:rsidR="00B57688" w:rsidRPr="00B57688" w:rsidRDefault="00B57688" w:rsidP="004C44B9">
            <w:pPr>
              <w:ind w:left="701" w:hanging="701"/>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 xml:space="preserve">Harlacher, J. E., &amp; Rodriguez, B. J. (2017). </w:t>
            </w:r>
            <w:r w:rsidRPr="00B57688">
              <w:rPr>
                <w:rFonts w:ascii="Times New Roman" w:eastAsia="Times New Roman" w:hAnsi="Times New Roman" w:cs="Times New Roman"/>
                <w:i/>
                <w:iCs/>
                <w:color w:val="000000"/>
                <w:kern w:val="0"/>
                <w:sz w:val="24"/>
                <w:szCs w:val="24"/>
              </w:rPr>
              <w:t>An Educator’s Guide to Schoolwide Positive Behavioral Interventions and Supports: Integrating All Three Tiers</w:t>
            </w:r>
            <w:r w:rsidRPr="00B57688">
              <w:rPr>
                <w:rFonts w:ascii="Times New Roman" w:eastAsia="Times New Roman" w:hAnsi="Times New Roman" w:cs="Times New Roman"/>
                <w:color w:val="000000"/>
                <w:kern w:val="0"/>
                <w:sz w:val="24"/>
                <w:szCs w:val="24"/>
              </w:rPr>
              <w:t>.</w:t>
            </w:r>
          </w:p>
        </w:tc>
      </w:tr>
      <w:tr w:rsidR="00B57688" w:rsidRPr="00B57688" w14:paraId="21E89194" w14:textId="77777777" w:rsidTr="001E774F">
        <w:trPr>
          <w:trHeight w:val="732"/>
        </w:trPr>
        <w:tc>
          <w:tcPr>
            <w:tcW w:w="12060" w:type="dxa"/>
            <w:gridSpan w:val="3"/>
            <w:shd w:val="clear" w:color="000000" w:fill="FFFFFF"/>
            <w:hideMark/>
          </w:tcPr>
          <w:p w14:paraId="29719F9E" w14:textId="77777777" w:rsidR="004C44B9" w:rsidRDefault="004C44B9" w:rsidP="00B57688">
            <w:pPr>
              <w:contextualSpacing w:val="0"/>
              <w:rPr>
                <w:rFonts w:ascii="Times New Roman" w:eastAsia="Times New Roman" w:hAnsi="Times New Roman" w:cs="Times New Roman"/>
                <w:color w:val="000000"/>
                <w:kern w:val="0"/>
                <w:sz w:val="24"/>
                <w:szCs w:val="24"/>
              </w:rPr>
            </w:pPr>
          </w:p>
          <w:p w14:paraId="679D8AF4" w14:textId="23C7220A" w:rsidR="00B57688" w:rsidRPr="00B57688" w:rsidRDefault="00B57688" w:rsidP="004C44B9">
            <w:pPr>
              <w:ind w:left="701" w:hanging="701"/>
              <w:contextualSpacing w:val="0"/>
              <w:rPr>
                <w:rFonts w:ascii="Times New Roman" w:eastAsia="Times New Roman" w:hAnsi="Times New Roman" w:cs="Times New Roman"/>
                <w:color w:val="000000"/>
                <w:kern w:val="0"/>
                <w:sz w:val="24"/>
                <w:szCs w:val="24"/>
              </w:rPr>
            </w:pPr>
            <w:r w:rsidRPr="00B57688">
              <w:rPr>
                <w:rFonts w:ascii="Times New Roman" w:eastAsia="Times New Roman" w:hAnsi="Times New Roman" w:cs="Times New Roman"/>
                <w:color w:val="000000"/>
                <w:kern w:val="0"/>
                <w:sz w:val="24"/>
                <w:szCs w:val="24"/>
              </w:rPr>
              <w:t xml:space="preserve">Wang, C., Berry, B., &amp; Swearer, S. (2013). The Critical Role of School Climate in Effective Bullying Prevention. </w:t>
            </w:r>
            <w:r w:rsidRPr="00B57688">
              <w:rPr>
                <w:rFonts w:ascii="Times New Roman" w:eastAsia="Times New Roman" w:hAnsi="Times New Roman" w:cs="Times New Roman"/>
                <w:i/>
                <w:iCs/>
                <w:color w:val="000000"/>
                <w:kern w:val="0"/>
                <w:sz w:val="24"/>
                <w:szCs w:val="24"/>
              </w:rPr>
              <w:t>Theory Into Practice, 52</w:t>
            </w:r>
            <w:r w:rsidRPr="00B57688">
              <w:rPr>
                <w:rFonts w:ascii="Times New Roman" w:eastAsia="Times New Roman" w:hAnsi="Times New Roman" w:cs="Times New Roman"/>
                <w:color w:val="000000"/>
                <w:kern w:val="0"/>
                <w:sz w:val="24"/>
                <w:szCs w:val="24"/>
              </w:rPr>
              <w:t>, 296–302. https://doi.org/10.1080/00405841.2013.829735</w:t>
            </w:r>
          </w:p>
        </w:tc>
      </w:tr>
    </w:tbl>
    <w:p w14:paraId="5B3C64B2" w14:textId="242E1605" w:rsidR="001E774F" w:rsidRDefault="001E774F">
      <w:pPr>
        <w:rPr>
          <w:rFonts w:ascii="Arial" w:hAnsi="Arial" w:cs="Arial"/>
        </w:rPr>
      </w:pPr>
    </w:p>
    <w:p w14:paraId="170F8753" w14:textId="77777777" w:rsidR="001E774F" w:rsidRDefault="001E774F">
      <w:pPr>
        <w:spacing w:after="160" w:line="259" w:lineRule="auto"/>
        <w:contextualSpacing w:val="0"/>
        <w:rPr>
          <w:rFonts w:ascii="Arial" w:hAnsi="Arial" w:cs="Arial"/>
        </w:rPr>
      </w:pPr>
      <w:r>
        <w:rPr>
          <w:rFonts w:ascii="Arial" w:hAnsi="Arial" w:cs="Arial"/>
        </w:rPr>
        <w:br w:type="page"/>
      </w:r>
    </w:p>
    <w:tbl>
      <w:tblPr>
        <w:tblW w:w="12060" w:type="dxa"/>
        <w:tblLook w:val="04A0" w:firstRow="1" w:lastRow="0" w:firstColumn="1" w:lastColumn="0" w:noHBand="0" w:noVBand="1"/>
      </w:tblPr>
      <w:tblGrid>
        <w:gridCol w:w="4020"/>
        <w:gridCol w:w="4020"/>
        <w:gridCol w:w="4020"/>
      </w:tblGrid>
      <w:tr w:rsidR="00816270" w:rsidRPr="00816270" w14:paraId="364CE131" w14:textId="77777777" w:rsidTr="00816270">
        <w:trPr>
          <w:trHeight w:val="499"/>
        </w:trPr>
        <w:tc>
          <w:tcPr>
            <w:tcW w:w="12060" w:type="dxa"/>
            <w:gridSpan w:val="3"/>
            <w:tcBorders>
              <w:top w:val="single" w:sz="4" w:space="0" w:color="auto"/>
              <w:left w:val="single" w:sz="4" w:space="0" w:color="auto"/>
              <w:bottom w:val="single" w:sz="4" w:space="0" w:color="auto"/>
              <w:right w:val="single" w:sz="4" w:space="0" w:color="000000"/>
            </w:tcBorders>
            <w:shd w:val="clear" w:color="000000" w:fill="9BC2E6"/>
            <w:vAlign w:val="center"/>
            <w:hideMark/>
          </w:tcPr>
          <w:p w14:paraId="2D47CB3E" w14:textId="77777777" w:rsidR="00816270" w:rsidRPr="00816270" w:rsidRDefault="00816270" w:rsidP="00816270">
            <w:pPr>
              <w:contextualSpacing w:val="0"/>
              <w:jc w:val="center"/>
              <w:rPr>
                <w:rFonts w:ascii="Times New Roman" w:eastAsia="Times New Roman" w:hAnsi="Times New Roman" w:cs="Times New Roman"/>
                <w:b/>
                <w:bCs/>
                <w:color w:val="000000"/>
                <w:kern w:val="0"/>
                <w:sz w:val="32"/>
                <w:szCs w:val="32"/>
              </w:rPr>
            </w:pPr>
            <w:r w:rsidRPr="00816270">
              <w:rPr>
                <w:rFonts w:ascii="Times New Roman" w:eastAsia="Times New Roman" w:hAnsi="Times New Roman" w:cs="Times New Roman"/>
                <w:b/>
                <w:bCs/>
                <w:color w:val="000000"/>
                <w:kern w:val="0"/>
                <w:sz w:val="32"/>
                <w:szCs w:val="32"/>
              </w:rPr>
              <w:lastRenderedPageBreak/>
              <w:t>BPEG Practice Profile: Evidence-Based Practices</w:t>
            </w:r>
          </w:p>
        </w:tc>
      </w:tr>
      <w:tr w:rsidR="00816270" w:rsidRPr="00816270" w14:paraId="59503E89" w14:textId="77777777" w:rsidTr="00816270">
        <w:trPr>
          <w:trHeight w:val="465"/>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3E67DC35"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Audience for this Practice Profile:</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3177BB11"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BPEG Implementation Team (BIT)</w:t>
            </w:r>
          </w:p>
        </w:tc>
      </w:tr>
      <w:tr w:rsidR="00816270" w:rsidRPr="00816270" w14:paraId="3C0807ED" w14:textId="77777777" w:rsidTr="00816270">
        <w:trPr>
          <w:trHeight w:val="705"/>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767BF2EB"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Definition of Core Component:</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0C2329D2"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Approaches and strategies to prevent bullying that are supported by research, matched to need, and culturally responsive.</w:t>
            </w:r>
          </w:p>
        </w:tc>
      </w:tr>
      <w:tr w:rsidR="00816270" w:rsidRPr="00816270" w14:paraId="4BCDB780" w14:textId="77777777" w:rsidTr="00816270">
        <w:trPr>
          <w:trHeight w:val="630"/>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1B24D023"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How the Core Component is Essential to Reducing Bullying:</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6E519BAA"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 xml:space="preserve">Using evidence-based practices to prevent bullying provides districts and schools with the approaches that research suggests are more likely to reduce its prevalence. </w:t>
            </w:r>
          </w:p>
        </w:tc>
      </w:tr>
      <w:tr w:rsidR="00816270" w:rsidRPr="00816270" w14:paraId="7724F4F6" w14:textId="77777777" w:rsidTr="00816270">
        <w:trPr>
          <w:trHeight w:val="390"/>
        </w:trPr>
        <w:tc>
          <w:tcPr>
            <w:tcW w:w="4020" w:type="dxa"/>
            <w:tcBorders>
              <w:top w:val="nil"/>
              <w:left w:val="single" w:sz="4" w:space="0" w:color="auto"/>
              <w:bottom w:val="single" w:sz="4" w:space="0" w:color="auto"/>
              <w:right w:val="nil"/>
            </w:tcBorders>
            <w:shd w:val="clear" w:color="000000" w:fill="DDEBF7"/>
            <w:vAlign w:val="center"/>
            <w:hideMark/>
          </w:tcPr>
          <w:p w14:paraId="2E059553" w14:textId="77777777" w:rsidR="00816270" w:rsidRPr="00816270" w:rsidRDefault="00816270" w:rsidP="00816270">
            <w:pPr>
              <w:contextualSpacing w:val="0"/>
              <w:jc w:val="center"/>
              <w:rPr>
                <w:rFonts w:ascii="Times New Roman" w:eastAsia="Times New Roman" w:hAnsi="Times New Roman" w:cs="Times New Roman"/>
                <w:b/>
                <w:bCs/>
                <w:color w:val="000000"/>
                <w:kern w:val="0"/>
                <w:sz w:val="24"/>
                <w:szCs w:val="24"/>
              </w:rPr>
            </w:pPr>
            <w:r w:rsidRPr="00816270">
              <w:rPr>
                <w:rFonts w:ascii="Times New Roman" w:eastAsia="Times New Roman" w:hAnsi="Times New Roman" w:cs="Times New Roman"/>
                <w:b/>
                <w:bCs/>
                <w:color w:val="000000"/>
                <w:kern w:val="0"/>
                <w:sz w:val="24"/>
                <w:szCs w:val="24"/>
              </w:rPr>
              <w:t>Expected Use in Practice  </w:t>
            </w:r>
          </w:p>
        </w:tc>
        <w:tc>
          <w:tcPr>
            <w:tcW w:w="4020" w:type="dxa"/>
            <w:tcBorders>
              <w:top w:val="nil"/>
              <w:left w:val="single" w:sz="4" w:space="0" w:color="auto"/>
              <w:bottom w:val="single" w:sz="4" w:space="0" w:color="auto"/>
              <w:right w:val="single" w:sz="4" w:space="0" w:color="auto"/>
            </w:tcBorders>
            <w:shd w:val="clear" w:color="000000" w:fill="DDEBF7"/>
            <w:noWrap/>
            <w:vAlign w:val="center"/>
            <w:hideMark/>
          </w:tcPr>
          <w:p w14:paraId="273E533E" w14:textId="77777777" w:rsidR="00816270" w:rsidRPr="00816270" w:rsidRDefault="00816270" w:rsidP="00816270">
            <w:pPr>
              <w:contextualSpacing w:val="0"/>
              <w:jc w:val="center"/>
              <w:rPr>
                <w:rFonts w:ascii="Times New Roman" w:eastAsia="Times New Roman" w:hAnsi="Times New Roman" w:cs="Times New Roman"/>
                <w:b/>
                <w:bCs/>
                <w:color w:val="000000"/>
                <w:kern w:val="0"/>
                <w:sz w:val="24"/>
                <w:szCs w:val="24"/>
              </w:rPr>
            </w:pPr>
            <w:r w:rsidRPr="00816270">
              <w:rPr>
                <w:rFonts w:ascii="Times New Roman" w:eastAsia="Times New Roman" w:hAnsi="Times New Roman" w:cs="Times New Roman"/>
                <w:b/>
                <w:bCs/>
                <w:color w:val="000000"/>
                <w:kern w:val="0"/>
                <w:sz w:val="24"/>
                <w:szCs w:val="24"/>
              </w:rPr>
              <w:t>Developmental Use</w:t>
            </w:r>
          </w:p>
        </w:tc>
        <w:tc>
          <w:tcPr>
            <w:tcW w:w="4020" w:type="dxa"/>
            <w:tcBorders>
              <w:top w:val="nil"/>
              <w:left w:val="nil"/>
              <w:bottom w:val="single" w:sz="4" w:space="0" w:color="auto"/>
              <w:right w:val="single" w:sz="4" w:space="0" w:color="auto"/>
            </w:tcBorders>
            <w:shd w:val="clear" w:color="000000" w:fill="DDEBF7"/>
            <w:noWrap/>
            <w:vAlign w:val="center"/>
            <w:hideMark/>
          </w:tcPr>
          <w:p w14:paraId="1D0C2CF2" w14:textId="77777777" w:rsidR="00816270" w:rsidRPr="00816270" w:rsidRDefault="00816270" w:rsidP="00816270">
            <w:pPr>
              <w:contextualSpacing w:val="0"/>
              <w:jc w:val="center"/>
              <w:rPr>
                <w:rFonts w:ascii="Times New Roman" w:eastAsia="Times New Roman" w:hAnsi="Times New Roman" w:cs="Times New Roman"/>
                <w:b/>
                <w:bCs/>
                <w:color w:val="000000"/>
                <w:kern w:val="0"/>
                <w:sz w:val="24"/>
                <w:szCs w:val="24"/>
              </w:rPr>
            </w:pPr>
            <w:r w:rsidRPr="00816270">
              <w:rPr>
                <w:rFonts w:ascii="Times New Roman" w:eastAsia="Times New Roman" w:hAnsi="Times New Roman" w:cs="Times New Roman"/>
                <w:b/>
                <w:bCs/>
                <w:color w:val="000000"/>
                <w:kern w:val="0"/>
                <w:sz w:val="24"/>
                <w:szCs w:val="24"/>
              </w:rPr>
              <w:t>Unacceptable Use</w:t>
            </w:r>
          </w:p>
        </w:tc>
      </w:tr>
      <w:tr w:rsidR="00816270" w:rsidRPr="00816270" w14:paraId="3B6453FB" w14:textId="77777777" w:rsidTr="00160B69">
        <w:trPr>
          <w:trHeight w:val="1727"/>
        </w:trPr>
        <w:tc>
          <w:tcPr>
            <w:tcW w:w="4020" w:type="dxa"/>
            <w:tcBorders>
              <w:top w:val="nil"/>
              <w:left w:val="single" w:sz="4" w:space="0" w:color="auto"/>
              <w:bottom w:val="single" w:sz="4" w:space="0" w:color="auto"/>
              <w:right w:val="single" w:sz="4" w:space="0" w:color="auto"/>
            </w:tcBorders>
            <w:shd w:val="clear" w:color="000000" w:fill="FFFFFF"/>
            <w:hideMark/>
          </w:tcPr>
          <w:p w14:paraId="5FD67248"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Staff implement evidence-based bullying prevention practices using a tiered model of support.</w:t>
            </w:r>
          </w:p>
        </w:tc>
        <w:tc>
          <w:tcPr>
            <w:tcW w:w="4020" w:type="dxa"/>
            <w:tcBorders>
              <w:top w:val="nil"/>
              <w:left w:val="nil"/>
              <w:bottom w:val="single" w:sz="4" w:space="0" w:color="auto"/>
              <w:right w:val="single" w:sz="4" w:space="0" w:color="auto"/>
            </w:tcBorders>
            <w:shd w:val="clear" w:color="000000" w:fill="FFFFFF"/>
            <w:hideMark/>
          </w:tcPr>
          <w:p w14:paraId="40EB2A2B"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 xml:space="preserve">Staff implement evidence-based bullying prevention </w:t>
            </w:r>
            <w:proofErr w:type="gramStart"/>
            <w:r w:rsidRPr="00816270">
              <w:rPr>
                <w:rFonts w:ascii="Times New Roman" w:eastAsia="Times New Roman" w:hAnsi="Times New Roman" w:cs="Times New Roman"/>
                <w:color w:val="000000"/>
                <w:kern w:val="0"/>
                <w:sz w:val="24"/>
                <w:szCs w:val="24"/>
              </w:rPr>
              <w:t>practices</w:t>
            </w:r>
            <w:proofErr w:type="gramEnd"/>
            <w:r w:rsidRPr="00816270">
              <w:rPr>
                <w:rFonts w:ascii="Times New Roman" w:eastAsia="Times New Roman" w:hAnsi="Times New Roman" w:cs="Times New Roman"/>
                <w:color w:val="000000"/>
                <w:kern w:val="0"/>
                <w:sz w:val="24"/>
                <w:szCs w:val="24"/>
              </w:rPr>
              <w:t xml:space="preserve"> but they are not clearly aligned to a layered continuum of supports including criteria for intensifying and fading supports.</w:t>
            </w:r>
          </w:p>
        </w:tc>
        <w:tc>
          <w:tcPr>
            <w:tcW w:w="4020" w:type="dxa"/>
            <w:tcBorders>
              <w:top w:val="nil"/>
              <w:left w:val="nil"/>
              <w:bottom w:val="single" w:sz="4" w:space="0" w:color="auto"/>
              <w:right w:val="single" w:sz="4" w:space="0" w:color="auto"/>
            </w:tcBorders>
            <w:shd w:val="clear" w:color="000000" w:fill="FFFFFF"/>
            <w:hideMark/>
          </w:tcPr>
          <w:p w14:paraId="18BD90AF"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 xml:space="preserve">Staff do not implement bullying prevention </w:t>
            </w:r>
            <w:proofErr w:type="gramStart"/>
            <w:r w:rsidRPr="00816270">
              <w:rPr>
                <w:rFonts w:ascii="Times New Roman" w:eastAsia="Times New Roman" w:hAnsi="Times New Roman" w:cs="Times New Roman"/>
                <w:color w:val="000000"/>
                <w:kern w:val="0"/>
                <w:sz w:val="24"/>
                <w:szCs w:val="24"/>
              </w:rPr>
              <w:t>practices</w:t>
            </w:r>
            <w:proofErr w:type="gramEnd"/>
            <w:r w:rsidRPr="00816270">
              <w:rPr>
                <w:rFonts w:ascii="Times New Roman" w:eastAsia="Times New Roman" w:hAnsi="Times New Roman" w:cs="Times New Roman"/>
                <w:color w:val="000000"/>
                <w:kern w:val="0"/>
                <w:sz w:val="24"/>
                <w:szCs w:val="24"/>
              </w:rPr>
              <w:t xml:space="preserve"> or they are not evidence-based.</w:t>
            </w:r>
          </w:p>
        </w:tc>
      </w:tr>
      <w:tr w:rsidR="00816270" w:rsidRPr="00816270" w14:paraId="3E1BD039" w14:textId="77777777" w:rsidTr="00816270">
        <w:trPr>
          <w:trHeight w:val="1260"/>
        </w:trPr>
        <w:tc>
          <w:tcPr>
            <w:tcW w:w="4020" w:type="dxa"/>
            <w:tcBorders>
              <w:top w:val="nil"/>
              <w:left w:val="single" w:sz="4" w:space="0" w:color="auto"/>
              <w:bottom w:val="single" w:sz="4" w:space="0" w:color="auto"/>
              <w:right w:val="single" w:sz="4" w:space="0" w:color="auto"/>
            </w:tcBorders>
            <w:shd w:val="clear" w:color="000000" w:fill="FFFFFF"/>
            <w:hideMark/>
          </w:tcPr>
          <w:p w14:paraId="12F685D3"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Staff implement an evidence-based bullying prevention curriculum schoolwide.</w:t>
            </w:r>
          </w:p>
        </w:tc>
        <w:tc>
          <w:tcPr>
            <w:tcW w:w="4020" w:type="dxa"/>
            <w:tcBorders>
              <w:top w:val="nil"/>
              <w:left w:val="nil"/>
              <w:bottom w:val="single" w:sz="4" w:space="0" w:color="auto"/>
              <w:right w:val="single" w:sz="4" w:space="0" w:color="auto"/>
            </w:tcBorders>
            <w:shd w:val="clear" w:color="000000" w:fill="FFFFFF"/>
            <w:hideMark/>
          </w:tcPr>
          <w:p w14:paraId="1678A7A0"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Staff implement the evidence-based bullying prevention curriculum in limited settings (e.g., classroom) and not schoolwide.</w:t>
            </w:r>
          </w:p>
        </w:tc>
        <w:tc>
          <w:tcPr>
            <w:tcW w:w="4020" w:type="dxa"/>
            <w:tcBorders>
              <w:top w:val="nil"/>
              <w:left w:val="nil"/>
              <w:bottom w:val="single" w:sz="4" w:space="0" w:color="auto"/>
              <w:right w:val="single" w:sz="4" w:space="0" w:color="auto"/>
            </w:tcBorders>
            <w:shd w:val="clear" w:color="000000" w:fill="FFFFFF"/>
            <w:hideMark/>
          </w:tcPr>
          <w:p w14:paraId="2DC372E7"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 xml:space="preserve">No evidence-based bullying curriculum is present in the </w:t>
            </w:r>
            <w:proofErr w:type="gramStart"/>
            <w:r w:rsidRPr="00816270">
              <w:rPr>
                <w:rFonts w:ascii="Times New Roman" w:eastAsia="Times New Roman" w:hAnsi="Times New Roman" w:cs="Times New Roman"/>
                <w:color w:val="000000"/>
                <w:kern w:val="0"/>
                <w:sz w:val="24"/>
                <w:szCs w:val="24"/>
              </w:rPr>
              <w:t>school</w:t>
            </w:r>
            <w:proofErr w:type="gramEnd"/>
            <w:r w:rsidRPr="00816270">
              <w:rPr>
                <w:rFonts w:ascii="Times New Roman" w:eastAsia="Times New Roman" w:hAnsi="Times New Roman" w:cs="Times New Roman"/>
                <w:color w:val="000000"/>
                <w:kern w:val="0"/>
                <w:sz w:val="24"/>
                <w:szCs w:val="24"/>
              </w:rPr>
              <w:t xml:space="preserve"> or the curriculum is not evidence-based.</w:t>
            </w:r>
          </w:p>
        </w:tc>
      </w:tr>
      <w:tr w:rsidR="00816270" w:rsidRPr="00816270" w14:paraId="4727CFBC" w14:textId="77777777" w:rsidTr="00160B69">
        <w:trPr>
          <w:trHeight w:val="1520"/>
        </w:trPr>
        <w:tc>
          <w:tcPr>
            <w:tcW w:w="4020" w:type="dxa"/>
            <w:tcBorders>
              <w:top w:val="nil"/>
              <w:left w:val="single" w:sz="4" w:space="0" w:color="auto"/>
              <w:bottom w:val="single" w:sz="4" w:space="0" w:color="auto"/>
              <w:right w:val="single" w:sz="4" w:space="0" w:color="auto"/>
            </w:tcBorders>
            <w:shd w:val="clear" w:color="000000" w:fill="FFFFFF"/>
            <w:hideMark/>
          </w:tcPr>
          <w:p w14:paraId="4C0FFF69"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The school implements evidence-based bullying prevention practices using the Active Implementation Frameworks (AIF) from Implementation Science (e.g., training, coaching, data systems).</w:t>
            </w:r>
          </w:p>
        </w:tc>
        <w:tc>
          <w:tcPr>
            <w:tcW w:w="4020" w:type="dxa"/>
            <w:tcBorders>
              <w:top w:val="nil"/>
              <w:left w:val="nil"/>
              <w:bottom w:val="single" w:sz="4" w:space="0" w:color="auto"/>
              <w:right w:val="single" w:sz="4" w:space="0" w:color="auto"/>
            </w:tcBorders>
            <w:shd w:val="clear" w:color="000000" w:fill="FFFFFF"/>
            <w:hideMark/>
          </w:tcPr>
          <w:p w14:paraId="1CC63DC8"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The school implements evidence-based bullying prevention practices with limited use of the AIFs of Implementation Science.</w:t>
            </w:r>
          </w:p>
        </w:tc>
        <w:tc>
          <w:tcPr>
            <w:tcW w:w="4020" w:type="dxa"/>
            <w:tcBorders>
              <w:top w:val="nil"/>
              <w:left w:val="nil"/>
              <w:bottom w:val="single" w:sz="4" w:space="0" w:color="auto"/>
              <w:right w:val="single" w:sz="4" w:space="0" w:color="auto"/>
            </w:tcBorders>
            <w:shd w:val="clear" w:color="000000" w:fill="FFFFFF"/>
            <w:hideMark/>
          </w:tcPr>
          <w:p w14:paraId="7C3CE4F0" w14:textId="77777777" w:rsidR="00816270" w:rsidRPr="00816270" w:rsidRDefault="00816270" w:rsidP="00816270">
            <w:pPr>
              <w:contextualSpacing w:val="0"/>
              <w:rPr>
                <w:rFonts w:ascii="Times New Roman" w:eastAsia="Times New Roman" w:hAnsi="Times New Roman" w:cs="Times New Roman"/>
                <w:color w:val="000000"/>
                <w:kern w:val="0"/>
                <w:sz w:val="24"/>
                <w:szCs w:val="24"/>
              </w:rPr>
            </w:pPr>
            <w:r w:rsidRPr="00816270">
              <w:rPr>
                <w:rFonts w:ascii="Times New Roman" w:eastAsia="Times New Roman" w:hAnsi="Times New Roman" w:cs="Times New Roman"/>
                <w:color w:val="000000"/>
                <w:kern w:val="0"/>
                <w:sz w:val="24"/>
                <w:szCs w:val="24"/>
              </w:rPr>
              <w:t>The school implements evidence-based bullying prevention practices without using structured implementation approaches.</w:t>
            </w:r>
          </w:p>
        </w:tc>
      </w:tr>
      <w:tr w:rsidR="00816270" w:rsidRPr="00696AC9" w14:paraId="7A04F0DF" w14:textId="77777777" w:rsidTr="008432E0">
        <w:trPr>
          <w:trHeight w:val="315"/>
        </w:trPr>
        <w:tc>
          <w:tcPr>
            <w:tcW w:w="12060" w:type="dxa"/>
            <w:gridSpan w:val="3"/>
            <w:tcBorders>
              <w:top w:val="nil"/>
              <w:left w:val="nil"/>
              <w:right w:val="nil"/>
            </w:tcBorders>
            <w:shd w:val="clear" w:color="000000" w:fill="FFFFFF"/>
            <w:hideMark/>
          </w:tcPr>
          <w:p w14:paraId="1E13F981" w14:textId="77777777" w:rsidR="008432E0" w:rsidRPr="00696AC9" w:rsidRDefault="008432E0" w:rsidP="00816270">
            <w:pPr>
              <w:contextualSpacing w:val="0"/>
              <w:jc w:val="center"/>
              <w:rPr>
                <w:rFonts w:ascii="Times New Roman" w:eastAsia="Times New Roman" w:hAnsi="Times New Roman" w:cs="Times New Roman"/>
                <w:color w:val="000000"/>
                <w:kern w:val="0"/>
                <w:sz w:val="24"/>
                <w:szCs w:val="24"/>
              </w:rPr>
            </w:pPr>
          </w:p>
          <w:p w14:paraId="39805349" w14:textId="7125C34A" w:rsidR="00816270" w:rsidRPr="00696AC9" w:rsidRDefault="00696AC9" w:rsidP="00816270">
            <w:pPr>
              <w:contextualSpacing w:val="0"/>
              <w:jc w:val="center"/>
              <w:rPr>
                <w:rFonts w:ascii="Times New Roman" w:eastAsia="Times New Roman" w:hAnsi="Times New Roman" w:cs="Times New Roman"/>
                <w:color w:val="000000"/>
                <w:kern w:val="0"/>
                <w:sz w:val="24"/>
                <w:szCs w:val="24"/>
              </w:rPr>
            </w:pPr>
            <w:r w:rsidRPr="00696AC9">
              <w:rPr>
                <w:rFonts w:ascii="Times New Roman" w:eastAsia="Times New Roman" w:hAnsi="Times New Roman" w:cs="Times New Roman"/>
                <w:color w:val="000000"/>
                <w:kern w:val="0"/>
                <w:sz w:val="24"/>
                <w:szCs w:val="24"/>
              </w:rPr>
              <w:br/>
            </w:r>
            <w:r w:rsidRPr="00696AC9">
              <w:rPr>
                <w:rFonts w:ascii="Times New Roman" w:eastAsia="Times New Roman" w:hAnsi="Times New Roman" w:cs="Times New Roman"/>
                <w:color w:val="000000"/>
                <w:kern w:val="0"/>
                <w:sz w:val="24"/>
                <w:szCs w:val="24"/>
              </w:rPr>
              <w:br/>
            </w:r>
            <w:r w:rsidRPr="00696AC9">
              <w:rPr>
                <w:rFonts w:ascii="Times New Roman" w:eastAsia="Times New Roman" w:hAnsi="Times New Roman" w:cs="Times New Roman"/>
                <w:color w:val="000000"/>
                <w:kern w:val="0"/>
                <w:sz w:val="24"/>
                <w:szCs w:val="24"/>
              </w:rPr>
              <w:br/>
            </w:r>
            <w:r w:rsidRPr="00696AC9">
              <w:rPr>
                <w:rFonts w:ascii="Times New Roman" w:eastAsia="Times New Roman" w:hAnsi="Times New Roman" w:cs="Times New Roman"/>
                <w:color w:val="000000"/>
                <w:kern w:val="0"/>
                <w:sz w:val="24"/>
                <w:szCs w:val="24"/>
              </w:rPr>
              <w:br/>
            </w:r>
            <w:r w:rsidRPr="00696AC9">
              <w:rPr>
                <w:rFonts w:ascii="Times New Roman" w:eastAsia="Times New Roman" w:hAnsi="Times New Roman" w:cs="Times New Roman"/>
                <w:color w:val="000000"/>
                <w:kern w:val="0"/>
                <w:sz w:val="24"/>
                <w:szCs w:val="24"/>
              </w:rPr>
              <w:lastRenderedPageBreak/>
              <w:br/>
            </w:r>
            <w:r w:rsidR="00816270" w:rsidRPr="00696AC9">
              <w:rPr>
                <w:rFonts w:ascii="Times New Roman" w:eastAsia="Times New Roman" w:hAnsi="Times New Roman" w:cs="Times New Roman"/>
                <w:color w:val="000000"/>
                <w:kern w:val="0"/>
                <w:sz w:val="24"/>
                <w:szCs w:val="24"/>
              </w:rPr>
              <w:t>References</w:t>
            </w:r>
          </w:p>
          <w:p w14:paraId="6BFE10D1" w14:textId="77777777" w:rsidR="00696AC9" w:rsidRPr="00696AC9" w:rsidRDefault="00696AC9" w:rsidP="00816270">
            <w:pPr>
              <w:contextualSpacing w:val="0"/>
              <w:jc w:val="center"/>
              <w:rPr>
                <w:rFonts w:ascii="Times New Roman" w:eastAsia="Times New Roman" w:hAnsi="Times New Roman" w:cs="Times New Roman"/>
                <w:color w:val="000000"/>
                <w:kern w:val="0"/>
                <w:sz w:val="24"/>
                <w:szCs w:val="24"/>
              </w:rPr>
            </w:pPr>
          </w:p>
          <w:p w14:paraId="0654B087" w14:textId="1F812BF7" w:rsidR="008432E0" w:rsidRPr="00696AC9" w:rsidRDefault="008432E0" w:rsidP="00816270">
            <w:pPr>
              <w:contextualSpacing w:val="0"/>
              <w:jc w:val="center"/>
              <w:rPr>
                <w:rFonts w:ascii="Times New Roman" w:eastAsia="Times New Roman" w:hAnsi="Times New Roman" w:cs="Times New Roman"/>
                <w:color w:val="000000"/>
                <w:kern w:val="0"/>
                <w:sz w:val="24"/>
                <w:szCs w:val="24"/>
              </w:rPr>
            </w:pPr>
          </w:p>
        </w:tc>
      </w:tr>
      <w:tr w:rsidR="00816270" w:rsidRPr="00696AC9" w14:paraId="638DCB96" w14:textId="77777777" w:rsidTr="008432E0">
        <w:trPr>
          <w:trHeight w:val="672"/>
        </w:trPr>
        <w:tc>
          <w:tcPr>
            <w:tcW w:w="12060" w:type="dxa"/>
            <w:gridSpan w:val="3"/>
            <w:shd w:val="clear" w:color="auto" w:fill="auto"/>
            <w:hideMark/>
          </w:tcPr>
          <w:p w14:paraId="2A99A64E" w14:textId="77777777" w:rsidR="00816270" w:rsidRPr="00696AC9" w:rsidRDefault="00816270" w:rsidP="00696AC9">
            <w:pPr>
              <w:ind w:left="701" w:hanging="701"/>
              <w:contextualSpacing w:val="0"/>
              <w:rPr>
                <w:rFonts w:ascii="Times New Roman" w:eastAsia="Times New Roman" w:hAnsi="Times New Roman" w:cs="Times New Roman"/>
                <w:color w:val="000000"/>
                <w:kern w:val="0"/>
                <w:sz w:val="24"/>
                <w:szCs w:val="24"/>
              </w:rPr>
            </w:pPr>
            <w:r w:rsidRPr="00696AC9">
              <w:rPr>
                <w:rFonts w:ascii="Times New Roman" w:eastAsia="Times New Roman" w:hAnsi="Times New Roman" w:cs="Times New Roman"/>
                <w:color w:val="000000"/>
                <w:kern w:val="0"/>
                <w:sz w:val="24"/>
                <w:szCs w:val="24"/>
              </w:rPr>
              <w:lastRenderedPageBreak/>
              <w:t xml:space="preserve">Gaffney, H., Farrington, D. P., &amp; </w:t>
            </w:r>
            <w:proofErr w:type="spellStart"/>
            <w:r w:rsidRPr="00696AC9">
              <w:rPr>
                <w:rFonts w:ascii="Times New Roman" w:eastAsia="Times New Roman" w:hAnsi="Times New Roman" w:cs="Times New Roman"/>
                <w:color w:val="000000"/>
                <w:kern w:val="0"/>
                <w:sz w:val="24"/>
                <w:szCs w:val="24"/>
              </w:rPr>
              <w:t>Ttofi</w:t>
            </w:r>
            <w:proofErr w:type="spellEnd"/>
            <w:r w:rsidRPr="00696AC9">
              <w:rPr>
                <w:rFonts w:ascii="Times New Roman" w:eastAsia="Times New Roman" w:hAnsi="Times New Roman" w:cs="Times New Roman"/>
                <w:color w:val="000000"/>
                <w:kern w:val="0"/>
                <w:sz w:val="24"/>
                <w:szCs w:val="24"/>
              </w:rPr>
              <w:t xml:space="preserve">, M. M. (2019). Examining the Effectiveness of School-Bullying Intervention Programs Globally: A Meta-analysis. </w:t>
            </w:r>
            <w:r w:rsidRPr="00696AC9">
              <w:rPr>
                <w:rFonts w:ascii="Times New Roman" w:eastAsia="Times New Roman" w:hAnsi="Times New Roman" w:cs="Times New Roman"/>
                <w:i/>
                <w:iCs/>
                <w:color w:val="000000"/>
                <w:kern w:val="0"/>
                <w:sz w:val="24"/>
                <w:szCs w:val="24"/>
              </w:rPr>
              <w:t>International Journal of Bullying Prevention, 1</w:t>
            </w:r>
            <w:r w:rsidRPr="00696AC9">
              <w:rPr>
                <w:rFonts w:ascii="Times New Roman" w:eastAsia="Times New Roman" w:hAnsi="Times New Roman" w:cs="Times New Roman"/>
                <w:color w:val="000000"/>
                <w:kern w:val="0"/>
                <w:sz w:val="24"/>
                <w:szCs w:val="24"/>
              </w:rPr>
              <w:t xml:space="preserve"> 14-31. https://doi.org/10.1007/s42380-019-0007-4</w:t>
            </w:r>
          </w:p>
        </w:tc>
      </w:tr>
      <w:tr w:rsidR="00816270" w:rsidRPr="00696AC9" w14:paraId="052A0394" w14:textId="77777777" w:rsidTr="008432E0">
        <w:trPr>
          <w:trHeight w:val="690"/>
        </w:trPr>
        <w:tc>
          <w:tcPr>
            <w:tcW w:w="12060" w:type="dxa"/>
            <w:gridSpan w:val="3"/>
            <w:shd w:val="clear" w:color="auto" w:fill="auto"/>
            <w:hideMark/>
          </w:tcPr>
          <w:p w14:paraId="55D3D516" w14:textId="77777777" w:rsidR="00696AC9" w:rsidRDefault="00696AC9" w:rsidP="00816270">
            <w:pPr>
              <w:contextualSpacing w:val="0"/>
              <w:rPr>
                <w:rFonts w:ascii="Times New Roman" w:eastAsia="Times New Roman" w:hAnsi="Times New Roman" w:cs="Times New Roman"/>
                <w:color w:val="000000"/>
                <w:kern w:val="0"/>
                <w:sz w:val="24"/>
                <w:szCs w:val="24"/>
              </w:rPr>
            </w:pPr>
          </w:p>
          <w:p w14:paraId="51C81DBF" w14:textId="0CD80210" w:rsidR="00816270" w:rsidRPr="00696AC9" w:rsidRDefault="00816270" w:rsidP="00696AC9">
            <w:pPr>
              <w:ind w:left="701" w:hanging="701"/>
              <w:contextualSpacing w:val="0"/>
              <w:rPr>
                <w:rFonts w:ascii="Times New Roman" w:eastAsia="Times New Roman" w:hAnsi="Times New Roman" w:cs="Times New Roman"/>
                <w:color w:val="000000"/>
                <w:kern w:val="0"/>
                <w:sz w:val="24"/>
                <w:szCs w:val="24"/>
              </w:rPr>
            </w:pPr>
            <w:r w:rsidRPr="00696AC9">
              <w:rPr>
                <w:rFonts w:ascii="Times New Roman" w:eastAsia="Times New Roman" w:hAnsi="Times New Roman" w:cs="Times New Roman"/>
                <w:color w:val="000000"/>
                <w:kern w:val="0"/>
                <w:sz w:val="24"/>
                <w:szCs w:val="24"/>
              </w:rPr>
              <w:t xml:space="preserve">Farrington, D. &amp; </w:t>
            </w:r>
            <w:proofErr w:type="spellStart"/>
            <w:r w:rsidRPr="00696AC9">
              <w:rPr>
                <w:rFonts w:ascii="Times New Roman" w:eastAsia="Times New Roman" w:hAnsi="Times New Roman" w:cs="Times New Roman"/>
                <w:color w:val="000000"/>
                <w:kern w:val="0"/>
                <w:sz w:val="24"/>
                <w:szCs w:val="24"/>
              </w:rPr>
              <w:t>Ttofi</w:t>
            </w:r>
            <w:proofErr w:type="spellEnd"/>
            <w:r w:rsidRPr="00696AC9">
              <w:rPr>
                <w:rFonts w:ascii="Times New Roman" w:eastAsia="Times New Roman" w:hAnsi="Times New Roman" w:cs="Times New Roman"/>
                <w:color w:val="000000"/>
                <w:kern w:val="0"/>
                <w:sz w:val="24"/>
                <w:szCs w:val="24"/>
              </w:rPr>
              <w:t xml:space="preserve">, M. School-Based Programs to Reduce Bullying and Victimization. </w:t>
            </w:r>
            <w:r w:rsidRPr="00696AC9">
              <w:rPr>
                <w:rFonts w:ascii="Times New Roman" w:eastAsia="Times New Roman" w:hAnsi="Times New Roman" w:cs="Times New Roman"/>
                <w:i/>
                <w:iCs/>
                <w:color w:val="000000"/>
                <w:kern w:val="0"/>
                <w:sz w:val="24"/>
                <w:szCs w:val="24"/>
              </w:rPr>
              <w:t>Campbell Systematic Reviews</w:t>
            </w:r>
            <w:r w:rsidRPr="00696AC9">
              <w:rPr>
                <w:rFonts w:ascii="Times New Roman" w:eastAsia="Times New Roman" w:hAnsi="Times New Roman" w:cs="Times New Roman"/>
                <w:color w:val="000000"/>
                <w:kern w:val="0"/>
                <w:sz w:val="24"/>
                <w:szCs w:val="24"/>
              </w:rPr>
              <w:t>, 2009:6. https://doi.org/10.4073/csr.2009.6</w:t>
            </w:r>
          </w:p>
        </w:tc>
      </w:tr>
      <w:tr w:rsidR="00816270" w:rsidRPr="00696AC9" w14:paraId="73AE9071" w14:textId="77777777" w:rsidTr="008432E0">
        <w:trPr>
          <w:trHeight w:val="750"/>
        </w:trPr>
        <w:tc>
          <w:tcPr>
            <w:tcW w:w="12060" w:type="dxa"/>
            <w:gridSpan w:val="3"/>
            <w:shd w:val="clear" w:color="auto" w:fill="auto"/>
            <w:hideMark/>
          </w:tcPr>
          <w:p w14:paraId="08F3015B" w14:textId="77777777" w:rsidR="00696AC9" w:rsidRDefault="00696AC9" w:rsidP="00816270">
            <w:pPr>
              <w:contextualSpacing w:val="0"/>
              <w:rPr>
                <w:rFonts w:ascii="Times New Roman" w:eastAsia="Times New Roman" w:hAnsi="Times New Roman" w:cs="Times New Roman"/>
                <w:color w:val="000000"/>
                <w:kern w:val="0"/>
                <w:sz w:val="24"/>
                <w:szCs w:val="24"/>
              </w:rPr>
            </w:pPr>
          </w:p>
          <w:p w14:paraId="37D7FA6A" w14:textId="3AA28C74" w:rsidR="00816270" w:rsidRPr="00696AC9" w:rsidRDefault="00816270" w:rsidP="00696AC9">
            <w:pPr>
              <w:ind w:left="701" w:hanging="701"/>
              <w:contextualSpacing w:val="0"/>
              <w:rPr>
                <w:rFonts w:ascii="Times New Roman" w:eastAsia="Times New Roman" w:hAnsi="Times New Roman" w:cs="Times New Roman"/>
                <w:color w:val="000000"/>
                <w:kern w:val="0"/>
                <w:sz w:val="24"/>
                <w:szCs w:val="24"/>
              </w:rPr>
            </w:pPr>
            <w:proofErr w:type="spellStart"/>
            <w:r w:rsidRPr="00696AC9">
              <w:rPr>
                <w:rFonts w:ascii="Times New Roman" w:eastAsia="Times New Roman" w:hAnsi="Times New Roman" w:cs="Times New Roman"/>
                <w:color w:val="000000"/>
                <w:kern w:val="0"/>
                <w:sz w:val="24"/>
                <w:szCs w:val="24"/>
              </w:rPr>
              <w:t>Fixsen</w:t>
            </w:r>
            <w:proofErr w:type="spellEnd"/>
            <w:r w:rsidRPr="00696AC9">
              <w:rPr>
                <w:rFonts w:ascii="Times New Roman" w:eastAsia="Times New Roman" w:hAnsi="Times New Roman" w:cs="Times New Roman"/>
                <w:color w:val="000000"/>
                <w:kern w:val="0"/>
                <w:sz w:val="24"/>
                <w:szCs w:val="24"/>
              </w:rPr>
              <w:t xml:space="preserve">, D., </w:t>
            </w:r>
            <w:proofErr w:type="spellStart"/>
            <w:r w:rsidRPr="00696AC9">
              <w:rPr>
                <w:rFonts w:ascii="Times New Roman" w:eastAsia="Times New Roman" w:hAnsi="Times New Roman" w:cs="Times New Roman"/>
                <w:color w:val="000000"/>
                <w:kern w:val="0"/>
                <w:sz w:val="24"/>
                <w:szCs w:val="24"/>
              </w:rPr>
              <w:t>Naoom</w:t>
            </w:r>
            <w:proofErr w:type="spellEnd"/>
            <w:r w:rsidRPr="00696AC9">
              <w:rPr>
                <w:rFonts w:ascii="Times New Roman" w:eastAsia="Times New Roman" w:hAnsi="Times New Roman" w:cs="Times New Roman"/>
                <w:color w:val="000000"/>
                <w:kern w:val="0"/>
                <w:sz w:val="24"/>
                <w:szCs w:val="24"/>
              </w:rPr>
              <w:t xml:space="preserve">, S., </w:t>
            </w:r>
            <w:proofErr w:type="spellStart"/>
            <w:r w:rsidRPr="00696AC9">
              <w:rPr>
                <w:rFonts w:ascii="Times New Roman" w:eastAsia="Times New Roman" w:hAnsi="Times New Roman" w:cs="Times New Roman"/>
                <w:color w:val="000000"/>
                <w:kern w:val="0"/>
                <w:sz w:val="24"/>
                <w:szCs w:val="24"/>
              </w:rPr>
              <w:t>Blase</w:t>
            </w:r>
            <w:proofErr w:type="spellEnd"/>
            <w:r w:rsidRPr="00696AC9">
              <w:rPr>
                <w:rFonts w:ascii="Times New Roman" w:eastAsia="Times New Roman" w:hAnsi="Times New Roman" w:cs="Times New Roman"/>
                <w:color w:val="000000"/>
                <w:kern w:val="0"/>
                <w:sz w:val="24"/>
                <w:szCs w:val="24"/>
              </w:rPr>
              <w:t>, K., Friedman, R., &amp; Wallace, F. (2005).</w:t>
            </w:r>
            <w:r w:rsidRPr="00696AC9">
              <w:rPr>
                <w:rFonts w:ascii="Times New Roman" w:eastAsia="Times New Roman" w:hAnsi="Times New Roman" w:cs="Times New Roman"/>
                <w:i/>
                <w:iCs/>
                <w:color w:val="000000"/>
                <w:kern w:val="0"/>
                <w:sz w:val="24"/>
                <w:szCs w:val="24"/>
              </w:rPr>
              <w:t xml:space="preserve"> Implementation Research: A Synthesis of </w:t>
            </w:r>
            <w:proofErr w:type="gramStart"/>
            <w:r w:rsidRPr="00696AC9">
              <w:rPr>
                <w:rFonts w:ascii="Times New Roman" w:eastAsia="Times New Roman" w:hAnsi="Times New Roman" w:cs="Times New Roman"/>
                <w:i/>
                <w:iCs/>
                <w:color w:val="000000"/>
                <w:kern w:val="0"/>
                <w:sz w:val="24"/>
                <w:szCs w:val="24"/>
              </w:rPr>
              <w:t>the Literature</w:t>
            </w:r>
            <w:proofErr w:type="gramEnd"/>
            <w:r w:rsidRPr="00696AC9">
              <w:rPr>
                <w:rFonts w:ascii="Times New Roman" w:eastAsia="Times New Roman" w:hAnsi="Times New Roman" w:cs="Times New Roman"/>
                <w:i/>
                <w:iCs/>
                <w:color w:val="000000"/>
                <w:kern w:val="0"/>
                <w:sz w:val="24"/>
                <w:szCs w:val="24"/>
              </w:rPr>
              <w:t>.</w:t>
            </w:r>
            <w:r w:rsidRPr="00696AC9">
              <w:rPr>
                <w:rFonts w:ascii="Times New Roman" w:eastAsia="Times New Roman" w:hAnsi="Times New Roman" w:cs="Times New Roman"/>
                <w:color w:val="000000"/>
                <w:kern w:val="0"/>
                <w:sz w:val="24"/>
                <w:szCs w:val="24"/>
              </w:rPr>
              <w:t xml:space="preserve"> https://nirn.fpg.unc.edu/sites/nirn.fpg.unc.edu/files/resources/NIRN-MonographFull-01-2005.pdf</w:t>
            </w:r>
          </w:p>
        </w:tc>
      </w:tr>
    </w:tbl>
    <w:p w14:paraId="4354B845" w14:textId="7089341B" w:rsidR="002205DE" w:rsidRDefault="002205DE">
      <w:pPr>
        <w:rPr>
          <w:rFonts w:ascii="Arial" w:hAnsi="Arial" w:cs="Arial"/>
        </w:rPr>
      </w:pPr>
    </w:p>
    <w:p w14:paraId="5AA0E97E" w14:textId="77777777" w:rsidR="002205DE" w:rsidRDefault="002205DE">
      <w:pPr>
        <w:spacing w:after="160" w:line="259" w:lineRule="auto"/>
        <w:contextualSpacing w:val="0"/>
        <w:rPr>
          <w:rFonts w:ascii="Arial" w:hAnsi="Arial" w:cs="Arial"/>
        </w:rPr>
      </w:pPr>
      <w:r>
        <w:rPr>
          <w:rFonts w:ascii="Arial" w:hAnsi="Arial" w:cs="Arial"/>
        </w:rPr>
        <w:br w:type="page"/>
      </w:r>
    </w:p>
    <w:tbl>
      <w:tblPr>
        <w:tblW w:w="12060" w:type="dxa"/>
        <w:tblLook w:val="04A0" w:firstRow="1" w:lastRow="0" w:firstColumn="1" w:lastColumn="0" w:noHBand="0" w:noVBand="1"/>
      </w:tblPr>
      <w:tblGrid>
        <w:gridCol w:w="4020"/>
        <w:gridCol w:w="4020"/>
        <w:gridCol w:w="4020"/>
      </w:tblGrid>
      <w:tr w:rsidR="002205DE" w:rsidRPr="002205DE" w14:paraId="2CFFE91F" w14:textId="77777777" w:rsidTr="002205DE">
        <w:trPr>
          <w:trHeight w:val="499"/>
        </w:trPr>
        <w:tc>
          <w:tcPr>
            <w:tcW w:w="12060" w:type="dxa"/>
            <w:gridSpan w:val="3"/>
            <w:tcBorders>
              <w:top w:val="single" w:sz="4" w:space="0" w:color="auto"/>
              <w:left w:val="single" w:sz="4" w:space="0" w:color="auto"/>
              <w:bottom w:val="single" w:sz="4" w:space="0" w:color="auto"/>
              <w:right w:val="single" w:sz="4" w:space="0" w:color="000000"/>
            </w:tcBorders>
            <w:shd w:val="clear" w:color="000000" w:fill="9BC2E6"/>
            <w:vAlign w:val="center"/>
            <w:hideMark/>
          </w:tcPr>
          <w:p w14:paraId="76BC3310" w14:textId="77777777" w:rsidR="002205DE" w:rsidRPr="002205DE" w:rsidRDefault="002205DE" w:rsidP="002205DE">
            <w:pPr>
              <w:contextualSpacing w:val="0"/>
              <w:jc w:val="center"/>
              <w:rPr>
                <w:rFonts w:ascii="Times New Roman" w:eastAsia="Times New Roman" w:hAnsi="Times New Roman" w:cs="Times New Roman"/>
                <w:b/>
                <w:bCs/>
                <w:color w:val="000000"/>
                <w:kern w:val="0"/>
                <w:sz w:val="32"/>
                <w:szCs w:val="32"/>
              </w:rPr>
            </w:pPr>
            <w:r w:rsidRPr="002205DE">
              <w:rPr>
                <w:rFonts w:ascii="Times New Roman" w:eastAsia="Times New Roman" w:hAnsi="Times New Roman" w:cs="Times New Roman"/>
                <w:b/>
                <w:bCs/>
                <w:color w:val="000000"/>
                <w:kern w:val="0"/>
                <w:sz w:val="32"/>
                <w:szCs w:val="32"/>
              </w:rPr>
              <w:lastRenderedPageBreak/>
              <w:t>BPEG Practice Profile: Data-Based Decision Making</w:t>
            </w:r>
          </w:p>
        </w:tc>
      </w:tr>
      <w:tr w:rsidR="002205DE" w:rsidRPr="002205DE" w14:paraId="756A1C2C" w14:textId="77777777" w:rsidTr="002205DE">
        <w:trPr>
          <w:trHeight w:val="315"/>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709F0AEC"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Audience for this Practice Profile:</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2072F693"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BPEG Implementation Team (BIT)</w:t>
            </w:r>
          </w:p>
        </w:tc>
      </w:tr>
      <w:tr w:rsidR="002205DE" w:rsidRPr="002205DE" w14:paraId="234608AA" w14:textId="77777777" w:rsidTr="002205DE">
        <w:trPr>
          <w:trHeight w:val="1035"/>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02C7BBB9"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Definition of Core Component:</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437965E0"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A continuous improvement process used by the BIT to collect, analyze, and evaluate information to inform decision making at the system and student level.</w:t>
            </w:r>
          </w:p>
        </w:tc>
      </w:tr>
      <w:tr w:rsidR="002205DE" w:rsidRPr="002205DE" w14:paraId="038EF831" w14:textId="77777777" w:rsidTr="002205DE">
        <w:trPr>
          <w:trHeight w:val="630"/>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50C71469"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How the Core Component is Essential to Reducing Bullying:</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0066D1E5"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Data-based decision making ensures evidence guides effective and efficient decision making at the system and student levels.</w:t>
            </w:r>
          </w:p>
        </w:tc>
      </w:tr>
      <w:tr w:rsidR="002205DE" w:rsidRPr="002205DE" w14:paraId="7EEEA287" w14:textId="77777777" w:rsidTr="002205DE">
        <w:trPr>
          <w:trHeight w:val="350"/>
        </w:trPr>
        <w:tc>
          <w:tcPr>
            <w:tcW w:w="4020" w:type="dxa"/>
            <w:tcBorders>
              <w:top w:val="nil"/>
              <w:left w:val="single" w:sz="4" w:space="0" w:color="auto"/>
              <w:bottom w:val="single" w:sz="4" w:space="0" w:color="auto"/>
              <w:right w:val="nil"/>
            </w:tcBorders>
            <w:shd w:val="clear" w:color="000000" w:fill="DDEBF7"/>
            <w:vAlign w:val="center"/>
            <w:hideMark/>
          </w:tcPr>
          <w:p w14:paraId="1ED4138C" w14:textId="07D6D771" w:rsidR="002205DE" w:rsidRPr="002205DE" w:rsidRDefault="002205DE" w:rsidP="002205DE">
            <w:pPr>
              <w:contextualSpacing w:val="0"/>
              <w:jc w:val="center"/>
              <w:rPr>
                <w:rFonts w:ascii="Times New Roman" w:eastAsia="Times New Roman" w:hAnsi="Times New Roman" w:cs="Times New Roman"/>
                <w:b/>
                <w:bCs/>
                <w:color w:val="000000"/>
                <w:kern w:val="0"/>
                <w:sz w:val="24"/>
                <w:szCs w:val="24"/>
              </w:rPr>
            </w:pPr>
            <w:r w:rsidRPr="002205DE">
              <w:rPr>
                <w:rFonts w:ascii="Times New Roman" w:eastAsia="Times New Roman" w:hAnsi="Times New Roman" w:cs="Times New Roman"/>
                <w:b/>
                <w:bCs/>
                <w:color w:val="000000"/>
                <w:kern w:val="0"/>
                <w:sz w:val="24"/>
                <w:szCs w:val="24"/>
              </w:rPr>
              <w:t>Expected Use in Practice</w:t>
            </w:r>
          </w:p>
        </w:tc>
        <w:tc>
          <w:tcPr>
            <w:tcW w:w="4020" w:type="dxa"/>
            <w:tcBorders>
              <w:top w:val="nil"/>
              <w:left w:val="single" w:sz="4" w:space="0" w:color="auto"/>
              <w:bottom w:val="single" w:sz="4" w:space="0" w:color="auto"/>
              <w:right w:val="single" w:sz="4" w:space="0" w:color="auto"/>
            </w:tcBorders>
            <w:shd w:val="clear" w:color="000000" w:fill="DDEBF7"/>
            <w:noWrap/>
            <w:vAlign w:val="center"/>
            <w:hideMark/>
          </w:tcPr>
          <w:p w14:paraId="48FE95FF" w14:textId="77777777" w:rsidR="002205DE" w:rsidRPr="002205DE" w:rsidRDefault="002205DE" w:rsidP="002205DE">
            <w:pPr>
              <w:contextualSpacing w:val="0"/>
              <w:jc w:val="center"/>
              <w:rPr>
                <w:rFonts w:ascii="Times New Roman" w:eastAsia="Times New Roman" w:hAnsi="Times New Roman" w:cs="Times New Roman"/>
                <w:b/>
                <w:bCs/>
                <w:color w:val="000000"/>
                <w:kern w:val="0"/>
                <w:sz w:val="24"/>
                <w:szCs w:val="24"/>
              </w:rPr>
            </w:pPr>
            <w:r w:rsidRPr="002205DE">
              <w:rPr>
                <w:rFonts w:ascii="Times New Roman" w:eastAsia="Times New Roman" w:hAnsi="Times New Roman" w:cs="Times New Roman"/>
                <w:b/>
                <w:bCs/>
                <w:color w:val="000000"/>
                <w:kern w:val="0"/>
                <w:sz w:val="24"/>
                <w:szCs w:val="24"/>
              </w:rPr>
              <w:t>Developmental Use</w:t>
            </w:r>
          </w:p>
        </w:tc>
        <w:tc>
          <w:tcPr>
            <w:tcW w:w="4020" w:type="dxa"/>
            <w:tcBorders>
              <w:top w:val="nil"/>
              <w:left w:val="nil"/>
              <w:bottom w:val="single" w:sz="4" w:space="0" w:color="auto"/>
              <w:right w:val="single" w:sz="4" w:space="0" w:color="auto"/>
            </w:tcBorders>
            <w:shd w:val="clear" w:color="000000" w:fill="DDEBF7"/>
            <w:noWrap/>
            <w:vAlign w:val="center"/>
            <w:hideMark/>
          </w:tcPr>
          <w:p w14:paraId="69CD2AC4" w14:textId="77777777" w:rsidR="002205DE" w:rsidRPr="002205DE" w:rsidRDefault="002205DE" w:rsidP="002205DE">
            <w:pPr>
              <w:contextualSpacing w:val="0"/>
              <w:jc w:val="center"/>
              <w:rPr>
                <w:rFonts w:ascii="Times New Roman" w:eastAsia="Times New Roman" w:hAnsi="Times New Roman" w:cs="Times New Roman"/>
                <w:b/>
                <w:bCs/>
                <w:color w:val="000000"/>
                <w:kern w:val="0"/>
                <w:sz w:val="24"/>
                <w:szCs w:val="24"/>
              </w:rPr>
            </w:pPr>
            <w:r w:rsidRPr="002205DE">
              <w:rPr>
                <w:rFonts w:ascii="Times New Roman" w:eastAsia="Times New Roman" w:hAnsi="Times New Roman" w:cs="Times New Roman"/>
                <w:b/>
                <w:bCs/>
                <w:color w:val="000000"/>
                <w:kern w:val="0"/>
                <w:sz w:val="24"/>
                <w:szCs w:val="24"/>
              </w:rPr>
              <w:t>Unacceptable Use</w:t>
            </w:r>
          </w:p>
        </w:tc>
      </w:tr>
      <w:tr w:rsidR="002205DE" w:rsidRPr="002205DE" w14:paraId="36C9F508" w14:textId="77777777" w:rsidTr="002205DE">
        <w:trPr>
          <w:trHeight w:val="980"/>
        </w:trPr>
        <w:tc>
          <w:tcPr>
            <w:tcW w:w="4020" w:type="dxa"/>
            <w:tcBorders>
              <w:top w:val="nil"/>
              <w:left w:val="single" w:sz="4" w:space="0" w:color="auto"/>
              <w:bottom w:val="single" w:sz="4" w:space="0" w:color="auto"/>
              <w:right w:val="single" w:sz="4" w:space="0" w:color="auto"/>
            </w:tcBorders>
            <w:shd w:val="clear" w:color="000000" w:fill="FFFFFF"/>
            <w:hideMark/>
          </w:tcPr>
          <w:p w14:paraId="23DE0284"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The BIT uses data to make decisions at the system and student levels.</w:t>
            </w:r>
          </w:p>
        </w:tc>
        <w:tc>
          <w:tcPr>
            <w:tcW w:w="4020" w:type="dxa"/>
            <w:tcBorders>
              <w:top w:val="nil"/>
              <w:left w:val="nil"/>
              <w:bottom w:val="single" w:sz="4" w:space="0" w:color="auto"/>
              <w:right w:val="single" w:sz="4" w:space="0" w:color="auto"/>
            </w:tcBorders>
            <w:shd w:val="clear" w:color="000000" w:fill="FFFFFF"/>
            <w:hideMark/>
          </w:tcPr>
          <w:p w14:paraId="171343F8"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The BIT uses data to make decisions at only the system or only the student level.</w:t>
            </w:r>
          </w:p>
        </w:tc>
        <w:tc>
          <w:tcPr>
            <w:tcW w:w="4020" w:type="dxa"/>
            <w:tcBorders>
              <w:top w:val="nil"/>
              <w:left w:val="nil"/>
              <w:bottom w:val="single" w:sz="4" w:space="0" w:color="auto"/>
              <w:right w:val="single" w:sz="4" w:space="0" w:color="auto"/>
            </w:tcBorders>
            <w:shd w:val="clear" w:color="000000" w:fill="FFFFFF"/>
            <w:hideMark/>
          </w:tcPr>
          <w:p w14:paraId="5923358B"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The BIT rarely uses data to make decisions at the system or student levels.</w:t>
            </w:r>
          </w:p>
        </w:tc>
      </w:tr>
      <w:tr w:rsidR="002205DE" w:rsidRPr="002205DE" w14:paraId="37FF1DE6" w14:textId="77777777" w:rsidTr="002205DE">
        <w:trPr>
          <w:trHeight w:val="980"/>
        </w:trPr>
        <w:tc>
          <w:tcPr>
            <w:tcW w:w="4020" w:type="dxa"/>
            <w:tcBorders>
              <w:top w:val="nil"/>
              <w:left w:val="single" w:sz="4" w:space="0" w:color="auto"/>
              <w:bottom w:val="single" w:sz="4" w:space="0" w:color="auto"/>
              <w:right w:val="single" w:sz="4" w:space="0" w:color="auto"/>
            </w:tcBorders>
            <w:shd w:val="clear" w:color="000000" w:fill="FFFFFF"/>
            <w:hideMark/>
          </w:tcPr>
          <w:p w14:paraId="7CC9FE15"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The BIT uses data to measure, evaluate, and improve the fidelity of BPEG program implementation.</w:t>
            </w:r>
          </w:p>
        </w:tc>
        <w:tc>
          <w:tcPr>
            <w:tcW w:w="4020" w:type="dxa"/>
            <w:tcBorders>
              <w:top w:val="nil"/>
              <w:left w:val="nil"/>
              <w:bottom w:val="single" w:sz="4" w:space="0" w:color="auto"/>
              <w:right w:val="single" w:sz="4" w:space="0" w:color="auto"/>
            </w:tcBorders>
            <w:shd w:val="clear" w:color="000000" w:fill="FFFFFF"/>
            <w:hideMark/>
          </w:tcPr>
          <w:p w14:paraId="6C256516"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The BIT collects fidelity data but rarely use the data to inform decision making for the BPEG program.</w:t>
            </w:r>
          </w:p>
        </w:tc>
        <w:tc>
          <w:tcPr>
            <w:tcW w:w="4020" w:type="dxa"/>
            <w:tcBorders>
              <w:top w:val="nil"/>
              <w:left w:val="nil"/>
              <w:bottom w:val="single" w:sz="4" w:space="0" w:color="auto"/>
              <w:right w:val="single" w:sz="4" w:space="0" w:color="auto"/>
            </w:tcBorders>
            <w:shd w:val="clear" w:color="000000" w:fill="FFFFFF"/>
            <w:hideMark/>
          </w:tcPr>
          <w:p w14:paraId="71A3E7C3"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The BIT does not collect fidelity data on the BPEG program implementation.</w:t>
            </w:r>
          </w:p>
        </w:tc>
      </w:tr>
      <w:tr w:rsidR="002205DE" w:rsidRPr="002205DE" w14:paraId="71C87CB2" w14:textId="77777777" w:rsidTr="002205DE">
        <w:trPr>
          <w:trHeight w:val="1050"/>
        </w:trPr>
        <w:tc>
          <w:tcPr>
            <w:tcW w:w="4020" w:type="dxa"/>
            <w:tcBorders>
              <w:top w:val="nil"/>
              <w:left w:val="single" w:sz="4" w:space="0" w:color="auto"/>
              <w:bottom w:val="single" w:sz="4" w:space="0" w:color="auto"/>
              <w:right w:val="single" w:sz="4" w:space="0" w:color="auto"/>
            </w:tcBorders>
            <w:shd w:val="clear" w:color="000000" w:fill="FFFFFF"/>
            <w:hideMark/>
          </w:tcPr>
          <w:p w14:paraId="512AD659"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School staff have access to relevant bullying and behavior data through a system that is useful and useable.</w:t>
            </w:r>
          </w:p>
        </w:tc>
        <w:tc>
          <w:tcPr>
            <w:tcW w:w="4020" w:type="dxa"/>
            <w:tcBorders>
              <w:top w:val="nil"/>
              <w:left w:val="nil"/>
              <w:bottom w:val="single" w:sz="4" w:space="0" w:color="auto"/>
              <w:right w:val="single" w:sz="4" w:space="0" w:color="auto"/>
            </w:tcBorders>
            <w:shd w:val="clear" w:color="000000" w:fill="FFFFFF"/>
            <w:hideMark/>
          </w:tcPr>
          <w:p w14:paraId="736DED58"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 xml:space="preserve">School staff have access to relevant bullying and behavior </w:t>
            </w:r>
            <w:proofErr w:type="gramStart"/>
            <w:r w:rsidRPr="002205DE">
              <w:rPr>
                <w:rFonts w:ascii="Times New Roman" w:eastAsia="Times New Roman" w:hAnsi="Times New Roman" w:cs="Times New Roman"/>
                <w:color w:val="000000"/>
                <w:kern w:val="0"/>
                <w:sz w:val="24"/>
                <w:szCs w:val="24"/>
              </w:rPr>
              <w:t>data</w:t>
            </w:r>
            <w:proofErr w:type="gramEnd"/>
            <w:r w:rsidRPr="002205DE">
              <w:rPr>
                <w:rFonts w:ascii="Times New Roman" w:eastAsia="Times New Roman" w:hAnsi="Times New Roman" w:cs="Times New Roman"/>
                <w:color w:val="000000"/>
                <w:kern w:val="0"/>
                <w:sz w:val="24"/>
                <w:szCs w:val="24"/>
              </w:rPr>
              <w:t xml:space="preserve"> but the system is either not useful or useable.</w:t>
            </w:r>
          </w:p>
        </w:tc>
        <w:tc>
          <w:tcPr>
            <w:tcW w:w="4020" w:type="dxa"/>
            <w:tcBorders>
              <w:top w:val="nil"/>
              <w:left w:val="nil"/>
              <w:bottom w:val="single" w:sz="4" w:space="0" w:color="auto"/>
              <w:right w:val="single" w:sz="4" w:space="0" w:color="auto"/>
            </w:tcBorders>
            <w:shd w:val="clear" w:color="000000" w:fill="FFFFFF"/>
            <w:hideMark/>
          </w:tcPr>
          <w:p w14:paraId="5B374114"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School staff do not have access to relevant bullying and behavior data that are useful or useable.</w:t>
            </w:r>
          </w:p>
        </w:tc>
      </w:tr>
      <w:tr w:rsidR="002205DE" w:rsidRPr="002205DE" w14:paraId="293873FF" w14:textId="77777777" w:rsidTr="002205DE">
        <w:trPr>
          <w:trHeight w:val="1808"/>
        </w:trPr>
        <w:tc>
          <w:tcPr>
            <w:tcW w:w="4020" w:type="dxa"/>
            <w:tcBorders>
              <w:top w:val="nil"/>
              <w:left w:val="single" w:sz="4" w:space="0" w:color="auto"/>
              <w:bottom w:val="single" w:sz="4" w:space="0" w:color="auto"/>
              <w:right w:val="single" w:sz="4" w:space="0" w:color="auto"/>
            </w:tcBorders>
            <w:shd w:val="clear" w:color="000000" w:fill="FFFFFF"/>
            <w:hideMark/>
          </w:tcPr>
          <w:p w14:paraId="3364B01A"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The school collects data on the frequency of students being the target of and witness to bullying. Additional information to support decision making (e.g., location of bullying, type of bullying) are also collected.</w:t>
            </w:r>
          </w:p>
        </w:tc>
        <w:tc>
          <w:tcPr>
            <w:tcW w:w="4020" w:type="dxa"/>
            <w:tcBorders>
              <w:top w:val="nil"/>
              <w:left w:val="nil"/>
              <w:bottom w:val="single" w:sz="4" w:space="0" w:color="auto"/>
              <w:right w:val="single" w:sz="4" w:space="0" w:color="auto"/>
            </w:tcBorders>
            <w:shd w:val="clear" w:color="000000" w:fill="FFFFFF"/>
            <w:hideMark/>
          </w:tcPr>
          <w:p w14:paraId="38C49D9A"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The school collects data on the frequency of students being the target of and witness to bullying.</w:t>
            </w:r>
          </w:p>
        </w:tc>
        <w:tc>
          <w:tcPr>
            <w:tcW w:w="4020" w:type="dxa"/>
            <w:tcBorders>
              <w:top w:val="nil"/>
              <w:left w:val="nil"/>
              <w:bottom w:val="single" w:sz="4" w:space="0" w:color="auto"/>
              <w:right w:val="single" w:sz="4" w:space="0" w:color="auto"/>
            </w:tcBorders>
            <w:shd w:val="clear" w:color="000000" w:fill="FFFFFF"/>
            <w:hideMark/>
          </w:tcPr>
          <w:p w14:paraId="69DEF3B6" w14:textId="77777777" w:rsidR="002205DE" w:rsidRPr="002205DE" w:rsidRDefault="002205DE" w:rsidP="002205DE">
            <w:pPr>
              <w:contextualSpacing w:val="0"/>
              <w:rPr>
                <w:rFonts w:ascii="Times New Roman" w:eastAsia="Times New Roman" w:hAnsi="Times New Roman" w:cs="Times New Roman"/>
                <w:color w:val="000000"/>
                <w:kern w:val="0"/>
                <w:sz w:val="24"/>
                <w:szCs w:val="24"/>
              </w:rPr>
            </w:pPr>
            <w:r w:rsidRPr="002205DE">
              <w:rPr>
                <w:rFonts w:ascii="Times New Roman" w:eastAsia="Times New Roman" w:hAnsi="Times New Roman" w:cs="Times New Roman"/>
                <w:color w:val="000000"/>
                <w:kern w:val="0"/>
                <w:sz w:val="24"/>
                <w:szCs w:val="24"/>
              </w:rPr>
              <w:t>The school does not collect data on the frequency of bullying.</w:t>
            </w:r>
          </w:p>
        </w:tc>
      </w:tr>
      <w:tr w:rsidR="002205DE" w:rsidRPr="002205DE" w14:paraId="6AAC113F" w14:textId="77777777" w:rsidTr="002205DE">
        <w:trPr>
          <w:trHeight w:val="315"/>
        </w:trPr>
        <w:tc>
          <w:tcPr>
            <w:tcW w:w="12060" w:type="dxa"/>
            <w:gridSpan w:val="3"/>
            <w:tcBorders>
              <w:top w:val="nil"/>
              <w:left w:val="nil"/>
              <w:right w:val="nil"/>
            </w:tcBorders>
            <w:shd w:val="clear" w:color="000000" w:fill="FFFFFF"/>
            <w:hideMark/>
          </w:tcPr>
          <w:p w14:paraId="48F37E24" w14:textId="77777777" w:rsidR="00696AC9" w:rsidRPr="00696AC9" w:rsidRDefault="00696AC9" w:rsidP="00AE574C">
            <w:pPr>
              <w:ind w:left="701" w:hanging="701"/>
              <w:contextualSpacing w:val="0"/>
              <w:jc w:val="center"/>
              <w:rPr>
                <w:rFonts w:ascii="Times New Roman" w:eastAsia="Times New Roman" w:hAnsi="Times New Roman" w:cs="Times New Roman"/>
                <w:color w:val="000000"/>
                <w:kern w:val="0"/>
                <w:sz w:val="24"/>
                <w:szCs w:val="24"/>
              </w:rPr>
            </w:pPr>
          </w:p>
          <w:p w14:paraId="36323AC6" w14:textId="77777777" w:rsidR="00696AC9" w:rsidRPr="00696AC9" w:rsidRDefault="00696AC9" w:rsidP="00AE574C">
            <w:pPr>
              <w:ind w:left="701" w:hanging="701"/>
              <w:contextualSpacing w:val="0"/>
              <w:jc w:val="center"/>
              <w:rPr>
                <w:rFonts w:ascii="Times New Roman" w:eastAsia="Times New Roman" w:hAnsi="Times New Roman" w:cs="Times New Roman"/>
                <w:color w:val="000000"/>
                <w:kern w:val="0"/>
                <w:sz w:val="24"/>
                <w:szCs w:val="24"/>
              </w:rPr>
            </w:pPr>
          </w:p>
          <w:p w14:paraId="2EDBF1ED" w14:textId="77777777" w:rsidR="00696AC9" w:rsidRPr="00696AC9" w:rsidRDefault="00696AC9" w:rsidP="00AE574C">
            <w:pPr>
              <w:ind w:left="701" w:hanging="701"/>
              <w:contextualSpacing w:val="0"/>
              <w:jc w:val="center"/>
              <w:rPr>
                <w:rFonts w:ascii="Times New Roman" w:eastAsia="Times New Roman" w:hAnsi="Times New Roman" w:cs="Times New Roman"/>
                <w:color w:val="000000"/>
                <w:kern w:val="0"/>
                <w:sz w:val="24"/>
                <w:szCs w:val="24"/>
              </w:rPr>
            </w:pPr>
          </w:p>
          <w:p w14:paraId="203158C6" w14:textId="77777777" w:rsidR="00696AC9" w:rsidRPr="00696AC9" w:rsidRDefault="00696AC9" w:rsidP="00AE574C">
            <w:pPr>
              <w:ind w:left="701" w:hanging="701"/>
              <w:contextualSpacing w:val="0"/>
              <w:jc w:val="center"/>
              <w:rPr>
                <w:rFonts w:ascii="Times New Roman" w:eastAsia="Times New Roman" w:hAnsi="Times New Roman" w:cs="Times New Roman"/>
                <w:color w:val="000000"/>
                <w:kern w:val="0"/>
                <w:sz w:val="24"/>
                <w:szCs w:val="24"/>
              </w:rPr>
            </w:pPr>
          </w:p>
          <w:p w14:paraId="21061A4F" w14:textId="77777777" w:rsidR="00696AC9" w:rsidRPr="00696AC9" w:rsidRDefault="00696AC9" w:rsidP="00AE574C">
            <w:pPr>
              <w:ind w:left="701" w:hanging="701"/>
              <w:contextualSpacing w:val="0"/>
              <w:jc w:val="center"/>
              <w:rPr>
                <w:rFonts w:ascii="Times New Roman" w:eastAsia="Times New Roman" w:hAnsi="Times New Roman" w:cs="Times New Roman"/>
                <w:color w:val="000000"/>
                <w:kern w:val="0"/>
                <w:sz w:val="24"/>
                <w:szCs w:val="24"/>
              </w:rPr>
            </w:pPr>
          </w:p>
          <w:p w14:paraId="40627BEB" w14:textId="20275C21" w:rsidR="002205DE" w:rsidRPr="00696AC9" w:rsidRDefault="002205DE" w:rsidP="00AE574C">
            <w:pPr>
              <w:ind w:left="701" w:hanging="701"/>
              <w:contextualSpacing w:val="0"/>
              <w:jc w:val="center"/>
              <w:rPr>
                <w:rFonts w:ascii="Times New Roman" w:eastAsia="Times New Roman" w:hAnsi="Times New Roman" w:cs="Times New Roman"/>
                <w:color w:val="000000"/>
                <w:kern w:val="0"/>
                <w:sz w:val="24"/>
                <w:szCs w:val="24"/>
              </w:rPr>
            </w:pPr>
            <w:r w:rsidRPr="00696AC9">
              <w:rPr>
                <w:rFonts w:ascii="Times New Roman" w:eastAsia="Times New Roman" w:hAnsi="Times New Roman" w:cs="Times New Roman"/>
                <w:color w:val="000000"/>
                <w:kern w:val="0"/>
                <w:sz w:val="24"/>
                <w:szCs w:val="24"/>
              </w:rPr>
              <w:lastRenderedPageBreak/>
              <w:t>References</w:t>
            </w:r>
          </w:p>
          <w:p w14:paraId="7A0DFE05" w14:textId="77777777" w:rsidR="00855AB3" w:rsidRPr="00696AC9" w:rsidRDefault="00855AB3" w:rsidP="00AE574C">
            <w:pPr>
              <w:ind w:left="701" w:hanging="701"/>
              <w:contextualSpacing w:val="0"/>
              <w:jc w:val="center"/>
              <w:rPr>
                <w:rFonts w:ascii="Times New Roman" w:eastAsia="Times New Roman" w:hAnsi="Times New Roman" w:cs="Times New Roman"/>
                <w:color w:val="000000"/>
                <w:kern w:val="0"/>
                <w:sz w:val="24"/>
                <w:szCs w:val="24"/>
              </w:rPr>
            </w:pPr>
          </w:p>
          <w:p w14:paraId="457D156F" w14:textId="6D53BC0F" w:rsidR="002205DE" w:rsidRPr="00696AC9" w:rsidRDefault="002205DE" w:rsidP="00AE574C">
            <w:pPr>
              <w:ind w:left="701" w:hanging="701"/>
              <w:contextualSpacing w:val="0"/>
              <w:jc w:val="center"/>
              <w:rPr>
                <w:rFonts w:ascii="Times New Roman" w:eastAsia="Times New Roman" w:hAnsi="Times New Roman" w:cs="Times New Roman"/>
                <w:color w:val="000000"/>
                <w:kern w:val="0"/>
                <w:sz w:val="24"/>
                <w:szCs w:val="24"/>
              </w:rPr>
            </w:pPr>
          </w:p>
        </w:tc>
      </w:tr>
      <w:tr w:rsidR="002205DE" w:rsidRPr="002205DE" w14:paraId="3F19B03C" w14:textId="77777777" w:rsidTr="002205DE">
        <w:trPr>
          <w:trHeight w:val="642"/>
        </w:trPr>
        <w:tc>
          <w:tcPr>
            <w:tcW w:w="12060" w:type="dxa"/>
            <w:gridSpan w:val="3"/>
            <w:shd w:val="clear" w:color="auto" w:fill="auto"/>
            <w:hideMark/>
          </w:tcPr>
          <w:p w14:paraId="661E9A7E" w14:textId="77777777" w:rsidR="002205DE" w:rsidRPr="00696AC9" w:rsidRDefault="002205DE" w:rsidP="00AE574C">
            <w:pPr>
              <w:ind w:left="701" w:hanging="701"/>
              <w:contextualSpacing w:val="0"/>
              <w:rPr>
                <w:rFonts w:ascii="Times New Roman" w:eastAsia="Times New Roman" w:hAnsi="Times New Roman" w:cs="Times New Roman"/>
                <w:color w:val="000000"/>
                <w:kern w:val="0"/>
                <w:sz w:val="24"/>
                <w:szCs w:val="24"/>
              </w:rPr>
            </w:pPr>
            <w:proofErr w:type="spellStart"/>
            <w:r w:rsidRPr="00696AC9">
              <w:rPr>
                <w:rFonts w:ascii="Times New Roman" w:eastAsia="Times New Roman" w:hAnsi="Times New Roman" w:cs="Times New Roman"/>
                <w:color w:val="000000"/>
                <w:kern w:val="0"/>
                <w:sz w:val="24"/>
                <w:szCs w:val="24"/>
              </w:rPr>
              <w:lastRenderedPageBreak/>
              <w:t>Fixsen</w:t>
            </w:r>
            <w:proofErr w:type="spellEnd"/>
            <w:r w:rsidRPr="00696AC9">
              <w:rPr>
                <w:rFonts w:ascii="Times New Roman" w:eastAsia="Times New Roman" w:hAnsi="Times New Roman" w:cs="Times New Roman"/>
                <w:color w:val="000000"/>
                <w:kern w:val="0"/>
                <w:sz w:val="24"/>
                <w:szCs w:val="24"/>
              </w:rPr>
              <w:t xml:space="preserve">, D., </w:t>
            </w:r>
            <w:proofErr w:type="spellStart"/>
            <w:r w:rsidRPr="00696AC9">
              <w:rPr>
                <w:rFonts w:ascii="Times New Roman" w:eastAsia="Times New Roman" w:hAnsi="Times New Roman" w:cs="Times New Roman"/>
                <w:color w:val="000000"/>
                <w:kern w:val="0"/>
                <w:sz w:val="24"/>
                <w:szCs w:val="24"/>
              </w:rPr>
              <w:t>Naoom</w:t>
            </w:r>
            <w:proofErr w:type="spellEnd"/>
            <w:r w:rsidRPr="00696AC9">
              <w:rPr>
                <w:rFonts w:ascii="Times New Roman" w:eastAsia="Times New Roman" w:hAnsi="Times New Roman" w:cs="Times New Roman"/>
                <w:color w:val="000000"/>
                <w:kern w:val="0"/>
                <w:sz w:val="24"/>
                <w:szCs w:val="24"/>
              </w:rPr>
              <w:t xml:space="preserve">, S., </w:t>
            </w:r>
            <w:proofErr w:type="spellStart"/>
            <w:r w:rsidRPr="00696AC9">
              <w:rPr>
                <w:rFonts w:ascii="Times New Roman" w:eastAsia="Times New Roman" w:hAnsi="Times New Roman" w:cs="Times New Roman"/>
                <w:color w:val="000000"/>
                <w:kern w:val="0"/>
                <w:sz w:val="24"/>
                <w:szCs w:val="24"/>
              </w:rPr>
              <w:t>Blase</w:t>
            </w:r>
            <w:proofErr w:type="spellEnd"/>
            <w:r w:rsidRPr="00696AC9">
              <w:rPr>
                <w:rFonts w:ascii="Times New Roman" w:eastAsia="Times New Roman" w:hAnsi="Times New Roman" w:cs="Times New Roman"/>
                <w:color w:val="000000"/>
                <w:kern w:val="0"/>
                <w:sz w:val="24"/>
                <w:szCs w:val="24"/>
              </w:rPr>
              <w:t>, K., Friedman, R., &amp; Wallace, F. (2005).</w:t>
            </w:r>
            <w:r w:rsidRPr="00696AC9">
              <w:rPr>
                <w:rFonts w:ascii="Times New Roman" w:eastAsia="Times New Roman" w:hAnsi="Times New Roman" w:cs="Times New Roman"/>
                <w:i/>
                <w:iCs/>
                <w:color w:val="000000"/>
                <w:kern w:val="0"/>
                <w:sz w:val="24"/>
                <w:szCs w:val="24"/>
              </w:rPr>
              <w:t xml:space="preserve"> Implementation Research: A Synthesis of </w:t>
            </w:r>
            <w:proofErr w:type="gramStart"/>
            <w:r w:rsidRPr="00696AC9">
              <w:rPr>
                <w:rFonts w:ascii="Times New Roman" w:eastAsia="Times New Roman" w:hAnsi="Times New Roman" w:cs="Times New Roman"/>
                <w:i/>
                <w:iCs/>
                <w:color w:val="000000"/>
                <w:kern w:val="0"/>
                <w:sz w:val="24"/>
                <w:szCs w:val="24"/>
              </w:rPr>
              <w:t>the Literature</w:t>
            </w:r>
            <w:proofErr w:type="gramEnd"/>
            <w:r w:rsidRPr="00696AC9">
              <w:rPr>
                <w:rFonts w:ascii="Times New Roman" w:eastAsia="Times New Roman" w:hAnsi="Times New Roman" w:cs="Times New Roman"/>
                <w:i/>
                <w:iCs/>
                <w:color w:val="000000"/>
                <w:kern w:val="0"/>
                <w:sz w:val="24"/>
                <w:szCs w:val="24"/>
              </w:rPr>
              <w:t>.</w:t>
            </w:r>
            <w:r w:rsidRPr="00696AC9">
              <w:rPr>
                <w:rFonts w:ascii="Times New Roman" w:eastAsia="Times New Roman" w:hAnsi="Times New Roman" w:cs="Times New Roman"/>
                <w:color w:val="000000"/>
                <w:kern w:val="0"/>
                <w:sz w:val="24"/>
                <w:szCs w:val="24"/>
              </w:rPr>
              <w:t xml:space="preserve"> https://nirn.fpg.unc.edu/sites/nirn.fpg.unc.edu/files/resources/NIRN-MonographFull-01-2005.pdf</w:t>
            </w:r>
          </w:p>
        </w:tc>
      </w:tr>
      <w:tr w:rsidR="002205DE" w:rsidRPr="002205DE" w14:paraId="02EE4052" w14:textId="77777777" w:rsidTr="002205DE">
        <w:trPr>
          <w:trHeight w:val="702"/>
        </w:trPr>
        <w:tc>
          <w:tcPr>
            <w:tcW w:w="12060" w:type="dxa"/>
            <w:gridSpan w:val="3"/>
            <w:shd w:val="clear" w:color="auto" w:fill="auto"/>
            <w:hideMark/>
          </w:tcPr>
          <w:p w14:paraId="795A151A" w14:textId="77777777" w:rsidR="00AE574C" w:rsidRDefault="00AE574C" w:rsidP="00AE574C">
            <w:pPr>
              <w:ind w:left="701" w:hanging="701"/>
              <w:contextualSpacing w:val="0"/>
              <w:rPr>
                <w:rFonts w:ascii="Times New Roman" w:eastAsia="Times New Roman" w:hAnsi="Times New Roman" w:cs="Times New Roman"/>
                <w:color w:val="000000"/>
                <w:kern w:val="0"/>
                <w:sz w:val="24"/>
                <w:szCs w:val="24"/>
              </w:rPr>
            </w:pPr>
          </w:p>
          <w:p w14:paraId="578ACD2E" w14:textId="511A4F1E" w:rsidR="002205DE" w:rsidRPr="00696AC9" w:rsidRDefault="002205DE" w:rsidP="00AE574C">
            <w:pPr>
              <w:ind w:left="701" w:hanging="701"/>
              <w:contextualSpacing w:val="0"/>
              <w:rPr>
                <w:rFonts w:ascii="Times New Roman" w:eastAsia="Times New Roman" w:hAnsi="Times New Roman" w:cs="Times New Roman"/>
                <w:color w:val="000000"/>
                <w:kern w:val="0"/>
                <w:sz w:val="24"/>
                <w:szCs w:val="24"/>
              </w:rPr>
            </w:pPr>
            <w:r w:rsidRPr="00696AC9">
              <w:rPr>
                <w:rFonts w:ascii="Times New Roman" w:eastAsia="Times New Roman" w:hAnsi="Times New Roman" w:cs="Times New Roman"/>
                <w:color w:val="000000"/>
                <w:kern w:val="0"/>
                <w:sz w:val="24"/>
                <w:szCs w:val="24"/>
              </w:rPr>
              <w:t xml:space="preserve">Morrison, J. Q., &amp; Harms, A. L. (2018). </w:t>
            </w:r>
            <w:r w:rsidRPr="00696AC9">
              <w:rPr>
                <w:rFonts w:ascii="Times New Roman" w:eastAsia="Times New Roman" w:hAnsi="Times New Roman" w:cs="Times New Roman"/>
                <w:i/>
                <w:iCs/>
                <w:color w:val="000000"/>
                <w:kern w:val="0"/>
                <w:sz w:val="24"/>
                <w:szCs w:val="24"/>
              </w:rPr>
              <w:t>Advancing Evidence-Based Practice Through Program Evaluation: A Practical Guide for School-Based Professionals</w:t>
            </w:r>
            <w:r w:rsidRPr="00696AC9">
              <w:rPr>
                <w:rFonts w:ascii="Times New Roman" w:eastAsia="Times New Roman" w:hAnsi="Times New Roman" w:cs="Times New Roman"/>
                <w:color w:val="000000"/>
                <w:kern w:val="0"/>
                <w:sz w:val="24"/>
                <w:szCs w:val="24"/>
              </w:rPr>
              <w:t>. Oxford University Press.</w:t>
            </w:r>
          </w:p>
        </w:tc>
      </w:tr>
      <w:tr w:rsidR="002205DE" w:rsidRPr="002205DE" w14:paraId="1B42A8CB" w14:textId="77777777" w:rsidTr="002205DE">
        <w:trPr>
          <w:trHeight w:val="469"/>
        </w:trPr>
        <w:tc>
          <w:tcPr>
            <w:tcW w:w="12060" w:type="dxa"/>
            <w:gridSpan w:val="3"/>
            <w:shd w:val="clear" w:color="auto" w:fill="auto"/>
            <w:hideMark/>
          </w:tcPr>
          <w:p w14:paraId="10C1C6B4" w14:textId="77777777" w:rsidR="00C35878" w:rsidRDefault="00C35878" w:rsidP="00AE574C">
            <w:pPr>
              <w:ind w:left="701" w:hanging="701"/>
              <w:contextualSpacing w:val="0"/>
              <w:rPr>
                <w:rFonts w:ascii="Times New Roman" w:eastAsia="Times New Roman" w:hAnsi="Times New Roman" w:cs="Times New Roman"/>
                <w:color w:val="000000"/>
                <w:kern w:val="0"/>
                <w:sz w:val="24"/>
                <w:szCs w:val="24"/>
              </w:rPr>
            </w:pPr>
          </w:p>
          <w:p w14:paraId="09263EC4" w14:textId="74F0989E" w:rsidR="002205DE" w:rsidRPr="00696AC9" w:rsidRDefault="002205DE" w:rsidP="00AE574C">
            <w:pPr>
              <w:ind w:left="701" w:hanging="701"/>
              <w:contextualSpacing w:val="0"/>
              <w:rPr>
                <w:rFonts w:ascii="Times New Roman" w:eastAsia="Times New Roman" w:hAnsi="Times New Roman" w:cs="Times New Roman"/>
                <w:color w:val="000000"/>
                <w:kern w:val="0"/>
                <w:sz w:val="24"/>
                <w:szCs w:val="24"/>
              </w:rPr>
            </w:pPr>
            <w:r w:rsidRPr="00696AC9">
              <w:rPr>
                <w:rFonts w:ascii="Times New Roman" w:eastAsia="Times New Roman" w:hAnsi="Times New Roman" w:cs="Times New Roman"/>
                <w:color w:val="000000"/>
                <w:kern w:val="0"/>
                <w:sz w:val="24"/>
                <w:szCs w:val="24"/>
              </w:rPr>
              <w:t xml:space="preserve">Cornell, D., &amp; Cole, J. C. M. (2011). Assessment of Bullying. In </w:t>
            </w:r>
            <w:r w:rsidRPr="00696AC9">
              <w:rPr>
                <w:rFonts w:ascii="Times New Roman" w:eastAsia="Times New Roman" w:hAnsi="Times New Roman" w:cs="Times New Roman"/>
                <w:i/>
                <w:iCs/>
                <w:color w:val="000000"/>
                <w:kern w:val="0"/>
                <w:sz w:val="24"/>
                <w:szCs w:val="24"/>
              </w:rPr>
              <w:t>Handbook of School Violence and School Safety</w:t>
            </w:r>
            <w:r w:rsidRPr="00696AC9">
              <w:rPr>
                <w:rFonts w:ascii="Times New Roman" w:eastAsia="Times New Roman" w:hAnsi="Times New Roman" w:cs="Times New Roman"/>
                <w:color w:val="000000"/>
                <w:kern w:val="0"/>
                <w:sz w:val="24"/>
                <w:szCs w:val="24"/>
              </w:rPr>
              <w:t xml:space="preserve"> (2nd ed.). Routledge.</w:t>
            </w:r>
          </w:p>
        </w:tc>
      </w:tr>
      <w:tr w:rsidR="002205DE" w:rsidRPr="002205DE" w14:paraId="583DEE4E" w14:textId="77777777" w:rsidTr="002205DE">
        <w:trPr>
          <w:trHeight w:val="702"/>
        </w:trPr>
        <w:tc>
          <w:tcPr>
            <w:tcW w:w="12060" w:type="dxa"/>
            <w:gridSpan w:val="3"/>
            <w:shd w:val="clear" w:color="auto" w:fill="auto"/>
            <w:hideMark/>
          </w:tcPr>
          <w:p w14:paraId="4FEF0F75" w14:textId="77777777" w:rsidR="00810635" w:rsidRPr="00696AC9" w:rsidRDefault="00810635" w:rsidP="00AE574C">
            <w:pPr>
              <w:ind w:left="701" w:hanging="701"/>
              <w:contextualSpacing w:val="0"/>
              <w:rPr>
                <w:rFonts w:ascii="Times New Roman" w:eastAsia="Times New Roman" w:hAnsi="Times New Roman" w:cs="Times New Roman"/>
                <w:color w:val="000000"/>
                <w:kern w:val="0"/>
                <w:sz w:val="24"/>
                <w:szCs w:val="24"/>
              </w:rPr>
            </w:pPr>
          </w:p>
          <w:p w14:paraId="67523812" w14:textId="56993E12" w:rsidR="002205DE" w:rsidRPr="00696AC9" w:rsidRDefault="002205DE" w:rsidP="00AE574C">
            <w:pPr>
              <w:ind w:left="701" w:hanging="701"/>
              <w:contextualSpacing w:val="0"/>
              <w:rPr>
                <w:rFonts w:ascii="Times New Roman" w:eastAsia="Times New Roman" w:hAnsi="Times New Roman" w:cs="Times New Roman"/>
                <w:color w:val="000000"/>
                <w:kern w:val="0"/>
                <w:sz w:val="24"/>
                <w:szCs w:val="24"/>
              </w:rPr>
            </w:pPr>
            <w:r w:rsidRPr="00696AC9">
              <w:rPr>
                <w:rFonts w:ascii="Times New Roman" w:eastAsia="Times New Roman" w:hAnsi="Times New Roman" w:cs="Times New Roman"/>
                <w:color w:val="000000"/>
                <w:kern w:val="0"/>
                <w:sz w:val="24"/>
                <w:szCs w:val="24"/>
              </w:rPr>
              <w:t xml:space="preserve">Gaffney, H., Farrington, D. P., &amp; </w:t>
            </w:r>
            <w:proofErr w:type="spellStart"/>
            <w:r w:rsidRPr="00696AC9">
              <w:rPr>
                <w:rFonts w:ascii="Times New Roman" w:eastAsia="Times New Roman" w:hAnsi="Times New Roman" w:cs="Times New Roman"/>
                <w:color w:val="000000"/>
                <w:kern w:val="0"/>
                <w:sz w:val="24"/>
                <w:szCs w:val="24"/>
              </w:rPr>
              <w:t>Ttofi</w:t>
            </w:r>
            <w:proofErr w:type="spellEnd"/>
            <w:r w:rsidRPr="00696AC9">
              <w:rPr>
                <w:rFonts w:ascii="Times New Roman" w:eastAsia="Times New Roman" w:hAnsi="Times New Roman" w:cs="Times New Roman"/>
                <w:color w:val="000000"/>
                <w:kern w:val="0"/>
                <w:sz w:val="24"/>
                <w:szCs w:val="24"/>
              </w:rPr>
              <w:t xml:space="preserve">, M. M. (2019). Examining the Effectiveness of School-Bullying Intervention Programs Globally: A Meta-analysis. </w:t>
            </w:r>
            <w:r w:rsidRPr="00696AC9">
              <w:rPr>
                <w:rFonts w:ascii="Times New Roman" w:eastAsia="Times New Roman" w:hAnsi="Times New Roman" w:cs="Times New Roman"/>
                <w:i/>
                <w:iCs/>
                <w:color w:val="000000"/>
                <w:kern w:val="0"/>
                <w:sz w:val="24"/>
                <w:szCs w:val="24"/>
              </w:rPr>
              <w:t>International Journal of Bullying Prevention, 1</w:t>
            </w:r>
            <w:r w:rsidRPr="00696AC9">
              <w:rPr>
                <w:rFonts w:ascii="Times New Roman" w:eastAsia="Times New Roman" w:hAnsi="Times New Roman" w:cs="Times New Roman"/>
                <w:color w:val="000000"/>
                <w:kern w:val="0"/>
                <w:sz w:val="24"/>
                <w:szCs w:val="24"/>
              </w:rPr>
              <w:t xml:space="preserve"> 14-31. https://doi.org/10.1007/s42380-019-0007-4</w:t>
            </w:r>
          </w:p>
        </w:tc>
      </w:tr>
    </w:tbl>
    <w:p w14:paraId="652FA992" w14:textId="6C08091E" w:rsidR="00A605C9" w:rsidRDefault="00A605C9">
      <w:pPr>
        <w:rPr>
          <w:rFonts w:ascii="Arial" w:hAnsi="Arial" w:cs="Arial"/>
        </w:rPr>
      </w:pPr>
    </w:p>
    <w:p w14:paraId="0B52A349" w14:textId="77777777" w:rsidR="00A605C9" w:rsidRDefault="00A605C9">
      <w:pPr>
        <w:spacing w:after="160" w:line="259" w:lineRule="auto"/>
        <w:contextualSpacing w:val="0"/>
        <w:rPr>
          <w:rFonts w:ascii="Arial" w:hAnsi="Arial" w:cs="Arial"/>
        </w:rPr>
      </w:pPr>
      <w:r>
        <w:rPr>
          <w:rFonts w:ascii="Arial" w:hAnsi="Arial" w:cs="Arial"/>
        </w:rPr>
        <w:br w:type="page"/>
      </w:r>
    </w:p>
    <w:tbl>
      <w:tblPr>
        <w:tblW w:w="12060" w:type="dxa"/>
        <w:tblLook w:val="04A0" w:firstRow="1" w:lastRow="0" w:firstColumn="1" w:lastColumn="0" w:noHBand="0" w:noVBand="1"/>
      </w:tblPr>
      <w:tblGrid>
        <w:gridCol w:w="4020"/>
        <w:gridCol w:w="4020"/>
        <w:gridCol w:w="4020"/>
      </w:tblGrid>
      <w:tr w:rsidR="00A605C9" w:rsidRPr="00A605C9" w14:paraId="08CBB784" w14:textId="77777777" w:rsidTr="00A605C9">
        <w:trPr>
          <w:trHeight w:val="499"/>
        </w:trPr>
        <w:tc>
          <w:tcPr>
            <w:tcW w:w="12060" w:type="dxa"/>
            <w:gridSpan w:val="3"/>
            <w:tcBorders>
              <w:top w:val="single" w:sz="4" w:space="0" w:color="auto"/>
              <w:left w:val="single" w:sz="4" w:space="0" w:color="auto"/>
              <w:bottom w:val="single" w:sz="4" w:space="0" w:color="auto"/>
              <w:right w:val="single" w:sz="4" w:space="0" w:color="000000"/>
            </w:tcBorders>
            <w:shd w:val="clear" w:color="000000" w:fill="9BC2E6"/>
            <w:vAlign w:val="center"/>
            <w:hideMark/>
          </w:tcPr>
          <w:p w14:paraId="7BB5CECE" w14:textId="77777777" w:rsidR="00A605C9" w:rsidRPr="00A605C9" w:rsidRDefault="00A605C9" w:rsidP="00A605C9">
            <w:pPr>
              <w:contextualSpacing w:val="0"/>
              <w:jc w:val="center"/>
              <w:rPr>
                <w:rFonts w:ascii="Times New Roman" w:eastAsia="Times New Roman" w:hAnsi="Times New Roman" w:cs="Times New Roman"/>
                <w:b/>
                <w:bCs/>
                <w:color w:val="000000"/>
                <w:kern w:val="0"/>
                <w:sz w:val="32"/>
                <w:szCs w:val="32"/>
              </w:rPr>
            </w:pPr>
            <w:r w:rsidRPr="00A605C9">
              <w:rPr>
                <w:rFonts w:ascii="Times New Roman" w:eastAsia="Times New Roman" w:hAnsi="Times New Roman" w:cs="Times New Roman"/>
                <w:b/>
                <w:bCs/>
                <w:color w:val="000000"/>
                <w:kern w:val="0"/>
                <w:sz w:val="32"/>
                <w:szCs w:val="32"/>
              </w:rPr>
              <w:lastRenderedPageBreak/>
              <w:t>BPEG Practice Profile: Family, School, and Community Partnerships</w:t>
            </w:r>
          </w:p>
        </w:tc>
      </w:tr>
      <w:tr w:rsidR="00A605C9" w:rsidRPr="00A605C9" w14:paraId="43ABEB7D" w14:textId="77777777" w:rsidTr="00A605C9">
        <w:trPr>
          <w:trHeight w:val="315"/>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0A4BEE0A"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Audience for this Practice Profile:</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1DF7BA1F"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BPEG Implementation Team (BIT)</w:t>
            </w:r>
          </w:p>
        </w:tc>
      </w:tr>
      <w:tr w:rsidR="00A605C9" w:rsidRPr="00A605C9" w14:paraId="6EAE9B51" w14:textId="77777777" w:rsidTr="00A605C9">
        <w:trPr>
          <w:trHeight w:val="765"/>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3575E50A"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Definition of Core Component:</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06E0872E"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Families, schools, and communities actively partner to develop, implement, and evaluate effective and equitable practices to reduce bullying for students.</w:t>
            </w:r>
          </w:p>
        </w:tc>
      </w:tr>
      <w:tr w:rsidR="00A605C9" w:rsidRPr="00A605C9" w14:paraId="5559E61E" w14:textId="77777777" w:rsidTr="00A605C9">
        <w:trPr>
          <w:trHeight w:val="705"/>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3B8967B0"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How the Core Component is Essential to Reducing Bullying:</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215BAF1E"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Family, school, and community partnerships (FSCP) are shown to reduce the likelihood of bullying and improve the buy-in of all stakeholders.</w:t>
            </w:r>
          </w:p>
        </w:tc>
      </w:tr>
      <w:tr w:rsidR="00A605C9" w:rsidRPr="00A605C9" w14:paraId="199D7612" w14:textId="77777777" w:rsidTr="00600CE1">
        <w:trPr>
          <w:trHeight w:val="368"/>
        </w:trPr>
        <w:tc>
          <w:tcPr>
            <w:tcW w:w="4020" w:type="dxa"/>
            <w:tcBorders>
              <w:top w:val="nil"/>
              <w:left w:val="single" w:sz="4" w:space="0" w:color="auto"/>
              <w:bottom w:val="single" w:sz="4" w:space="0" w:color="auto"/>
              <w:right w:val="nil"/>
            </w:tcBorders>
            <w:shd w:val="clear" w:color="000000" w:fill="DDEBF7"/>
            <w:vAlign w:val="center"/>
            <w:hideMark/>
          </w:tcPr>
          <w:p w14:paraId="74DDED07" w14:textId="77777777" w:rsidR="00A605C9" w:rsidRPr="00A605C9" w:rsidRDefault="00A605C9" w:rsidP="00600CE1">
            <w:pPr>
              <w:contextualSpacing w:val="0"/>
              <w:jc w:val="center"/>
              <w:rPr>
                <w:rFonts w:ascii="Times New Roman" w:eastAsia="Times New Roman" w:hAnsi="Times New Roman" w:cs="Times New Roman"/>
                <w:b/>
                <w:bCs/>
                <w:color w:val="000000"/>
                <w:kern w:val="0"/>
                <w:sz w:val="24"/>
                <w:szCs w:val="24"/>
              </w:rPr>
            </w:pPr>
            <w:r w:rsidRPr="00A605C9">
              <w:rPr>
                <w:rFonts w:ascii="Times New Roman" w:eastAsia="Times New Roman" w:hAnsi="Times New Roman" w:cs="Times New Roman"/>
                <w:b/>
                <w:bCs/>
                <w:color w:val="000000"/>
                <w:kern w:val="0"/>
                <w:sz w:val="24"/>
                <w:szCs w:val="24"/>
              </w:rPr>
              <w:t>Expected Use in Practice</w:t>
            </w:r>
          </w:p>
        </w:tc>
        <w:tc>
          <w:tcPr>
            <w:tcW w:w="4020" w:type="dxa"/>
            <w:tcBorders>
              <w:top w:val="nil"/>
              <w:left w:val="single" w:sz="4" w:space="0" w:color="auto"/>
              <w:bottom w:val="single" w:sz="4" w:space="0" w:color="auto"/>
              <w:right w:val="single" w:sz="4" w:space="0" w:color="auto"/>
            </w:tcBorders>
            <w:shd w:val="clear" w:color="000000" w:fill="DDEBF7"/>
            <w:noWrap/>
            <w:vAlign w:val="center"/>
            <w:hideMark/>
          </w:tcPr>
          <w:p w14:paraId="00DB2779" w14:textId="77777777" w:rsidR="00A605C9" w:rsidRPr="00A605C9" w:rsidRDefault="00A605C9" w:rsidP="00600CE1">
            <w:pPr>
              <w:contextualSpacing w:val="0"/>
              <w:jc w:val="center"/>
              <w:rPr>
                <w:rFonts w:ascii="Times New Roman" w:eastAsia="Times New Roman" w:hAnsi="Times New Roman" w:cs="Times New Roman"/>
                <w:b/>
                <w:bCs/>
                <w:color w:val="000000"/>
                <w:kern w:val="0"/>
                <w:sz w:val="24"/>
                <w:szCs w:val="24"/>
              </w:rPr>
            </w:pPr>
            <w:r w:rsidRPr="00A605C9">
              <w:rPr>
                <w:rFonts w:ascii="Times New Roman" w:eastAsia="Times New Roman" w:hAnsi="Times New Roman" w:cs="Times New Roman"/>
                <w:b/>
                <w:bCs/>
                <w:color w:val="000000"/>
                <w:kern w:val="0"/>
                <w:sz w:val="24"/>
                <w:szCs w:val="24"/>
              </w:rPr>
              <w:t>Developmental Use</w:t>
            </w:r>
          </w:p>
        </w:tc>
        <w:tc>
          <w:tcPr>
            <w:tcW w:w="4020" w:type="dxa"/>
            <w:tcBorders>
              <w:top w:val="nil"/>
              <w:left w:val="nil"/>
              <w:bottom w:val="single" w:sz="4" w:space="0" w:color="auto"/>
              <w:right w:val="single" w:sz="4" w:space="0" w:color="auto"/>
            </w:tcBorders>
            <w:shd w:val="clear" w:color="000000" w:fill="DDEBF7"/>
            <w:noWrap/>
            <w:vAlign w:val="center"/>
            <w:hideMark/>
          </w:tcPr>
          <w:p w14:paraId="7285FF3B" w14:textId="77777777" w:rsidR="00A605C9" w:rsidRPr="00A605C9" w:rsidRDefault="00A605C9" w:rsidP="00600CE1">
            <w:pPr>
              <w:contextualSpacing w:val="0"/>
              <w:jc w:val="center"/>
              <w:rPr>
                <w:rFonts w:ascii="Times New Roman" w:eastAsia="Times New Roman" w:hAnsi="Times New Roman" w:cs="Times New Roman"/>
                <w:b/>
                <w:bCs/>
                <w:color w:val="000000"/>
                <w:kern w:val="0"/>
                <w:sz w:val="24"/>
                <w:szCs w:val="24"/>
              </w:rPr>
            </w:pPr>
            <w:r w:rsidRPr="00A605C9">
              <w:rPr>
                <w:rFonts w:ascii="Times New Roman" w:eastAsia="Times New Roman" w:hAnsi="Times New Roman" w:cs="Times New Roman"/>
                <w:b/>
                <w:bCs/>
                <w:color w:val="000000"/>
                <w:kern w:val="0"/>
                <w:sz w:val="24"/>
                <w:szCs w:val="24"/>
              </w:rPr>
              <w:t>Unacceptable Use</w:t>
            </w:r>
          </w:p>
        </w:tc>
      </w:tr>
      <w:tr w:rsidR="00A605C9" w:rsidRPr="00A605C9" w14:paraId="3BB1F07D" w14:textId="77777777" w:rsidTr="00FE3DC5">
        <w:trPr>
          <w:trHeight w:val="1205"/>
        </w:trPr>
        <w:tc>
          <w:tcPr>
            <w:tcW w:w="4020" w:type="dxa"/>
            <w:tcBorders>
              <w:top w:val="nil"/>
              <w:left w:val="single" w:sz="4" w:space="0" w:color="auto"/>
              <w:bottom w:val="single" w:sz="4" w:space="0" w:color="auto"/>
              <w:right w:val="single" w:sz="4" w:space="0" w:color="auto"/>
            </w:tcBorders>
            <w:shd w:val="clear" w:color="000000" w:fill="FFFFFF"/>
            <w:hideMark/>
          </w:tcPr>
          <w:p w14:paraId="48C74450"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The school creates an inclusive culture that honors the lived experience of families.</w:t>
            </w:r>
          </w:p>
        </w:tc>
        <w:tc>
          <w:tcPr>
            <w:tcW w:w="4020" w:type="dxa"/>
            <w:tcBorders>
              <w:top w:val="nil"/>
              <w:left w:val="nil"/>
              <w:bottom w:val="single" w:sz="4" w:space="0" w:color="auto"/>
              <w:right w:val="single" w:sz="4" w:space="0" w:color="auto"/>
            </w:tcBorders>
            <w:shd w:val="clear" w:color="000000" w:fill="FFFFFF"/>
            <w:hideMark/>
          </w:tcPr>
          <w:p w14:paraId="1F949E9C"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 xml:space="preserve">The school creates an inclusive culture in a limited range of contexts that honor the lived experience of families. </w:t>
            </w:r>
          </w:p>
        </w:tc>
        <w:tc>
          <w:tcPr>
            <w:tcW w:w="4020" w:type="dxa"/>
            <w:tcBorders>
              <w:top w:val="nil"/>
              <w:left w:val="nil"/>
              <w:bottom w:val="single" w:sz="4" w:space="0" w:color="auto"/>
              <w:right w:val="single" w:sz="4" w:space="0" w:color="auto"/>
            </w:tcBorders>
            <w:shd w:val="clear" w:color="000000" w:fill="FFFFFF"/>
            <w:hideMark/>
          </w:tcPr>
          <w:p w14:paraId="23958F94"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The school inconsistently considers the experiences of all families when making decisions about the culture of the school.</w:t>
            </w:r>
          </w:p>
        </w:tc>
      </w:tr>
      <w:tr w:rsidR="00A605C9" w:rsidRPr="00A605C9" w14:paraId="2284B181" w14:textId="77777777" w:rsidTr="00FE3DC5">
        <w:trPr>
          <w:trHeight w:val="1250"/>
        </w:trPr>
        <w:tc>
          <w:tcPr>
            <w:tcW w:w="4020" w:type="dxa"/>
            <w:tcBorders>
              <w:top w:val="nil"/>
              <w:left w:val="single" w:sz="4" w:space="0" w:color="auto"/>
              <w:bottom w:val="single" w:sz="4" w:space="0" w:color="auto"/>
              <w:right w:val="single" w:sz="4" w:space="0" w:color="auto"/>
            </w:tcBorders>
            <w:shd w:val="clear" w:color="000000" w:fill="FFFFFF"/>
            <w:hideMark/>
          </w:tcPr>
          <w:p w14:paraId="3463CF71"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The school dedicates necessary resources to integrate partnering practices with families and the community.</w:t>
            </w:r>
          </w:p>
        </w:tc>
        <w:tc>
          <w:tcPr>
            <w:tcW w:w="4020" w:type="dxa"/>
            <w:tcBorders>
              <w:top w:val="nil"/>
              <w:left w:val="nil"/>
              <w:bottom w:val="single" w:sz="4" w:space="0" w:color="auto"/>
              <w:right w:val="single" w:sz="4" w:space="0" w:color="auto"/>
            </w:tcBorders>
            <w:shd w:val="clear" w:color="000000" w:fill="FFFFFF"/>
            <w:hideMark/>
          </w:tcPr>
          <w:p w14:paraId="7419E855"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The school dedicates some resources to integrate partnering practices with families and the community.</w:t>
            </w:r>
          </w:p>
        </w:tc>
        <w:tc>
          <w:tcPr>
            <w:tcW w:w="4020" w:type="dxa"/>
            <w:tcBorders>
              <w:top w:val="nil"/>
              <w:left w:val="nil"/>
              <w:bottom w:val="single" w:sz="4" w:space="0" w:color="auto"/>
              <w:right w:val="single" w:sz="4" w:space="0" w:color="auto"/>
            </w:tcBorders>
            <w:shd w:val="clear" w:color="000000" w:fill="FFFFFF"/>
            <w:hideMark/>
          </w:tcPr>
          <w:p w14:paraId="20F2ED42"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The school inconsistently dedicates resources to integrate partnering practices with families and the community.</w:t>
            </w:r>
          </w:p>
        </w:tc>
      </w:tr>
      <w:tr w:rsidR="00A605C9" w:rsidRPr="00A605C9" w14:paraId="36F2D091" w14:textId="77777777" w:rsidTr="00FE3DC5">
        <w:trPr>
          <w:trHeight w:val="1275"/>
        </w:trPr>
        <w:tc>
          <w:tcPr>
            <w:tcW w:w="4020" w:type="dxa"/>
            <w:tcBorders>
              <w:top w:val="nil"/>
              <w:left w:val="single" w:sz="4" w:space="0" w:color="auto"/>
              <w:bottom w:val="single" w:sz="4" w:space="0" w:color="auto"/>
              <w:right w:val="single" w:sz="4" w:space="0" w:color="auto"/>
            </w:tcBorders>
            <w:shd w:val="clear" w:color="000000" w:fill="FFFFFF"/>
            <w:hideMark/>
          </w:tcPr>
          <w:p w14:paraId="579A6200"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The school actively builds trusting relationships with families and the community.</w:t>
            </w:r>
          </w:p>
        </w:tc>
        <w:tc>
          <w:tcPr>
            <w:tcW w:w="4020" w:type="dxa"/>
            <w:tcBorders>
              <w:top w:val="nil"/>
              <w:left w:val="nil"/>
              <w:bottom w:val="single" w:sz="4" w:space="0" w:color="auto"/>
              <w:right w:val="single" w:sz="4" w:space="0" w:color="auto"/>
            </w:tcBorders>
            <w:shd w:val="clear" w:color="000000" w:fill="FFFFFF"/>
            <w:hideMark/>
          </w:tcPr>
          <w:p w14:paraId="58AE866C"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 xml:space="preserve">The school builds trusting relationships with families and the community in a limited range of contexts. </w:t>
            </w:r>
          </w:p>
        </w:tc>
        <w:tc>
          <w:tcPr>
            <w:tcW w:w="4020" w:type="dxa"/>
            <w:tcBorders>
              <w:top w:val="nil"/>
              <w:left w:val="nil"/>
              <w:bottom w:val="single" w:sz="4" w:space="0" w:color="auto"/>
              <w:right w:val="single" w:sz="4" w:space="0" w:color="auto"/>
            </w:tcBorders>
            <w:shd w:val="clear" w:color="000000" w:fill="FFFFFF"/>
            <w:hideMark/>
          </w:tcPr>
          <w:p w14:paraId="3A67B0B5"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The school inconsistently builds trusting relationships with families and the community or does not include families in decision making.</w:t>
            </w:r>
          </w:p>
        </w:tc>
      </w:tr>
      <w:tr w:rsidR="00A605C9" w:rsidRPr="00A605C9" w14:paraId="51C82E8C" w14:textId="77777777" w:rsidTr="00FE3DC5">
        <w:trPr>
          <w:trHeight w:val="1680"/>
        </w:trPr>
        <w:tc>
          <w:tcPr>
            <w:tcW w:w="4020" w:type="dxa"/>
            <w:tcBorders>
              <w:top w:val="single" w:sz="4" w:space="0" w:color="auto"/>
              <w:left w:val="single" w:sz="4" w:space="0" w:color="auto"/>
              <w:bottom w:val="single" w:sz="4" w:space="0" w:color="auto"/>
              <w:right w:val="single" w:sz="4" w:space="0" w:color="auto"/>
            </w:tcBorders>
            <w:shd w:val="clear" w:color="000000" w:fill="FFFFFF"/>
            <w:hideMark/>
          </w:tcPr>
          <w:p w14:paraId="1C382917"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The school designs, implements, and continuously improves capacity-building opportunities for staff, students, and families to promote shared leadership with bullying prevention.</w:t>
            </w:r>
          </w:p>
        </w:tc>
        <w:tc>
          <w:tcPr>
            <w:tcW w:w="4020" w:type="dxa"/>
            <w:tcBorders>
              <w:top w:val="single" w:sz="4" w:space="0" w:color="auto"/>
              <w:left w:val="nil"/>
              <w:bottom w:val="single" w:sz="4" w:space="0" w:color="auto"/>
              <w:right w:val="single" w:sz="4" w:space="0" w:color="auto"/>
            </w:tcBorders>
            <w:shd w:val="clear" w:color="000000" w:fill="FFFFFF"/>
            <w:hideMark/>
          </w:tcPr>
          <w:p w14:paraId="318D05BD"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 xml:space="preserve">The school designs and implements capacity-building opportunities for staff, students, and families to promote shared leadership with bullying prevention some of the time. </w:t>
            </w:r>
          </w:p>
        </w:tc>
        <w:tc>
          <w:tcPr>
            <w:tcW w:w="4020" w:type="dxa"/>
            <w:tcBorders>
              <w:top w:val="single" w:sz="4" w:space="0" w:color="auto"/>
              <w:left w:val="nil"/>
              <w:bottom w:val="single" w:sz="4" w:space="0" w:color="auto"/>
              <w:right w:val="single" w:sz="4" w:space="0" w:color="auto"/>
            </w:tcBorders>
            <w:shd w:val="clear" w:color="000000" w:fill="FFFFFF"/>
            <w:hideMark/>
          </w:tcPr>
          <w:p w14:paraId="0A21E7D9" w14:textId="77777777" w:rsidR="00A605C9" w:rsidRPr="00A605C9" w:rsidRDefault="00A605C9" w:rsidP="00A605C9">
            <w:pPr>
              <w:contextualSpacing w:val="0"/>
              <w:rPr>
                <w:rFonts w:ascii="Times New Roman" w:eastAsia="Times New Roman" w:hAnsi="Times New Roman" w:cs="Times New Roman"/>
                <w:color w:val="000000"/>
                <w:kern w:val="0"/>
                <w:sz w:val="24"/>
                <w:szCs w:val="24"/>
              </w:rPr>
            </w:pPr>
            <w:r w:rsidRPr="00A605C9">
              <w:rPr>
                <w:rFonts w:ascii="Times New Roman" w:eastAsia="Times New Roman" w:hAnsi="Times New Roman" w:cs="Times New Roman"/>
                <w:color w:val="000000"/>
                <w:kern w:val="0"/>
                <w:sz w:val="24"/>
                <w:szCs w:val="24"/>
              </w:rPr>
              <w:t xml:space="preserve">The school rarely designs and implements capacity-building opportunities for staff, students, and families to promote shared leadership with bullying prevention. </w:t>
            </w:r>
          </w:p>
        </w:tc>
      </w:tr>
      <w:tr w:rsidR="00A605C9" w:rsidRPr="00A605C9" w14:paraId="2F424221" w14:textId="77777777" w:rsidTr="00FE3DC5">
        <w:trPr>
          <w:trHeight w:val="315"/>
        </w:trPr>
        <w:tc>
          <w:tcPr>
            <w:tcW w:w="12060" w:type="dxa"/>
            <w:gridSpan w:val="3"/>
            <w:tcBorders>
              <w:top w:val="single" w:sz="4" w:space="0" w:color="auto"/>
              <w:left w:val="nil"/>
              <w:right w:val="nil"/>
            </w:tcBorders>
            <w:shd w:val="clear" w:color="000000" w:fill="FFFFFF"/>
            <w:hideMark/>
          </w:tcPr>
          <w:p w14:paraId="11534DDA" w14:textId="6B2BE5DD" w:rsidR="00A605C9" w:rsidRDefault="00600CE1" w:rsidP="00056900">
            <w:pPr>
              <w:contextualSpacing w:val="0"/>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br/>
            </w:r>
          </w:p>
          <w:p w14:paraId="082FDD1C" w14:textId="5748723C" w:rsidR="00FE3DC5" w:rsidRPr="00A605C9" w:rsidRDefault="00FE3DC5" w:rsidP="00A605C9">
            <w:pPr>
              <w:contextualSpacing w:val="0"/>
              <w:jc w:val="center"/>
              <w:rPr>
                <w:rFonts w:ascii="Times New Roman" w:eastAsia="Times New Roman" w:hAnsi="Times New Roman" w:cs="Times New Roman"/>
                <w:color w:val="000000"/>
                <w:kern w:val="0"/>
                <w:sz w:val="24"/>
                <w:szCs w:val="24"/>
              </w:rPr>
            </w:pPr>
          </w:p>
        </w:tc>
      </w:tr>
      <w:tr w:rsidR="00A605C9" w:rsidRPr="00A605C9" w14:paraId="589946C8" w14:textId="77777777" w:rsidTr="00FE3DC5">
        <w:trPr>
          <w:trHeight w:val="709"/>
        </w:trPr>
        <w:tc>
          <w:tcPr>
            <w:tcW w:w="12060" w:type="dxa"/>
            <w:gridSpan w:val="3"/>
            <w:shd w:val="clear" w:color="auto" w:fill="auto"/>
            <w:hideMark/>
          </w:tcPr>
          <w:p w14:paraId="236D4BD3" w14:textId="1583A93D" w:rsidR="00600CE1" w:rsidRPr="00E41C45" w:rsidRDefault="00600CE1" w:rsidP="00600CE1">
            <w:pPr>
              <w:contextualSpacing w:val="0"/>
              <w:jc w:val="center"/>
              <w:rPr>
                <w:rFonts w:ascii="Times New Roman" w:eastAsia="Times New Roman" w:hAnsi="Times New Roman" w:cs="Times New Roman"/>
                <w:color w:val="000000"/>
                <w:kern w:val="0"/>
                <w:sz w:val="24"/>
                <w:szCs w:val="24"/>
              </w:rPr>
            </w:pPr>
            <w:r w:rsidRPr="00E41C45">
              <w:rPr>
                <w:rFonts w:ascii="Times New Roman" w:eastAsia="Times New Roman" w:hAnsi="Times New Roman" w:cs="Times New Roman"/>
                <w:color w:val="000000"/>
                <w:kern w:val="0"/>
                <w:sz w:val="24"/>
                <w:szCs w:val="24"/>
              </w:rPr>
              <w:lastRenderedPageBreak/>
              <w:t>References</w:t>
            </w:r>
          </w:p>
          <w:p w14:paraId="096318AA" w14:textId="77777777" w:rsidR="00600CE1" w:rsidRPr="00E41C45" w:rsidRDefault="00600CE1" w:rsidP="00A605C9">
            <w:pPr>
              <w:contextualSpacing w:val="0"/>
              <w:rPr>
                <w:rFonts w:ascii="Times New Roman" w:eastAsia="Times New Roman" w:hAnsi="Times New Roman" w:cs="Times New Roman"/>
                <w:color w:val="000000"/>
                <w:kern w:val="0"/>
                <w:sz w:val="24"/>
                <w:szCs w:val="24"/>
              </w:rPr>
            </w:pPr>
          </w:p>
          <w:p w14:paraId="3427EE07" w14:textId="77777777" w:rsidR="00A605C9" w:rsidRPr="00E41C45" w:rsidRDefault="00A605C9" w:rsidP="007952C6">
            <w:pPr>
              <w:ind w:left="701" w:hanging="701"/>
              <w:contextualSpacing w:val="0"/>
              <w:rPr>
                <w:rFonts w:ascii="Times New Roman" w:eastAsia="Times New Roman" w:hAnsi="Times New Roman" w:cs="Times New Roman"/>
                <w:color w:val="000000"/>
                <w:kern w:val="0"/>
                <w:sz w:val="24"/>
                <w:szCs w:val="24"/>
              </w:rPr>
            </w:pPr>
            <w:r w:rsidRPr="00E41C45">
              <w:rPr>
                <w:rFonts w:ascii="Times New Roman" w:eastAsia="Times New Roman" w:hAnsi="Times New Roman" w:cs="Times New Roman"/>
                <w:color w:val="000000"/>
                <w:kern w:val="0"/>
                <w:sz w:val="24"/>
                <w:szCs w:val="24"/>
              </w:rPr>
              <w:t>Office of Family, School, and Community Partnerships. (2021). Family, School, and Community Partnerships P-12 Framework Self-Assessment Rubric User’s Guide. Colorado Department of Education. https://www.cde.state.co.us/uip/fscp-fillable-rubric</w:t>
            </w:r>
          </w:p>
          <w:p w14:paraId="1BEFC65B" w14:textId="0587572C" w:rsidR="00600CE1" w:rsidRPr="00E41C45" w:rsidRDefault="00600CE1" w:rsidP="00A605C9">
            <w:pPr>
              <w:contextualSpacing w:val="0"/>
              <w:rPr>
                <w:rFonts w:ascii="Times New Roman" w:eastAsia="Times New Roman" w:hAnsi="Times New Roman" w:cs="Times New Roman"/>
                <w:color w:val="000000"/>
                <w:kern w:val="0"/>
                <w:sz w:val="24"/>
                <w:szCs w:val="24"/>
              </w:rPr>
            </w:pPr>
          </w:p>
        </w:tc>
      </w:tr>
      <w:tr w:rsidR="00A605C9" w:rsidRPr="00A605C9" w14:paraId="493BEA29" w14:textId="77777777" w:rsidTr="00FE3DC5">
        <w:trPr>
          <w:trHeight w:val="619"/>
        </w:trPr>
        <w:tc>
          <w:tcPr>
            <w:tcW w:w="12060" w:type="dxa"/>
            <w:gridSpan w:val="3"/>
            <w:shd w:val="clear" w:color="auto" w:fill="auto"/>
            <w:hideMark/>
          </w:tcPr>
          <w:p w14:paraId="67C0764C" w14:textId="77777777" w:rsidR="00810635" w:rsidRPr="00E41C45" w:rsidRDefault="00810635" w:rsidP="00A605C9">
            <w:pPr>
              <w:contextualSpacing w:val="0"/>
              <w:rPr>
                <w:rFonts w:ascii="Times New Roman" w:eastAsia="Times New Roman" w:hAnsi="Times New Roman" w:cs="Times New Roman"/>
                <w:color w:val="000000"/>
                <w:kern w:val="0"/>
                <w:sz w:val="24"/>
                <w:szCs w:val="24"/>
              </w:rPr>
            </w:pPr>
          </w:p>
          <w:p w14:paraId="0B3D4991" w14:textId="2130C9F5" w:rsidR="00A605C9" w:rsidRPr="00E41C45" w:rsidRDefault="00A605C9" w:rsidP="007952C6">
            <w:pPr>
              <w:ind w:left="701" w:hanging="720"/>
              <w:contextualSpacing w:val="0"/>
              <w:rPr>
                <w:rFonts w:ascii="Times New Roman" w:eastAsia="Times New Roman" w:hAnsi="Times New Roman" w:cs="Times New Roman"/>
                <w:color w:val="000000"/>
                <w:kern w:val="0"/>
                <w:sz w:val="24"/>
                <w:szCs w:val="24"/>
              </w:rPr>
            </w:pPr>
            <w:r w:rsidRPr="00E41C45">
              <w:rPr>
                <w:rFonts w:ascii="Times New Roman" w:eastAsia="Times New Roman" w:hAnsi="Times New Roman" w:cs="Times New Roman"/>
                <w:color w:val="000000"/>
                <w:kern w:val="0"/>
                <w:sz w:val="24"/>
                <w:szCs w:val="24"/>
              </w:rPr>
              <w:t xml:space="preserve">Farrington, D. &amp; </w:t>
            </w:r>
            <w:proofErr w:type="spellStart"/>
            <w:r w:rsidRPr="00E41C45">
              <w:rPr>
                <w:rFonts w:ascii="Times New Roman" w:eastAsia="Times New Roman" w:hAnsi="Times New Roman" w:cs="Times New Roman"/>
                <w:color w:val="000000"/>
                <w:kern w:val="0"/>
                <w:sz w:val="24"/>
                <w:szCs w:val="24"/>
              </w:rPr>
              <w:t>Ttofi</w:t>
            </w:r>
            <w:proofErr w:type="spellEnd"/>
            <w:r w:rsidRPr="00E41C45">
              <w:rPr>
                <w:rFonts w:ascii="Times New Roman" w:eastAsia="Times New Roman" w:hAnsi="Times New Roman" w:cs="Times New Roman"/>
                <w:color w:val="000000"/>
                <w:kern w:val="0"/>
                <w:sz w:val="24"/>
                <w:szCs w:val="24"/>
              </w:rPr>
              <w:t xml:space="preserve">, M. (2009) School-Based Programs to Reduce Bullying and Victimization. </w:t>
            </w:r>
            <w:r w:rsidRPr="00E41C45">
              <w:rPr>
                <w:rFonts w:ascii="Times New Roman" w:eastAsia="Times New Roman" w:hAnsi="Times New Roman" w:cs="Times New Roman"/>
                <w:i/>
                <w:iCs/>
                <w:color w:val="000000"/>
                <w:kern w:val="0"/>
                <w:sz w:val="24"/>
                <w:szCs w:val="24"/>
              </w:rPr>
              <w:t>Campbell Systematic Reviews</w:t>
            </w:r>
            <w:r w:rsidRPr="00E41C45">
              <w:rPr>
                <w:rFonts w:ascii="Times New Roman" w:eastAsia="Times New Roman" w:hAnsi="Times New Roman" w:cs="Times New Roman"/>
                <w:color w:val="000000"/>
                <w:kern w:val="0"/>
                <w:sz w:val="24"/>
                <w:szCs w:val="24"/>
              </w:rPr>
              <w:t>, 2009:6. https://doi.org/10.4073/csr.2009.6</w:t>
            </w:r>
            <w:r w:rsidR="003353A3" w:rsidRPr="00E41C45">
              <w:rPr>
                <w:rFonts w:ascii="Times New Roman" w:eastAsia="Times New Roman" w:hAnsi="Times New Roman" w:cs="Times New Roman"/>
                <w:color w:val="000000"/>
                <w:kern w:val="0"/>
                <w:sz w:val="24"/>
                <w:szCs w:val="24"/>
              </w:rPr>
              <w:br/>
            </w:r>
          </w:p>
        </w:tc>
      </w:tr>
      <w:tr w:rsidR="00A605C9" w:rsidRPr="00A605C9" w14:paraId="14819E9E" w14:textId="77777777" w:rsidTr="00FE3DC5">
        <w:trPr>
          <w:trHeight w:val="390"/>
        </w:trPr>
        <w:tc>
          <w:tcPr>
            <w:tcW w:w="12060" w:type="dxa"/>
            <w:gridSpan w:val="3"/>
            <w:shd w:val="clear" w:color="auto" w:fill="auto"/>
            <w:hideMark/>
          </w:tcPr>
          <w:p w14:paraId="1A93005D" w14:textId="77777777" w:rsidR="00A605C9" w:rsidRPr="00E41C45" w:rsidRDefault="00A605C9" w:rsidP="00A605C9">
            <w:pPr>
              <w:contextualSpacing w:val="0"/>
              <w:rPr>
                <w:rFonts w:ascii="Times New Roman" w:eastAsia="Times New Roman" w:hAnsi="Times New Roman" w:cs="Times New Roman"/>
                <w:color w:val="000000"/>
                <w:kern w:val="0"/>
                <w:sz w:val="24"/>
                <w:szCs w:val="24"/>
              </w:rPr>
            </w:pPr>
            <w:r w:rsidRPr="00E41C45">
              <w:rPr>
                <w:rFonts w:ascii="Times New Roman" w:eastAsia="Times New Roman" w:hAnsi="Times New Roman" w:cs="Times New Roman"/>
                <w:color w:val="000000"/>
                <w:kern w:val="0"/>
                <w:sz w:val="24"/>
                <w:szCs w:val="24"/>
              </w:rPr>
              <w:t xml:space="preserve">Constantino, S. M. (2015). </w:t>
            </w:r>
            <w:r w:rsidRPr="00E41C45">
              <w:rPr>
                <w:rFonts w:ascii="Times New Roman" w:eastAsia="Times New Roman" w:hAnsi="Times New Roman" w:cs="Times New Roman"/>
                <w:i/>
                <w:iCs/>
                <w:color w:val="000000"/>
                <w:kern w:val="0"/>
                <w:sz w:val="24"/>
                <w:szCs w:val="24"/>
              </w:rPr>
              <w:t>Engage Every Family: Five Simple Principles</w:t>
            </w:r>
            <w:r w:rsidRPr="00E41C45">
              <w:rPr>
                <w:rFonts w:ascii="Times New Roman" w:eastAsia="Times New Roman" w:hAnsi="Times New Roman" w:cs="Times New Roman"/>
                <w:color w:val="000000"/>
                <w:kern w:val="0"/>
                <w:sz w:val="24"/>
                <w:szCs w:val="24"/>
              </w:rPr>
              <w:t>. Sage Publications</w:t>
            </w:r>
          </w:p>
        </w:tc>
      </w:tr>
    </w:tbl>
    <w:p w14:paraId="0D96C4C9" w14:textId="052B28F9" w:rsidR="005363FC" w:rsidRDefault="005363FC">
      <w:pPr>
        <w:rPr>
          <w:rFonts w:ascii="Arial" w:hAnsi="Arial" w:cs="Arial"/>
        </w:rPr>
      </w:pPr>
    </w:p>
    <w:p w14:paraId="63CF882F" w14:textId="77777777" w:rsidR="005363FC" w:rsidRDefault="005363FC">
      <w:pPr>
        <w:spacing w:after="160" w:line="259" w:lineRule="auto"/>
        <w:contextualSpacing w:val="0"/>
        <w:rPr>
          <w:rFonts w:ascii="Arial" w:hAnsi="Arial" w:cs="Arial"/>
        </w:rPr>
      </w:pPr>
      <w:r>
        <w:rPr>
          <w:rFonts w:ascii="Arial" w:hAnsi="Arial" w:cs="Arial"/>
        </w:rPr>
        <w:br w:type="page"/>
      </w:r>
    </w:p>
    <w:tbl>
      <w:tblPr>
        <w:tblW w:w="12060" w:type="dxa"/>
        <w:tblLook w:val="04A0" w:firstRow="1" w:lastRow="0" w:firstColumn="1" w:lastColumn="0" w:noHBand="0" w:noVBand="1"/>
      </w:tblPr>
      <w:tblGrid>
        <w:gridCol w:w="4020"/>
        <w:gridCol w:w="4020"/>
        <w:gridCol w:w="4020"/>
      </w:tblGrid>
      <w:tr w:rsidR="005363FC" w:rsidRPr="005363FC" w14:paraId="66A1A1D3" w14:textId="77777777" w:rsidTr="005363FC">
        <w:trPr>
          <w:trHeight w:val="499"/>
        </w:trPr>
        <w:tc>
          <w:tcPr>
            <w:tcW w:w="12060" w:type="dxa"/>
            <w:gridSpan w:val="3"/>
            <w:tcBorders>
              <w:top w:val="single" w:sz="4" w:space="0" w:color="auto"/>
              <w:left w:val="single" w:sz="4" w:space="0" w:color="auto"/>
              <w:bottom w:val="single" w:sz="4" w:space="0" w:color="auto"/>
              <w:right w:val="single" w:sz="4" w:space="0" w:color="000000"/>
            </w:tcBorders>
            <w:shd w:val="clear" w:color="000000" w:fill="9BC2E6"/>
            <w:vAlign w:val="center"/>
            <w:hideMark/>
          </w:tcPr>
          <w:p w14:paraId="01AD0B92" w14:textId="77777777" w:rsidR="005363FC" w:rsidRPr="005363FC" w:rsidRDefault="005363FC" w:rsidP="005363FC">
            <w:pPr>
              <w:contextualSpacing w:val="0"/>
              <w:jc w:val="center"/>
              <w:rPr>
                <w:rFonts w:ascii="Times New Roman" w:eastAsia="Times New Roman" w:hAnsi="Times New Roman" w:cs="Times New Roman"/>
                <w:b/>
                <w:bCs/>
                <w:color w:val="000000"/>
                <w:kern w:val="0"/>
                <w:sz w:val="32"/>
                <w:szCs w:val="32"/>
              </w:rPr>
            </w:pPr>
            <w:r w:rsidRPr="005363FC">
              <w:rPr>
                <w:rFonts w:ascii="Times New Roman" w:eastAsia="Times New Roman" w:hAnsi="Times New Roman" w:cs="Times New Roman"/>
                <w:b/>
                <w:bCs/>
                <w:color w:val="000000"/>
                <w:kern w:val="0"/>
                <w:sz w:val="32"/>
                <w:szCs w:val="32"/>
              </w:rPr>
              <w:lastRenderedPageBreak/>
              <w:t>BPEG Practice Profile: Policy</w:t>
            </w:r>
          </w:p>
        </w:tc>
      </w:tr>
      <w:tr w:rsidR="005363FC" w:rsidRPr="005363FC" w14:paraId="51C28C34" w14:textId="77777777" w:rsidTr="005363FC">
        <w:trPr>
          <w:trHeight w:val="315"/>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61CA07ED"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Audience for this Practice Profile:</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1E9EEBA3"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BPEG Implementation Team (BIT)</w:t>
            </w:r>
          </w:p>
        </w:tc>
      </w:tr>
      <w:tr w:rsidR="005363FC" w:rsidRPr="005363FC" w14:paraId="146753EC" w14:textId="77777777" w:rsidTr="005363FC">
        <w:trPr>
          <w:trHeight w:val="720"/>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2F898560"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Definition of Core Component:</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49CE8F96"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A district Board of Education Policy on bullying prevention and the bullying prevention handbook policy of a school.</w:t>
            </w:r>
          </w:p>
        </w:tc>
      </w:tr>
      <w:tr w:rsidR="005363FC" w:rsidRPr="005363FC" w14:paraId="5D0FAA53" w14:textId="77777777" w:rsidTr="005363FC">
        <w:trPr>
          <w:trHeight w:val="1080"/>
        </w:trPr>
        <w:tc>
          <w:tcPr>
            <w:tcW w:w="4020" w:type="dxa"/>
            <w:tcBorders>
              <w:top w:val="nil"/>
              <w:left w:val="single" w:sz="4" w:space="0" w:color="auto"/>
              <w:bottom w:val="single" w:sz="4" w:space="0" w:color="auto"/>
              <w:right w:val="single" w:sz="4" w:space="0" w:color="auto"/>
            </w:tcBorders>
            <w:shd w:val="clear" w:color="000000" w:fill="BDD7EE"/>
            <w:vAlign w:val="center"/>
            <w:hideMark/>
          </w:tcPr>
          <w:p w14:paraId="5B0B43D3"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How the Core Component is Essential to Reducing Bullying:</w:t>
            </w:r>
          </w:p>
        </w:tc>
        <w:tc>
          <w:tcPr>
            <w:tcW w:w="8040" w:type="dxa"/>
            <w:gridSpan w:val="2"/>
            <w:tcBorders>
              <w:top w:val="single" w:sz="4" w:space="0" w:color="auto"/>
              <w:left w:val="nil"/>
              <w:bottom w:val="single" w:sz="4" w:space="0" w:color="auto"/>
              <w:right w:val="single" w:sz="4" w:space="0" w:color="000000"/>
            </w:tcBorders>
            <w:shd w:val="clear" w:color="auto" w:fill="auto"/>
            <w:hideMark/>
          </w:tcPr>
          <w:p w14:paraId="5A35CD3E"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Research demonstrates that district bullying prevention policy can reduce specific types of bullying. School handbook policy provides clear guidance to students, families, and staff on all aspects of the school's bullying prevention efforts.</w:t>
            </w:r>
          </w:p>
        </w:tc>
      </w:tr>
      <w:tr w:rsidR="005363FC" w:rsidRPr="005363FC" w14:paraId="6F35BD75" w14:textId="77777777" w:rsidTr="00600CE1">
        <w:trPr>
          <w:trHeight w:val="368"/>
        </w:trPr>
        <w:tc>
          <w:tcPr>
            <w:tcW w:w="4020" w:type="dxa"/>
            <w:tcBorders>
              <w:top w:val="nil"/>
              <w:left w:val="single" w:sz="4" w:space="0" w:color="auto"/>
              <w:bottom w:val="single" w:sz="4" w:space="0" w:color="auto"/>
              <w:right w:val="nil"/>
            </w:tcBorders>
            <w:shd w:val="clear" w:color="000000" w:fill="DDEBF7"/>
            <w:vAlign w:val="center"/>
            <w:hideMark/>
          </w:tcPr>
          <w:p w14:paraId="3D061416" w14:textId="3D8B12E6" w:rsidR="005363FC" w:rsidRPr="005363FC" w:rsidRDefault="005363FC" w:rsidP="00600CE1">
            <w:pPr>
              <w:contextualSpacing w:val="0"/>
              <w:jc w:val="center"/>
              <w:rPr>
                <w:rFonts w:ascii="Times New Roman" w:eastAsia="Times New Roman" w:hAnsi="Times New Roman" w:cs="Times New Roman"/>
                <w:b/>
                <w:bCs/>
                <w:color w:val="000000"/>
                <w:kern w:val="0"/>
                <w:sz w:val="24"/>
                <w:szCs w:val="24"/>
              </w:rPr>
            </w:pPr>
            <w:r w:rsidRPr="005363FC">
              <w:rPr>
                <w:rFonts w:ascii="Times New Roman" w:eastAsia="Times New Roman" w:hAnsi="Times New Roman" w:cs="Times New Roman"/>
                <w:b/>
                <w:bCs/>
                <w:color w:val="000000"/>
                <w:kern w:val="0"/>
                <w:sz w:val="24"/>
                <w:szCs w:val="24"/>
              </w:rPr>
              <w:t>Expected Use in Practice</w:t>
            </w:r>
          </w:p>
        </w:tc>
        <w:tc>
          <w:tcPr>
            <w:tcW w:w="4020" w:type="dxa"/>
            <w:tcBorders>
              <w:top w:val="nil"/>
              <w:left w:val="single" w:sz="4" w:space="0" w:color="auto"/>
              <w:bottom w:val="single" w:sz="4" w:space="0" w:color="auto"/>
              <w:right w:val="single" w:sz="4" w:space="0" w:color="auto"/>
            </w:tcBorders>
            <w:shd w:val="clear" w:color="000000" w:fill="DDEBF7"/>
            <w:noWrap/>
            <w:vAlign w:val="center"/>
            <w:hideMark/>
          </w:tcPr>
          <w:p w14:paraId="2D3D52FB" w14:textId="77777777" w:rsidR="005363FC" w:rsidRPr="005363FC" w:rsidRDefault="005363FC" w:rsidP="00600CE1">
            <w:pPr>
              <w:contextualSpacing w:val="0"/>
              <w:jc w:val="center"/>
              <w:rPr>
                <w:rFonts w:ascii="Times New Roman" w:eastAsia="Times New Roman" w:hAnsi="Times New Roman" w:cs="Times New Roman"/>
                <w:b/>
                <w:bCs/>
                <w:color w:val="000000"/>
                <w:kern w:val="0"/>
                <w:sz w:val="24"/>
                <w:szCs w:val="24"/>
              </w:rPr>
            </w:pPr>
            <w:r w:rsidRPr="005363FC">
              <w:rPr>
                <w:rFonts w:ascii="Times New Roman" w:eastAsia="Times New Roman" w:hAnsi="Times New Roman" w:cs="Times New Roman"/>
                <w:b/>
                <w:bCs/>
                <w:color w:val="000000"/>
                <w:kern w:val="0"/>
                <w:sz w:val="24"/>
                <w:szCs w:val="24"/>
              </w:rPr>
              <w:t>Developmental Use</w:t>
            </w:r>
          </w:p>
        </w:tc>
        <w:tc>
          <w:tcPr>
            <w:tcW w:w="4020" w:type="dxa"/>
            <w:tcBorders>
              <w:top w:val="nil"/>
              <w:left w:val="nil"/>
              <w:bottom w:val="single" w:sz="4" w:space="0" w:color="auto"/>
              <w:right w:val="single" w:sz="4" w:space="0" w:color="auto"/>
            </w:tcBorders>
            <w:shd w:val="clear" w:color="000000" w:fill="DDEBF7"/>
            <w:noWrap/>
            <w:vAlign w:val="center"/>
            <w:hideMark/>
          </w:tcPr>
          <w:p w14:paraId="24A5297F" w14:textId="77777777" w:rsidR="005363FC" w:rsidRPr="005363FC" w:rsidRDefault="005363FC" w:rsidP="00600CE1">
            <w:pPr>
              <w:contextualSpacing w:val="0"/>
              <w:jc w:val="center"/>
              <w:rPr>
                <w:rFonts w:ascii="Times New Roman" w:eastAsia="Times New Roman" w:hAnsi="Times New Roman" w:cs="Times New Roman"/>
                <w:b/>
                <w:bCs/>
                <w:color w:val="000000"/>
                <w:kern w:val="0"/>
                <w:sz w:val="24"/>
                <w:szCs w:val="24"/>
              </w:rPr>
            </w:pPr>
            <w:r w:rsidRPr="005363FC">
              <w:rPr>
                <w:rFonts w:ascii="Times New Roman" w:eastAsia="Times New Roman" w:hAnsi="Times New Roman" w:cs="Times New Roman"/>
                <w:b/>
                <w:bCs/>
                <w:color w:val="000000"/>
                <w:kern w:val="0"/>
                <w:sz w:val="24"/>
                <w:szCs w:val="24"/>
              </w:rPr>
              <w:t>Unacceptable Use</w:t>
            </w:r>
          </w:p>
        </w:tc>
      </w:tr>
      <w:tr w:rsidR="005363FC" w:rsidRPr="005363FC" w14:paraId="7F08C8C5" w14:textId="77777777" w:rsidTr="005363FC">
        <w:trPr>
          <w:trHeight w:val="953"/>
        </w:trPr>
        <w:tc>
          <w:tcPr>
            <w:tcW w:w="4020" w:type="dxa"/>
            <w:tcBorders>
              <w:top w:val="nil"/>
              <w:left w:val="single" w:sz="4" w:space="0" w:color="auto"/>
              <w:bottom w:val="single" w:sz="4" w:space="0" w:color="auto"/>
              <w:right w:val="single" w:sz="4" w:space="0" w:color="auto"/>
            </w:tcBorders>
            <w:shd w:val="clear" w:color="000000" w:fill="FFFFFF"/>
            <w:hideMark/>
          </w:tcPr>
          <w:p w14:paraId="7BB226EA"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are fully aligned with state law and district policy.</w:t>
            </w:r>
          </w:p>
        </w:tc>
        <w:tc>
          <w:tcPr>
            <w:tcW w:w="4020" w:type="dxa"/>
            <w:tcBorders>
              <w:top w:val="nil"/>
              <w:left w:val="nil"/>
              <w:bottom w:val="single" w:sz="4" w:space="0" w:color="auto"/>
              <w:right w:val="single" w:sz="4" w:space="0" w:color="auto"/>
            </w:tcBorders>
            <w:shd w:val="clear" w:color="000000" w:fill="FFFFFF"/>
            <w:hideMark/>
          </w:tcPr>
          <w:p w14:paraId="7C8BD11F"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are somewhat aligned with state law and district policy.</w:t>
            </w:r>
          </w:p>
        </w:tc>
        <w:tc>
          <w:tcPr>
            <w:tcW w:w="4020" w:type="dxa"/>
            <w:tcBorders>
              <w:top w:val="nil"/>
              <w:left w:val="nil"/>
              <w:bottom w:val="single" w:sz="4" w:space="0" w:color="auto"/>
              <w:right w:val="single" w:sz="4" w:space="0" w:color="auto"/>
            </w:tcBorders>
            <w:shd w:val="clear" w:color="000000" w:fill="FFFFFF"/>
            <w:hideMark/>
          </w:tcPr>
          <w:p w14:paraId="1AE284AE"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are not aligned with state law or district policy.</w:t>
            </w:r>
          </w:p>
        </w:tc>
      </w:tr>
      <w:tr w:rsidR="005363FC" w:rsidRPr="005363FC" w14:paraId="423C858A" w14:textId="77777777" w:rsidTr="005363FC">
        <w:trPr>
          <w:trHeight w:val="890"/>
        </w:trPr>
        <w:tc>
          <w:tcPr>
            <w:tcW w:w="4020" w:type="dxa"/>
            <w:tcBorders>
              <w:top w:val="nil"/>
              <w:left w:val="single" w:sz="4" w:space="0" w:color="auto"/>
              <w:bottom w:val="single" w:sz="4" w:space="0" w:color="auto"/>
              <w:right w:val="single" w:sz="4" w:space="0" w:color="auto"/>
            </w:tcBorders>
            <w:shd w:val="clear" w:color="000000" w:fill="FFFFFF"/>
            <w:hideMark/>
          </w:tcPr>
          <w:p w14:paraId="0F0B2B4D"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use evidence-based best practices for reducing bullying.</w:t>
            </w:r>
          </w:p>
        </w:tc>
        <w:tc>
          <w:tcPr>
            <w:tcW w:w="4020" w:type="dxa"/>
            <w:tcBorders>
              <w:top w:val="nil"/>
              <w:left w:val="nil"/>
              <w:bottom w:val="single" w:sz="4" w:space="0" w:color="auto"/>
              <w:right w:val="single" w:sz="4" w:space="0" w:color="auto"/>
            </w:tcBorders>
            <w:shd w:val="clear" w:color="000000" w:fill="FFFFFF"/>
            <w:hideMark/>
          </w:tcPr>
          <w:p w14:paraId="3A88D4A8"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use some best practices for reducing bullying.</w:t>
            </w:r>
          </w:p>
        </w:tc>
        <w:tc>
          <w:tcPr>
            <w:tcW w:w="4020" w:type="dxa"/>
            <w:tcBorders>
              <w:top w:val="nil"/>
              <w:left w:val="nil"/>
              <w:bottom w:val="single" w:sz="4" w:space="0" w:color="auto"/>
              <w:right w:val="single" w:sz="4" w:space="0" w:color="auto"/>
            </w:tcBorders>
            <w:shd w:val="clear" w:color="000000" w:fill="FFFFFF"/>
            <w:hideMark/>
          </w:tcPr>
          <w:p w14:paraId="2E5306E7"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include the use of zero tolerance or do not specifically identify protected classes of students.</w:t>
            </w:r>
          </w:p>
        </w:tc>
      </w:tr>
      <w:tr w:rsidR="005363FC" w:rsidRPr="005363FC" w14:paraId="419EEF6A" w14:textId="77777777" w:rsidTr="005363FC">
        <w:trPr>
          <w:trHeight w:val="980"/>
        </w:trPr>
        <w:tc>
          <w:tcPr>
            <w:tcW w:w="4020" w:type="dxa"/>
            <w:tcBorders>
              <w:top w:val="nil"/>
              <w:left w:val="single" w:sz="4" w:space="0" w:color="auto"/>
              <w:bottom w:val="single" w:sz="4" w:space="0" w:color="auto"/>
              <w:right w:val="single" w:sz="4" w:space="0" w:color="auto"/>
            </w:tcBorders>
            <w:shd w:val="clear" w:color="000000" w:fill="FFFFFF"/>
            <w:hideMark/>
          </w:tcPr>
          <w:p w14:paraId="26DBCCC3"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on bullying are regularly reviewed and revised using stakeholder (e.g., families, staff) input.</w:t>
            </w:r>
          </w:p>
        </w:tc>
        <w:tc>
          <w:tcPr>
            <w:tcW w:w="4020" w:type="dxa"/>
            <w:tcBorders>
              <w:top w:val="nil"/>
              <w:left w:val="nil"/>
              <w:bottom w:val="single" w:sz="4" w:space="0" w:color="auto"/>
              <w:right w:val="single" w:sz="4" w:space="0" w:color="auto"/>
            </w:tcBorders>
            <w:shd w:val="clear" w:color="000000" w:fill="FFFFFF"/>
            <w:hideMark/>
          </w:tcPr>
          <w:p w14:paraId="594B0F35"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are reviewed and revised inconsistently or with limited stakeholder input.</w:t>
            </w:r>
          </w:p>
        </w:tc>
        <w:tc>
          <w:tcPr>
            <w:tcW w:w="4020" w:type="dxa"/>
            <w:tcBorders>
              <w:top w:val="nil"/>
              <w:left w:val="nil"/>
              <w:bottom w:val="single" w:sz="4" w:space="0" w:color="auto"/>
              <w:right w:val="single" w:sz="4" w:space="0" w:color="auto"/>
            </w:tcBorders>
            <w:shd w:val="clear" w:color="000000" w:fill="FFFFFF"/>
            <w:hideMark/>
          </w:tcPr>
          <w:p w14:paraId="2F935133"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are reviewed and revised rarely or without stakeholder input.</w:t>
            </w:r>
          </w:p>
        </w:tc>
      </w:tr>
      <w:tr w:rsidR="005363FC" w:rsidRPr="005363FC" w14:paraId="7472B65D" w14:textId="77777777" w:rsidTr="005363FC">
        <w:trPr>
          <w:trHeight w:val="1520"/>
        </w:trPr>
        <w:tc>
          <w:tcPr>
            <w:tcW w:w="4020" w:type="dxa"/>
            <w:tcBorders>
              <w:top w:val="nil"/>
              <w:left w:val="single" w:sz="4" w:space="0" w:color="auto"/>
              <w:bottom w:val="single" w:sz="4" w:space="0" w:color="auto"/>
              <w:right w:val="single" w:sz="4" w:space="0" w:color="auto"/>
            </w:tcBorders>
            <w:shd w:val="clear" w:color="000000" w:fill="FFFFFF"/>
            <w:hideMark/>
          </w:tcPr>
          <w:p w14:paraId="09537FD7"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on bullying prevention are directly taught to all staff to ensure they know the procedures and protocols for all bullying-related concerns.</w:t>
            </w:r>
          </w:p>
        </w:tc>
        <w:tc>
          <w:tcPr>
            <w:tcW w:w="4020" w:type="dxa"/>
            <w:tcBorders>
              <w:top w:val="nil"/>
              <w:left w:val="nil"/>
              <w:bottom w:val="single" w:sz="4" w:space="0" w:color="auto"/>
              <w:right w:val="single" w:sz="4" w:space="0" w:color="auto"/>
            </w:tcBorders>
            <w:shd w:val="clear" w:color="000000" w:fill="FFFFFF"/>
            <w:hideMark/>
          </w:tcPr>
          <w:p w14:paraId="635C15C6"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on bullying prevention are inconsistently taught to staff.</w:t>
            </w:r>
          </w:p>
        </w:tc>
        <w:tc>
          <w:tcPr>
            <w:tcW w:w="4020" w:type="dxa"/>
            <w:tcBorders>
              <w:top w:val="nil"/>
              <w:left w:val="nil"/>
              <w:bottom w:val="single" w:sz="4" w:space="0" w:color="auto"/>
              <w:right w:val="single" w:sz="4" w:space="0" w:color="auto"/>
            </w:tcBorders>
            <w:shd w:val="clear" w:color="000000" w:fill="FFFFFF"/>
            <w:hideMark/>
          </w:tcPr>
          <w:p w14:paraId="5EBC2F62"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on bullying prevention are rarely taught to staff.</w:t>
            </w:r>
          </w:p>
        </w:tc>
      </w:tr>
      <w:tr w:rsidR="005363FC" w:rsidRPr="005363FC" w14:paraId="22DD737F" w14:textId="77777777" w:rsidTr="005363FC">
        <w:trPr>
          <w:trHeight w:val="1520"/>
        </w:trPr>
        <w:tc>
          <w:tcPr>
            <w:tcW w:w="4020" w:type="dxa"/>
            <w:tcBorders>
              <w:top w:val="nil"/>
              <w:left w:val="single" w:sz="4" w:space="0" w:color="auto"/>
              <w:bottom w:val="single" w:sz="4" w:space="0" w:color="auto"/>
              <w:right w:val="single" w:sz="4" w:space="0" w:color="auto"/>
            </w:tcBorders>
            <w:shd w:val="clear" w:color="000000" w:fill="FFFFFF"/>
            <w:hideMark/>
          </w:tcPr>
          <w:p w14:paraId="6FCAFFF9"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on bullying prevention are easy for families and staff to access and understand.</w:t>
            </w:r>
          </w:p>
        </w:tc>
        <w:tc>
          <w:tcPr>
            <w:tcW w:w="4020" w:type="dxa"/>
            <w:tcBorders>
              <w:top w:val="nil"/>
              <w:left w:val="nil"/>
              <w:bottom w:val="single" w:sz="4" w:space="0" w:color="auto"/>
              <w:right w:val="single" w:sz="4" w:space="0" w:color="auto"/>
            </w:tcBorders>
            <w:shd w:val="clear" w:color="000000" w:fill="FFFFFF"/>
            <w:hideMark/>
          </w:tcPr>
          <w:p w14:paraId="59CAECC4"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on bullying prevention are easy for families and staff to access in some contexts (e.g., school handbook but not online) or is not easy to understand.</w:t>
            </w:r>
          </w:p>
        </w:tc>
        <w:tc>
          <w:tcPr>
            <w:tcW w:w="4020" w:type="dxa"/>
            <w:tcBorders>
              <w:top w:val="nil"/>
              <w:left w:val="nil"/>
              <w:bottom w:val="single" w:sz="4" w:space="0" w:color="auto"/>
              <w:right w:val="single" w:sz="4" w:space="0" w:color="auto"/>
            </w:tcBorders>
            <w:shd w:val="clear" w:color="000000" w:fill="FFFFFF"/>
            <w:hideMark/>
          </w:tcPr>
          <w:p w14:paraId="58E9F80A" w14:textId="77777777" w:rsidR="005363FC" w:rsidRPr="005363FC" w:rsidRDefault="005363FC" w:rsidP="005363FC">
            <w:pPr>
              <w:contextualSpacing w:val="0"/>
              <w:rPr>
                <w:rFonts w:ascii="Times New Roman" w:eastAsia="Times New Roman" w:hAnsi="Times New Roman" w:cs="Times New Roman"/>
                <w:color w:val="000000"/>
                <w:kern w:val="0"/>
                <w:sz w:val="24"/>
                <w:szCs w:val="24"/>
              </w:rPr>
            </w:pPr>
            <w:r w:rsidRPr="005363FC">
              <w:rPr>
                <w:rFonts w:ascii="Times New Roman" w:eastAsia="Times New Roman" w:hAnsi="Times New Roman" w:cs="Times New Roman"/>
                <w:color w:val="000000"/>
                <w:kern w:val="0"/>
                <w:sz w:val="24"/>
                <w:szCs w:val="24"/>
              </w:rPr>
              <w:t>The school's policies on bullying prevention are difficult for families and staff to access or understand.</w:t>
            </w:r>
          </w:p>
        </w:tc>
      </w:tr>
      <w:tr w:rsidR="005363FC" w:rsidRPr="00BE6427" w14:paraId="5AB2B13B" w14:textId="77777777" w:rsidTr="005363FC">
        <w:trPr>
          <w:trHeight w:val="315"/>
        </w:trPr>
        <w:tc>
          <w:tcPr>
            <w:tcW w:w="12060" w:type="dxa"/>
            <w:gridSpan w:val="3"/>
            <w:tcBorders>
              <w:top w:val="nil"/>
              <w:left w:val="nil"/>
              <w:right w:val="nil"/>
            </w:tcBorders>
            <w:shd w:val="clear" w:color="000000" w:fill="FFFFFF"/>
            <w:hideMark/>
          </w:tcPr>
          <w:p w14:paraId="7DCE6EB8" w14:textId="77777777" w:rsidR="00BE6427" w:rsidRPr="00BE6427" w:rsidRDefault="00BE6427" w:rsidP="005363FC">
            <w:pPr>
              <w:contextualSpacing w:val="0"/>
              <w:jc w:val="center"/>
              <w:rPr>
                <w:rFonts w:ascii="Times New Roman" w:eastAsia="Times New Roman" w:hAnsi="Times New Roman" w:cs="Times New Roman"/>
                <w:color w:val="000000"/>
                <w:kern w:val="0"/>
                <w:sz w:val="24"/>
                <w:szCs w:val="24"/>
              </w:rPr>
            </w:pPr>
          </w:p>
          <w:p w14:paraId="3444D1B5" w14:textId="77777777" w:rsidR="00A7505B" w:rsidRDefault="005363FC" w:rsidP="005363FC">
            <w:pPr>
              <w:contextualSpacing w:val="0"/>
              <w:jc w:val="center"/>
              <w:rPr>
                <w:rFonts w:ascii="Times New Roman" w:eastAsia="Times New Roman" w:hAnsi="Times New Roman" w:cs="Times New Roman"/>
                <w:color w:val="000000"/>
                <w:kern w:val="0"/>
                <w:sz w:val="24"/>
                <w:szCs w:val="24"/>
              </w:rPr>
            </w:pPr>
            <w:r w:rsidRPr="00BE6427">
              <w:rPr>
                <w:rFonts w:ascii="Times New Roman" w:eastAsia="Times New Roman" w:hAnsi="Times New Roman" w:cs="Times New Roman"/>
                <w:color w:val="000000"/>
                <w:kern w:val="0"/>
                <w:sz w:val="24"/>
                <w:szCs w:val="24"/>
              </w:rPr>
              <w:lastRenderedPageBreak/>
              <w:t>References</w:t>
            </w:r>
          </w:p>
          <w:p w14:paraId="3FB9EC80" w14:textId="4F2DEC83" w:rsidR="005363FC" w:rsidRPr="00BE6427" w:rsidRDefault="005363FC" w:rsidP="005363FC">
            <w:pPr>
              <w:contextualSpacing w:val="0"/>
              <w:jc w:val="center"/>
              <w:rPr>
                <w:rFonts w:ascii="Times New Roman" w:eastAsia="Times New Roman" w:hAnsi="Times New Roman" w:cs="Times New Roman"/>
                <w:color w:val="000000"/>
                <w:kern w:val="0"/>
                <w:sz w:val="24"/>
                <w:szCs w:val="24"/>
              </w:rPr>
            </w:pPr>
          </w:p>
        </w:tc>
      </w:tr>
      <w:tr w:rsidR="005363FC" w:rsidRPr="00BE6427" w14:paraId="5EEA7610" w14:textId="77777777" w:rsidTr="005363FC">
        <w:trPr>
          <w:trHeight w:val="709"/>
        </w:trPr>
        <w:tc>
          <w:tcPr>
            <w:tcW w:w="12060" w:type="dxa"/>
            <w:gridSpan w:val="3"/>
            <w:shd w:val="clear" w:color="auto" w:fill="auto"/>
            <w:hideMark/>
          </w:tcPr>
          <w:p w14:paraId="14461042" w14:textId="77777777" w:rsidR="005363FC" w:rsidRPr="00BE6427" w:rsidRDefault="005363FC" w:rsidP="00BE6427">
            <w:pPr>
              <w:ind w:left="701" w:hanging="701"/>
              <w:contextualSpacing w:val="0"/>
              <w:rPr>
                <w:rFonts w:ascii="Times New Roman" w:eastAsia="Times New Roman" w:hAnsi="Times New Roman" w:cs="Times New Roman"/>
                <w:color w:val="000000"/>
                <w:kern w:val="0"/>
                <w:sz w:val="24"/>
                <w:szCs w:val="24"/>
              </w:rPr>
            </w:pPr>
            <w:r w:rsidRPr="00BE6427">
              <w:rPr>
                <w:rFonts w:ascii="Times New Roman" w:eastAsia="Times New Roman" w:hAnsi="Times New Roman" w:cs="Times New Roman"/>
                <w:color w:val="000000"/>
                <w:kern w:val="0"/>
                <w:sz w:val="24"/>
                <w:szCs w:val="24"/>
              </w:rPr>
              <w:lastRenderedPageBreak/>
              <w:t xml:space="preserve">American Psychological Association Zero Tolerance Task Force. (2008). Are zero tolerance policies effective in the </w:t>
            </w:r>
            <w:proofErr w:type="gramStart"/>
            <w:r w:rsidRPr="00BE6427">
              <w:rPr>
                <w:rFonts w:ascii="Times New Roman" w:eastAsia="Times New Roman" w:hAnsi="Times New Roman" w:cs="Times New Roman"/>
                <w:color w:val="000000"/>
                <w:kern w:val="0"/>
                <w:sz w:val="24"/>
                <w:szCs w:val="24"/>
              </w:rPr>
              <w:t>schools?:</w:t>
            </w:r>
            <w:proofErr w:type="gramEnd"/>
            <w:r w:rsidRPr="00BE6427">
              <w:rPr>
                <w:rFonts w:ascii="Times New Roman" w:eastAsia="Times New Roman" w:hAnsi="Times New Roman" w:cs="Times New Roman"/>
                <w:color w:val="000000"/>
                <w:kern w:val="0"/>
                <w:sz w:val="24"/>
                <w:szCs w:val="24"/>
              </w:rPr>
              <w:t xml:space="preserve"> An evidentiary review and recommendations. </w:t>
            </w:r>
            <w:r w:rsidRPr="00BE6427">
              <w:rPr>
                <w:rFonts w:ascii="Times New Roman" w:eastAsia="Times New Roman" w:hAnsi="Times New Roman" w:cs="Times New Roman"/>
                <w:i/>
                <w:iCs/>
                <w:color w:val="000000"/>
                <w:kern w:val="0"/>
                <w:sz w:val="24"/>
                <w:szCs w:val="24"/>
              </w:rPr>
              <w:t>American Psychologist, 63</w:t>
            </w:r>
            <w:r w:rsidRPr="00BE6427">
              <w:rPr>
                <w:rFonts w:ascii="Times New Roman" w:eastAsia="Times New Roman" w:hAnsi="Times New Roman" w:cs="Times New Roman"/>
                <w:color w:val="000000"/>
                <w:kern w:val="0"/>
                <w:sz w:val="24"/>
                <w:szCs w:val="24"/>
              </w:rPr>
              <w:t>(9), 852–862. http://dx.doi.org/10.1037/0003-066X.63.9.852</w:t>
            </w:r>
          </w:p>
        </w:tc>
      </w:tr>
      <w:tr w:rsidR="005363FC" w:rsidRPr="00BE6427" w14:paraId="5D6F13A1" w14:textId="77777777" w:rsidTr="005363FC">
        <w:trPr>
          <w:trHeight w:val="709"/>
        </w:trPr>
        <w:tc>
          <w:tcPr>
            <w:tcW w:w="12060" w:type="dxa"/>
            <w:gridSpan w:val="3"/>
            <w:shd w:val="clear" w:color="auto" w:fill="auto"/>
            <w:hideMark/>
          </w:tcPr>
          <w:p w14:paraId="551DE827" w14:textId="77777777" w:rsidR="00BE6427" w:rsidRDefault="00BE6427" w:rsidP="005363FC">
            <w:pPr>
              <w:contextualSpacing w:val="0"/>
              <w:rPr>
                <w:rFonts w:ascii="Times New Roman" w:eastAsia="Times New Roman" w:hAnsi="Times New Roman" w:cs="Times New Roman"/>
                <w:color w:val="000000"/>
                <w:kern w:val="0"/>
                <w:sz w:val="24"/>
                <w:szCs w:val="24"/>
              </w:rPr>
            </w:pPr>
          </w:p>
          <w:p w14:paraId="63C02598" w14:textId="54261C70" w:rsidR="005363FC" w:rsidRPr="00BE6427" w:rsidRDefault="005363FC" w:rsidP="00BE6427">
            <w:pPr>
              <w:ind w:left="701" w:hanging="720"/>
              <w:contextualSpacing w:val="0"/>
              <w:rPr>
                <w:rFonts w:ascii="Times New Roman" w:eastAsia="Times New Roman" w:hAnsi="Times New Roman" w:cs="Times New Roman"/>
                <w:color w:val="000000"/>
                <w:kern w:val="0"/>
                <w:sz w:val="24"/>
                <w:szCs w:val="24"/>
              </w:rPr>
            </w:pPr>
            <w:r w:rsidRPr="00BE6427">
              <w:rPr>
                <w:rFonts w:ascii="Times New Roman" w:eastAsia="Times New Roman" w:hAnsi="Times New Roman" w:cs="Times New Roman"/>
                <w:color w:val="000000"/>
                <w:kern w:val="0"/>
                <w:sz w:val="24"/>
                <w:szCs w:val="24"/>
              </w:rPr>
              <w:t xml:space="preserve">Fischer, S. M., &amp; </w:t>
            </w:r>
            <w:proofErr w:type="spellStart"/>
            <w:r w:rsidRPr="00BE6427">
              <w:rPr>
                <w:rFonts w:ascii="Times New Roman" w:eastAsia="Times New Roman" w:hAnsi="Times New Roman" w:cs="Times New Roman"/>
                <w:color w:val="000000"/>
                <w:kern w:val="0"/>
                <w:sz w:val="24"/>
                <w:szCs w:val="24"/>
              </w:rPr>
              <w:t>Bilz</w:t>
            </w:r>
            <w:proofErr w:type="spellEnd"/>
            <w:r w:rsidRPr="00BE6427">
              <w:rPr>
                <w:rFonts w:ascii="Times New Roman" w:eastAsia="Times New Roman" w:hAnsi="Times New Roman" w:cs="Times New Roman"/>
                <w:color w:val="000000"/>
                <w:kern w:val="0"/>
                <w:sz w:val="24"/>
                <w:szCs w:val="24"/>
              </w:rPr>
              <w:t xml:space="preserve">, L. (2019). Teachers’ self-efficacy in bullying interventions and their probability of intervention. </w:t>
            </w:r>
            <w:r w:rsidRPr="00BE6427">
              <w:rPr>
                <w:rFonts w:ascii="Times New Roman" w:eastAsia="Times New Roman" w:hAnsi="Times New Roman" w:cs="Times New Roman"/>
                <w:i/>
                <w:iCs/>
                <w:color w:val="000000"/>
                <w:kern w:val="0"/>
                <w:sz w:val="24"/>
                <w:szCs w:val="24"/>
              </w:rPr>
              <w:t>Psychology in the Schools, 56</w:t>
            </w:r>
            <w:r w:rsidRPr="00BE6427">
              <w:rPr>
                <w:rFonts w:ascii="Times New Roman" w:eastAsia="Times New Roman" w:hAnsi="Times New Roman" w:cs="Times New Roman"/>
                <w:color w:val="000000"/>
                <w:kern w:val="0"/>
                <w:sz w:val="24"/>
                <w:szCs w:val="24"/>
              </w:rPr>
              <w:t>(5), 751–764. https://doi.org/10.1002/pits.22229</w:t>
            </w:r>
          </w:p>
        </w:tc>
      </w:tr>
      <w:tr w:rsidR="005363FC" w:rsidRPr="00BE6427" w14:paraId="02567D5C" w14:textId="77777777" w:rsidTr="005363FC">
        <w:trPr>
          <w:trHeight w:val="690"/>
        </w:trPr>
        <w:tc>
          <w:tcPr>
            <w:tcW w:w="12060" w:type="dxa"/>
            <w:gridSpan w:val="3"/>
            <w:shd w:val="clear" w:color="auto" w:fill="auto"/>
            <w:hideMark/>
          </w:tcPr>
          <w:p w14:paraId="377FD67A" w14:textId="77777777" w:rsidR="00BE6427" w:rsidRDefault="00BE6427" w:rsidP="005363FC">
            <w:pPr>
              <w:contextualSpacing w:val="0"/>
              <w:rPr>
                <w:rFonts w:ascii="Times New Roman" w:eastAsia="Times New Roman" w:hAnsi="Times New Roman" w:cs="Times New Roman"/>
                <w:color w:val="000000"/>
                <w:kern w:val="0"/>
                <w:sz w:val="24"/>
                <w:szCs w:val="24"/>
              </w:rPr>
            </w:pPr>
          </w:p>
          <w:p w14:paraId="45F4DF11" w14:textId="775FF67B" w:rsidR="005363FC" w:rsidRPr="00BE6427" w:rsidRDefault="005363FC" w:rsidP="00A7505B">
            <w:pPr>
              <w:ind w:left="701" w:hanging="701"/>
              <w:contextualSpacing w:val="0"/>
              <w:rPr>
                <w:rFonts w:ascii="Times New Roman" w:eastAsia="Times New Roman" w:hAnsi="Times New Roman" w:cs="Times New Roman"/>
                <w:color w:val="000000"/>
                <w:kern w:val="0"/>
                <w:sz w:val="24"/>
                <w:szCs w:val="24"/>
              </w:rPr>
            </w:pPr>
            <w:r w:rsidRPr="00BE6427">
              <w:rPr>
                <w:rFonts w:ascii="Times New Roman" w:eastAsia="Times New Roman" w:hAnsi="Times New Roman" w:cs="Times New Roman"/>
                <w:color w:val="000000"/>
                <w:kern w:val="0"/>
                <w:sz w:val="24"/>
                <w:szCs w:val="24"/>
              </w:rPr>
              <w:t xml:space="preserve">Kull, R. M., Greytak, E. A., Kosciw, J. G., &amp; </w:t>
            </w:r>
            <w:proofErr w:type="spellStart"/>
            <w:r w:rsidRPr="00BE6427">
              <w:rPr>
                <w:rFonts w:ascii="Times New Roman" w:eastAsia="Times New Roman" w:hAnsi="Times New Roman" w:cs="Times New Roman"/>
                <w:color w:val="000000"/>
                <w:kern w:val="0"/>
                <w:sz w:val="24"/>
                <w:szCs w:val="24"/>
              </w:rPr>
              <w:t>Villenas</w:t>
            </w:r>
            <w:proofErr w:type="spellEnd"/>
            <w:r w:rsidRPr="00BE6427">
              <w:rPr>
                <w:rFonts w:ascii="Times New Roman" w:eastAsia="Times New Roman" w:hAnsi="Times New Roman" w:cs="Times New Roman"/>
                <w:color w:val="000000"/>
                <w:kern w:val="0"/>
                <w:sz w:val="24"/>
                <w:szCs w:val="24"/>
              </w:rPr>
              <w:t xml:space="preserve">, C. (2016). Effectiveness of school district antibullying policies in improving LGBT youths’ school climate. </w:t>
            </w:r>
            <w:r w:rsidRPr="00BE6427">
              <w:rPr>
                <w:rFonts w:ascii="Times New Roman" w:eastAsia="Times New Roman" w:hAnsi="Times New Roman" w:cs="Times New Roman"/>
                <w:i/>
                <w:iCs/>
                <w:color w:val="000000"/>
                <w:kern w:val="0"/>
                <w:sz w:val="24"/>
                <w:szCs w:val="24"/>
              </w:rPr>
              <w:t>Psychology of Sexual Orientation and Gender Diversity, 3</w:t>
            </w:r>
            <w:r w:rsidRPr="00BE6427">
              <w:rPr>
                <w:rFonts w:ascii="Times New Roman" w:eastAsia="Times New Roman" w:hAnsi="Times New Roman" w:cs="Times New Roman"/>
                <w:color w:val="000000"/>
                <w:kern w:val="0"/>
                <w:sz w:val="24"/>
                <w:szCs w:val="24"/>
              </w:rPr>
              <w:t>(4), 407–415. https://doi.org/10.1037/sgd0000196</w:t>
            </w:r>
          </w:p>
          <w:p w14:paraId="0950F869" w14:textId="19AE11FD" w:rsidR="005363FC" w:rsidRPr="00BE6427" w:rsidRDefault="005363FC" w:rsidP="005363FC">
            <w:pPr>
              <w:contextualSpacing w:val="0"/>
              <w:rPr>
                <w:rFonts w:ascii="Times New Roman" w:eastAsia="Times New Roman" w:hAnsi="Times New Roman" w:cs="Times New Roman"/>
                <w:color w:val="000000"/>
                <w:kern w:val="0"/>
                <w:sz w:val="24"/>
                <w:szCs w:val="24"/>
              </w:rPr>
            </w:pPr>
          </w:p>
        </w:tc>
      </w:tr>
      <w:tr w:rsidR="005363FC" w:rsidRPr="00BE6427" w14:paraId="54D7C0B2" w14:textId="77777777" w:rsidTr="005363FC">
        <w:trPr>
          <w:trHeight w:val="615"/>
        </w:trPr>
        <w:tc>
          <w:tcPr>
            <w:tcW w:w="12060" w:type="dxa"/>
            <w:gridSpan w:val="3"/>
            <w:shd w:val="clear" w:color="000000" w:fill="FFFFFF"/>
            <w:hideMark/>
          </w:tcPr>
          <w:p w14:paraId="25068780" w14:textId="77777777" w:rsidR="00810635" w:rsidRPr="00BE6427" w:rsidRDefault="00810635" w:rsidP="005363FC">
            <w:pPr>
              <w:contextualSpacing w:val="0"/>
              <w:rPr>
                <w:rFonts w:ascii="Times New Roman" w:eastAsia="Times New Roman" w:hAnsi="Times New Roman" w:cs="Times New Roman"/>
                <w:color w:val="000000"/>
                <w:kern w:val="0"/>
                <w:sz w:val="24"/>
                <w:szCs w:val="24"/>
              </w:rPr>
            </w:pPr>
          </w:p>
          <w:p w14:paraId="4B13E227" w14:textId="5D872796" w:rsidR="005363FC" w:rsidRPr="00BE6427" w:rsidRDefault="005363FC" w:rsidP="00A7505B">
            <w:pPr>
              <w:ind w:left="701" w:hanging="701"/>
              <w:contextualSpacing w:val="0"/>
              <w:rPr>
                <w:rFonts w:ascii="Times New Roman" w:eastAsia="Times New Roman" w:hAnsi="Times New Roman" w:cs="Times New Roman"/>
                <w:color w:val="000000"/>
                <w:kern w:val="0"/>
                <w:sz w:val="24"/>
                <w:szCs w:val="24"/>
              </w:rPr>
            </w:pPr>
            <w:r w:rsidRPr="00BE6427">
              <w:rPr>
                <w:rFonts w:ascii="Times New Roman" w:eastAsia="Times New Roman" w:hAnsi="Times New Roman" w:cs="Times New Roman"/>
                <w:color w:val="000000"/>
                <w:kern w:val="0"/>
                <w:sz w:val="24"/>
                <w:szCs w:val="24"/>
              </w:rPr>
              <w:t xml:space="preserve">U.S. Department of Health and Human Services. (2017, September 28). </w:t>
            </w:r>
            <w:r w:rsidRPr="00BE6427">
              <w:rPr>
                <w:rFonts w:ascii="Times New Roman" w:eastAsia="Times New Roman" w:hAnsi="Times New Roman" w:cs="Times New Roman"/>
                <w:i/>
                <w:iCs/>
                <w:color w:val="000000"/>
                <w:kern w:val="0"/>
                <w:sz w:val="24"/>
                <w:szCs w:val="24"/>
              </w:rPr>
              <w:t>Set policies &amp; rules</w:t>
            </w:r>
            <w:r w:rsidRPr="00BE6427">
              <w:rPr>
                <w:rFonts w:ascii="Times New Roman" w:eastAsia="Times New Roman" w:hAnsi="Times New Roman" w:cs="Times New Roman"/>
                <w:color w:val="000000"/>
                <w:kern w:val="0"/>
                <w:sz w:val="24"/>
                <w:szCs w:val="24"/>
              </w:rPr>
              <w:t>. StopBullying.gov. https://www.stopbullying.gov/prevention/rules</w:t>
            </w:r>
          </w:p>
        </w:tc>
      </w:tr>
    </w:tbl>
    <w:p w14:paraId="6FD2CDB9" w14:textId="77777777" w:rsidR="000A39E9" w:rsidRPr="00C83576" w:rsidRDefault="000A39E9">
      <w:pPr>
        <w:rPr>
          <w:rFonts w:ascii="Arial" w:hAnsi="Arial" w:cs="Arial"/>
        </w:rPr>
      </w:pPr>
    </w:p>
    <w:sectPr w:rsidR="000A39E9" w:rsidRPr="00C83576" w:rsidSect="00C83576">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E866" w14:textId="77777777" w:rsidR="008235D4" w:rsidRDefault="008235D4" w:rsidP="008235D4">
      <w:r>
        <w:separator/>
      </w:r>
    </w:p>
  </w:endnote>
  <w:endnote w:type="continuationSeparator" w:id="0">
    <w:p w14:paraId="1045D824" w14:textId="77777777" w:rsidR="008235D4" w:rsidRDefault="008235D4" w:rsidP="0082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2D98" w14:textId="0AD4A85C" w:rsidR="008235D4" w:rsidRDefault="008235D4" w:rsidP="008235D4">
    <w:pPr>
      <w:pStyle w:val="Footer"/>
      <w:jc w:val="right"/>
    </w:pPr>
    <w: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D348" w14:textId="77777777" w:rsidR="008235D4" w:rsidRDefault="008235D4" w:rsidP="008235D4">
      <w:r>
        <w:separator/>
      </w:r>
    </w:p>
  </w:footnote>
  <w:footnote w:type="continuationSeparator" w:id="0">
    <w:p w14:paraId="3994BFA7" w14:textId="77777777" w:rsidR="008235D4" w:rsidRDefault="008235D4" w:rsidP="00823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76"/>
    <w:rsid w:val="00056900"/>
    <w:rsid w:val="000A39E9"/>
    <w:rsid w:val="00160B69"/>
    <w:rsid w:val="001E774F"/>
    <w:rsid w:val="00205F35"/>
    <w:rsid w:val="002205DE"/>
    <w:rsid w:val="003353A3"/>
    <w:rsid w:val="00431DF2"/>
    <w:rsid w:val="00454AB4"/>
    <w:rsid w:val="004C44B9"/>
    <w:rsid w:val="005363FC"/>
    <w:rsid w:val="005F3E08"/>
    <w:rsid w:val="00600CE1"/>
    <w:rsid w:val="006867A3"/>
    <w:rsid w:val="00696AC9"/>
    <w:rsid w:val="006D2C01"/>
    <w:rsid w:val="007952C6"/>
    <w:rsid w:val="007C6CD4"/>
    <w:rsid w:val="007D7EF6"/>
    <w:rsid w:val="00810635"/>
    <w:rsid w:val="00816270"/>
    <w:rsid w:val="008235D4"/>
    <w:rsid w:val="008432E0"/>
    <w:rsid w:val="00855AB3"/>
    <w:rsid w:val="009278F0"/>
    <w:rsid w:val="00A605C9"/>
    <w:rsid w:val="00A7505B"/>
    <w:rsid w:val="00AB43C1"/>
    <w:rsid w:val="00AE574C"/>
    <w:rsid w:val="00B371D6"/>
    <w:rsid w:val="00B43907"/>
    <w:rsid w:val="00B57688"/>
    <w:rsid w:val="00BD2709"/>
    <w:rsid w:val="00BE6427"/>
    <w:rsid w:val="00C35878"/>
    <w:rsid w:val="00C83576"/>
    <w:rsid w:val="00CC4FD4"/>
    <w:rsid w:val="00E41C45"/>
    <w:rsid w:val="00FE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2065"/>
  <w15:chartTrackingRefBased/>
  <w15:docId w15:val="{FBAD25F3-6D3D-4013-8B3F-94E46421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576"/>
    <w:pPr>
      <w:spacing w:after="0" w:line="240" w:lineRule="auto"/>
      <w:contextualSpacing/>
    </w:pPr>
    <w:rPr>
      <w:color w:val="262626" w:themeColor="text1" w:themeTint="D9"/>
      <w:kern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F35"/>
    <w:rPr>
      <w:color w:val="0563C1"/>
      <w:u w:val="single"/>
    </w:rPr>
  </w:style>
  <w:style w:type="character" w:styleId="UnresolvedMention">
    <w:name w:val="Unresolved Mention"/>
    <w:basedOn w:val="DefaultParagraphFont"/>
    <w:uiPriority w:val="99"/>
    <w:semiHidden/>
    <w:unhideWhenUsed/>
    <w:rsid w:val="001E774F"/>
    <w:rPr>
      <w:color w:val="605E5C"/>
      <w:shd w:val="clear" w:color="auto" w:fill="E1DFDD"/>
    </w:rPr>
  </w:style>
  <w:style w:type="paragraph" w:styleId="Header">
    <w:name w:val="header"/>
    <w:basedOn w:val="Normal"/>
    <w:link w:val="HeaderChar"/>
    <w:uiPriority w:val="99"/>
    <w:unhideWhenUsed/>
    <w:rsid w:val="008235D4"/>
    <w:pPr>
      <w:tabs>
        <w:tab w:val="center" w:pos="4680"/>
        <w:tab w:val="right" w:pos="9360"/>
      </w:tabs>
    </w:pPr>
  </w:style>
  <w:style w:type="character" w:customStyle="1" w:styleId="HeaderChar">
    <w:name w:val="Header Char"/>
    <w:basedOn w:val="DefaultParagraphFont"/>
    <w:link w:val="Header"/>
    <w:uiPriority w:val="99"/>
    <w:rsid w:val="008235D4"/>
    <w:rPr>
      <w:color w:val="262626" w:themeColor="text1" w:themeTint="D9"/>
      <w:kern w:val="16"/>
    </w:rPr>
  </w:style>
  <w:style w:type="paragraph" w:styleId="Footer">
    <w:name w:val="footer"/>
    <w:basedOn w:val="Normal"/>
    <w:link w:val="FooterChar"/>
    <w:uiPriority w:val="99"/>
    <w:unhideWhenUsed/>
    <w:rsid w:val="008235D4"/>
    <w:pPr>
      <w:tabs>
        <w:tab w:val="center" w:pos="4680"/>
        <w:tab w:val="right" w:pos="9360"/>
      </w:tabs>
    </w:pPr>
  </w:style>
  <w:style w:type="character" w:customStyle="1" w:styleId="FooterChar">
    <w:name w:val="Footer Char"/>
    <w:basedOn w:val="DefaultParagraphFont"/>
    <w:link w:val="Footer"/>
    <w:uiPriority w:val="99"/>
    <w:rsid w:val="008235D4"/>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8342">
      <w:bodyDiv w:val="1"/>
      <w:marLeft w:val="0"/>
      <w:marRight w:val="0"/>
      <w:marTop w:val="0"/>
      <w:marBottom w:val="0"/>
      <w:divBdr>
        <w:top w:val="none" w:sz="0" w:space="0" w:color="auto"/>
        <w:left w:val="none" w:sz="0" w:space="0" w:color="auto"/>
        <w:bottom w:val="none" w:sz="0" w:space="0" w:color="auto"/>
        <w:right w:val="none" w:sz="0" w:space="0" w:color="auto"/>
      </w:divBdr>
    </w:div>
    <w:div w:id="767116802">
      <w:bodyDiv w:val="1"/>
      <w:marLeft w:val="0"/>
      <w:marRight w:val="0"/>
      <w:marTop w:val="0"/>
      <w:marBottom w:val="0"/>
      <w:divBdr>
        <w:top w:val="none" w:sz="0" w:space="0" w:color="auto"/>
        <w:left w:val="none" w:sz="0" w:space="0" w:color="auto"/>
        <w:bottom w:val="none" w:sz="0" w:space="0" w:color="auto"/>
        <w:right w:val="none" w:sz="0" w:space="0" w:color="auto"/>
      </w:divBdr>
    </w:div>
    <w:div w:id="792289257">
      <w:bodyDiv w:val="1"/>
      <w:marLeft w:val="0"/>
      <w:marRight w:val="0"/>
      <w:marTop w:val="0"/>
      <w:marBottom w:val="0"/>
      <w:divBdr>
        <w:top w:val="none" w:sz="0" w:space="0" w:color="auto"/>
        <w:left w:val="none" w:sz="0" w:space="0" w:color="auto"/>
        <w:bottom w:val="none" w:sz="0" w:space="0" w:color="auto"/>
        <w:right w:val="none" w:sz="0" w:space="0" w:color="auto"/>
      </w:divBdr>
    </w:div>
    <w:div w:id="1169518606">
      <w:bodyDiv w:val="1"/>
      <w:marLeft w:val="0"/>
      <w:marRight w:val="0"/>
      <w:marTop w:val="0"/>
      <w:marBottom w:val="0"/>
      <w:divBdr>
        <w:top w:val="none" w:sz="0" w:space="0" w:color="auto"/>
        <w:left w:val="none" w:sz="0" w:space="0" w:color="auto"/>
        <w:bottom w:val="none" w:sz="0" w:space="0" w:color="auto"/>
        <w:right w:val="none" w:sz="0" w:space="0" w:color="auto"/>
      </w:divBdr>
    </w:div>
    <w:div w:id="2072650628">
      <w:bodyDiv w:val="1"/>
      <w:marLeft w:val="0"/>
      <w:marRight w:val="0"/>
      <w:marTop w:val="0"/>
      <w:marBottom w:val="0"/>
      <w:divBdr>
        <w:top w:val="none" w:sz="0" w:space="0" w:color="auto"/>
        <w:left w:val="none" w:sz="0" w:space="0" w:color="auto"/>
        <w:bottom w:val="none" w:sz="0" w:space="0" w:color="auto"/>
        <w:right w:val="none" w:sz="0" w:space="0" w:color="auto"/>
      </w:divBdr>
    </w:div>
    <w:div w:id="20910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mtss/2022modelpolicy"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pacer.org/bullying/info/questions-answered/conflict-vs-bully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2401</Words>
  <Characters>13689</Characters>
  <Application>Microsoft Office Word</Application>
  <DocSecurity>0</DocSecurity>
  <Lines>114</Lines>
  <Paragraphs>32</Paragraphs>
  <ScaleCrop>false</ScaleCrop>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Adam</dc:creator>
  <cp:keywords/>
  <dc:description/>
  <cp:lastModifiedBy>Collins, Adam</cp:lastModifiedBy>
  <cp:revision>39</cp:revision>
  <cp:lastPrinted>2022-07-05T19:10:00Z</cp:lastPrinted>
  <dcterms:created xsi:type="dcterms:W3CDTF">2022-07-05T18:54:00Z</dcterms:created>
  <dcterms:modified xsi:type="dcterms:W3CDTF">2023-04-28T15:06:00Z</dcterms:modified>
</cp:coreProperties>
</file>