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A3F78" w14:textId="505B0004" w:rsidR="007818E3" w:rsidRDefault="007818E3" w:rsidP="007818E3">
      <w:pPr>
        <w:spacing w:after="600"/>
        <w:ind w:left="0"/>
      </w:pPr>
      <w:r w:rsidRPr="009F42B7">
        <w:rPr>
          <w:noProof/>
        </w:rPr>
        <w:drawing>
          <wp:inline distT="0" distB="0" distL="0" distR="0" wp14:anchorId="4E1C8593" wp14:editId="004F956F">
            <wp:extent cx="7315200" cy="805180"/>
            <wp:effectExtent l="0" t="0" r="0" b="0"/>
            <wp:docPr id="79749160" name="Picture 1"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4916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7315200" cy="805180"/>
                    </a:xfrm>
                    <a:prstGeom prst="rect">
                      <a:avLst/>
                    </a:prstGeom>
                  </pic:spPr>
                </pic:pic>
              </a:graphicData>
            </a:graphic>
          </wp:inline>
        </w:drawing>
      </w:r>
    </w:p>
    <w:p w14:paraId="1359BD3E" w14:textId="1DADF503" w:rsidR="007A0C15" w:rsidRPr="009F42B7" w:rsidRDefault="00900DA2" w:rsidP="00BA015A">
      <w:pPr>
        <w:pStyle w:val="Heading1"/>
        <w:spacing w:before="0" w:after="180"/>
      </w:pPr>
      <w:r>
        <w:t xml:space="preserve">Offered Services: </w:t>
      </w:r>
      <w:r w:rsidR="0084177E">
        <w:t>Connect for Success</w:t>
      </w:r>
    </w:p>
    <w:p w14:paraId="1105B09F" w14:textId="78C66DE1" w:rsidR="00271BD6" w:rsidRPr="00194D04" w:rsidRDefault="00155A5C" w:rsidP="004223A7">
      <w:pPr>
        <w:pStyle w:val="Heading2"/>
        <w:spacing w:after="0"/>
      </w:pPr>
      <w:r>
        <w:t>Introduction</w:t>
      </w:r>
    </w:p>
    <w:tbl>
      <w:tblPr>
        <w:tblStyle w:val="TableGrid"/>
        <w:tblpPr w:leftFromText="180" w:rightFromText="180" w:vertAnchor="text" w:horzAnchor="page" w:tblpX="7046" w:tblpY="-69"/>
        <w:tblW w:w="0" w:type="auto"/>
        <w:tblLook w:val="04A0" w:firstRow="1" w:lastRow="0" w:firstColumn="1" w:lastColumn="0" w:noHBand="0" w:noVBand="1"/>
        <w:tblCaption w:val="Program Contact"/>
        <w:tblDescription w:val="Laura Meushaw&#10;Supervisor of Program Implementation&#10;Federal Programs &amp; Supports&#10;(720) 728-9023&#10;Meushaw_M@cde.state.co.us&#10;and&#10;Christina Adeboye Sullivan&#10;Program Implementation Coordinator&#10;Federal Programs &amp; Supports&#10;(720) 498-2252&#10;Adeboye-Sullivan_C@cde.state.co.us&#10;"/>
      </w:tblPr>
      <w:tblGrid>
        <w:gridCol w:w="4754"/>
      </w:tblGrid>
      <w:tr w:rsidR="00900DA2" w14:paraId="6909585E" w14:textId="77777777" w:rsidTr="00DA1E51">
        <w:trPr>
          <w:trHeight w:val="272"/>
        </w:trPr>
        <w:tc>
          <w:tcPr>
            <w:tcW w:w="4754" w:type="dxa"/>
            <w:shd w:val="clear" w:color="auto" w:fill="C5D3FF"/>
          </w:tcPr>
          <w:p w14:paraId="4627342C" w14:textId="77777777" w:rsidR="00900DA2" w:rsidRPr="007D29B7" w:rsidRDefault="00900DA2" w:rsidP="004223A7">
            <w:pPr>
              <w:ind w:left="0"/>
              <w:jc w:val="center"/>
              <w:rPr>
                <w:b/>
                <w:bCs/>
              </w:rPr>
            </w:pPr>
            <w:r w:rsidRPr="007D29B7">
              <w:rPr>
                <w:b/>
                <w:bCs/>
              </w:rPr>
              <w:t>Program Contact</w:t>
            </w:r>
          </w:p>
        </w:tc>
      </w:tr>
      <w:tr w:rsidR="00900DA2" w14:paraId="73653308" w14:textId="77777777" w:rsidTr="0084177E">
        <w:trPr>
          <w:trHeight w:val="3200"/>
        </w:trPr>
        <w:tc>
          <w:tcPr>
            <w:tcW w:w="4754" w:type="dxa"/>
          </w:tcPr>
          <w:p w14:paraId="26900CEE" w14:textId="287DE9A1" w:rsidR="00900DA2" w:rsidRPr="00900DA2" w:rsidRDefault="008E090B" w:rsidP="004223A7">
            <w:pPr>
              <w:ind w:left="0"/>
              <w:rPr>
                <w:b/>
                <w:bCs/>
              </w:rPr>
            </w:pPr>
            <w:r>
              <w:rPr>
                <w:b/>
                <w:bCs/>
              </w:rPr>
              <w:t>Laura Meushaw</w:t>
            </w:r>
          </w:p>
          <w:p w14:paraId="3F74679E" w14:textId="0F10645E" w:rsidR="00900DA2" w:rsidRDefault="008E090B" w:rsidP="004223A7">
            <w:pPr>
              <w:ind w:left="0"/>
            </w:pPr>
            <w:r>
              <w:t>Supervisor of Program Implementation</w:t>
            </w:r>
          </w:p>
          <w:p w14:paraId="78D5645F" w14:textId="23A99D2E" w:rsidR="008E090B" w:rsidRDefault="008E090B" w:rsidP="004223A7">
            <w:pPr>
              <w:ind w:left="0"/>
            </w:pPr>
            <w:r>
              <w:t>Federal Programs &amp; Supports</w:t>
            </w:r>
          </w:p>
          <w:p w14:paraId="6FB7DFA7" w14:textId="3D505D29" w:rsidR="00900DA2" w:rsidRPr="007D29B7" w:rsidRDefault="008E090B" w:rsidP="004223A7">
            <w:pPr>
              <w:ind w:left="0"/>
            </w:pPr>
            <w:r>
              <w:t>(720) 728-9023</w:t>
            </w:r>
          </w:p>
          <w:p w14:paraId="11F45848" w14:textId="08F1B42E" w:rsidR="00900DA2" w:rsidRPr="0084177E" w:rsidRDefault="008E090B" w:rsidP="0084177E">
            <w:pPr>
              <w:pStyle w:val="URL"/>
              <w:framePr w:hSpace="0" w:wrap="auto" w:vAnchor="margin" w:hAnchor="text" w:xAlign="left" w:yAlign="inline"/>
            </w:pPr>
            <w:hyperlink r:id="rId8" w:history="1">
              <w:r w:rsidRPr="0084177E">
                <w:rPr>
                  <w:rStyle w:val="Hyperlink"/>
                  <w:color w:val="215E99" w:themeColor="text2" w:themeTint="BF"/>
                </w:rPr>
                <w:t>Meushaw_M@cde.state.co.us</w:t>
              </w:r>
            </w:hyperlink>
          </w:p>
          <w:p w14:paraId="0B79CD6D" w14:textId="77777777" w:rsidR="0084177E" w:rsidRDefault="0084177E" w:rsidP="004223A7">
            <w:pPr>
              <w:pStyle w:val="URL"/>
              <w:framePr w:hSpace="0" w:wrap="auto" w:vAnchor="margin" w:hAnchor="text" w:xAlign="left" w:yAlign="inline"/>
            </w:pPr>
          </w:p>
          <w:p w14:paraId="27F52D2B" w14:textId="468BD916" w:rsidR="0084177E" w:rsidRPr="0084177E" w:rsidRDefault="0084177E" w:rsidP="0084177E">
            <w:pPr>
              <w:ind w:left="0"/>
              <w:rPr>
                <w:b/>
                <w:bCs/>
              </w:rPr>
            </w:pPr>
            <w:r w:rsidRPr="0084177E">
              <w:rPr>
                <w:b/>
                <w:bCs/>
              </w:rPr>
              <w:t>Christina Adeboye Sullivan</w:t>
            </w:r>
          </w:p>
          <w:p w14:paraId="5F487206" w14:textId="24042D4B" w:rsidR="0084177E" w:rsidRDefault="0084177E" w:rsidP="0084177E">
            <w:pPr>
              <w:ind w:left="0"/>
            </w:pPr>
            <w:r>
              <w:t>Program Implementation Coordinator</w:t>
            </w:r>
          </w:p>
          <w:p w14:paraId="73E9229D" w14:textId="3C25E50F" w:rsidR="0084177E" w:rsidRDefault="0084177E" w:rsidP="0084177E">
            <w:pPr>
              <w:ind w:left="0"/>
            </w:pPr>
            <w:r>
              <w:t>Federal Programs &amp; Supports</w:t>
            </w:r>
          </w:p>
          <w:p w14:paraId="3AB75A97" w14:textId="150D60E2" w:rsidR="0084177E" w:rsidRDefault="0084177E" w:rsidP="0084177E">
            <w:pPr>
              <w:ind w:left="0"/>
            </w:pPr>
            <w:r>
              <w:t>(720) 498-2252</w:t>
            </w:r>
          </w:p>
          <w:p w14:paraId="6BA94FCC" w14:textId="555628CA" w:rsidR="0084177E" w:rsidRDefault="0084177E" w:rsidP="0084177E">
            <w:pPr>
              <w:pStyle w:val="URL"/>
              <w:framePr w:hSpace="0" w:wrap="auto" w:vAnchor="margin" w:hAnchor="text" w:xAlign="left" w:yAlign="inline"/>
            </w:pPr>
            <w:r>
              <w:t>A</w:t>
            </w:r>
            <w:r w:rsidRPr="0084177E">
              <w:t>deboye-</w:t>
            </w:r>
            <w:r>
              <w:t>S</w:t>
            </w:r>
            <w:r w:rsidRPr="0084177E">
              <w:t>ullivan_</w:t>
            </w:r>
            <w:r>
              <w:t>C</w:t>
            </w:r>
            <w:r w:rsidRPr="0084177E">
              <w:t>@cde.state.co.us</w:t>
            </w:r>
          </w:p>
          <w:p w14:paraId="7C0BFFE7" w14:textId="33B7F1E0" w:rsidR="00900DA2" w:rsidRDefault="00900DA2" w:rsidP="004223A7">
            <w:pPr>
              <w:pStyle w:val="URL"/>
              <w:framePr w:hSpace="0" w:wrap="auto" w:vAnchor="margin" w:hAnchor="text" w:xAlign="left" w:yAlign="inline"/>
            </w:pPr>
          </w:p>
        </w:tc>
      </w:tr>
    </w:tbl>
    <w:p w14:paraId="23A96AF4" w14:textId="77777777" w:rsidR="007376E1" w:rsidRPr="00A06241" w:rsidRDefault="007376E1" w:rsidP="007376E1">
      <w:pPr>
        <w:spacing w:line="256" w:lineRule="auto"/>
        <w:rPr>
          <w:color w:val="000000" w:themeColor="text1"/>
        </w:rPr>
      </w:pPr>
      <w:r w:rsidRPr="15D354DC">
        <w:rPr>
          <w:color w:val="000000" w:themeColor="text1"/>
        </w:rPr>
        <w:t xml:space="preserve">The Connect for Success (CFS) grant was the result of a 2014 Colorado Department of Education (CDE) study of five high achieving elementary schools identified based on their overall performance, as well as the performance of their student groups, specifically English Learners, students with disabilities, students experiencing poverty, and minority students. The study focused on how these schools are attaining higher academic achievement than other schools in the state. The school and LEA leadership, personnel, families, and students participated in surveys, focus groups, and interviews to help identify the factors contributing to the schools' success with the identified groups. The following </w:t>
      </w:r>
      <w:hyperlink r:id="rId9">
        <w:r w:rsidRPr="0072090C">
          <w:rPr>
            <w:rStyle w:val="URLChar"/>
          </w:rPr>
          <w:t>High Achieving Schools (HAS) Study</w:t>
        </w:r>
      </w:hyperlink>
      <w:r w:rsidRPr="00A06241">
        <w:rPr>
          <w:color w:val="000000" w:themeColor="text1"/>
        </w:rPr>
        <w:t xml:space="preserve"> summarizes the study purpose and methods, overall findings highlighting effective strategies common across the five schools in the 2014 study, and effective strategies unique within each school:</w:t>
      </w:r>
      <w:r w:rsidRPr="0072090C">
        <w:rPr>
          <w:rStyle w:val="URLChar"/>
        </w:rPr>
        <w:t xml:space="preserve"> </w:t>
      </w:r>
      <w:hyperlink r:id="rId10">
        <w:r w:rsidRPr="0072090C">
          <w:rPr>
            <w:rStyle w:val="URLChar"/>
          </w:rPr>
          <w:t>www.cde.state.co.us/fedprograms/dper/evalrpts</w:t>
        </w:r>
      </w:hyperlink>
      <w:r w:rsidRPr="000F3625">
        <w:rPr>
          <w:b/>
          <w:bCs/>
          <w:color w:val="0E2841" w:themeColor="text2"/>
        </w:rPr>
        <w:t>.</w:t>
      </w:r>
      <w:r w:rsidRPr="000F3625">
        <w:rPr>
          <w:color w:val="0E2841" w:themeColor="text2"/>
        </w:rPr>
        <w:t xml:space="preserve"> </w:t>
      </w:r>
    </w:p>
    <w:p w14:paraId="19048F81" w14:textId="2682BB07" w:rsidR="007376E1" w:rsidRDefault="007376E1" w:rsidP="007376E1">
      <w:pPr>
        <w:spacing w:line="256" w:lineRule="auto"/>
        <w:rPr>
          <w:color w:val="000000"/>
        </w:rPr>
      </w:pPr>
      <w:r w:rsidRPr="15D354DC">
        <w:rPr>
          <w:color w:val="000000" w:themeColor="text1"/>
        </w:rPr>
        <w:t xml:space="preserve">In 2018, CDE added four new high achieving schools to the study: a rural elementary school, a middle school, a high school, and an alternative education campus (AEC). The same methodology was used to identify practices that are contributing to the success of the newly identified schools. Although three of the four schools were secondary schools, many of the same trends were noted across the second round of </w:t>
      </w:r>
      <w:r w:rsidR="00C658D5">
        <w:rPr>
          <w:color w:val="000000" w:themeColor="text1"/>
        </w:rPr>
        <w:t>H</w:t>
      </w:r>
      <w:r w:rsidRPr="15D354DC">
        <w:rPr>
          <w:color w:val="000000" w:themeColor="text1"/>
        </w:rPr>
        <w:t xml:space="preserve">igh </w:t>
      </w:r>
      <w:r w:rsidR="00C658D5">
        <w:rPr>
          <w:color w:val="000000" w:themeColor="text1"/>
        </w:rPr>
        <w:t>A</w:t>
      </w:r>
      <w:r w:rsidRPr="15D354DC">
        <w:rPr>
          <w:color w:val="000000" w:themeColor="text1"/>
        </w:rPr>
        <w:t xml:space="preserve">chieving </w:t>
      </w:r>
      <w:r w:rsidR="00C658D5">
        <w:rPr>
          <w:color w:val="000000" w:themeColor="text1"/>
        </w:rPr>
        <w:t>S</w:t>
      </w:r>
      <w:r w:rsidRPr="15D354DC">
        <w:rPr>
          <w:color w:val="000000" w:themeColor="text1"/>
        </w:rPr>
        <w:t>chools as has been evidenced in the first study. CDE is in the process updating the HAS study and historical and any new related reports will be posted on Federal Programs- Program Evaluations and Analyses website (</w:t>
      </w:r>
      <w:hyperlink r:id="rId11">
        <w:r w:rsidRPr="0072090C">
          <w:rPr>
            <w:rStyle w:val="URLChar"/>
          </w:rPr>
          <w:t>www.cde.state.co.us/fedprograms/dper/evalrpts</w:t>
        </w:r>
      </w:hyperlink>
      <w:r w:rsidRPr="15D354DC">
        <w:rPr>
          <w:color w:val="000000" w:themeColor="text1"/>
        </w:rPr>
        <w:t>).</w:t>
      </w:r>
    </w:p>
    <w:p w14:paraId="4EEE3664" w14:textId="1B0FF8F5" w:rsidR="007376E1" w:rsidRDefault="007376E1" w:rsidP="007376E1">
      <w:pPr>
        <w:spacing w:line="256" w:lineRule="auto"/>
      </w:pPr>
      <w:r w:rsidRPr="15D354DC">
        <w:rPr>
          <w:color w:val="000000" w:themeColor="text1"/>
        </w:rPr>
        <w:t xml:space="preserve">The CFS grant is an opportunity for eligible schools to connect with and learn from the HAS effective practices and strategies. Schools that participate in the Connect for Success grant receive a diagnostic visit and a report that includes recommendations from a CDE team based on the findings of the HAS study. After hearing a panel of HAS school leaders and connecting with them at a kickoff meeting, grantees visit one of the HAS to see the effective practices in person. Schools identify and/or hire an implementation coach who works with a CDE Implementation Manager to replicate HAS strategies as well as monitor the implementation of those practices. </w:t>
      </w:r>
    </w:p>
    <w:p w14:paraId="34CE0941" w14:textId="56351EDF" w:rsidR="00900DA2" w:rsidRPr="00900DA2" w:rsidRDefault="00900DA2" w:rsidP="004223A7">
      <w:pPr>
        <w:pStyle w:val="Heading2"/>
      </w:pPr>
      <w:r w:rsidRPr="00900DA2">
        <w:t>Eligibility &amp; Prioritization</w:t>
      </w:r>
    </w:p>
    <w:p w14:paraId="20A3316A" w14:textId="77777777" w:rsidR="00C1416F" w:rsidRDefault="00900DA2" w:rsidP="00C1416F">
      <w:pPr>
        <w:pBdr>
          <w:top w:val="nil"/>
          <w:left w:val="nil"/>
          <w:bottom w:val="nil"/>
          <w:right w:val="nil"/>
          <w:between w:val="nil"/>
        </w:pBdr>
      </w:pPr>
      <w:r w:rsidRPr="00900DA2">
        <w:rPr>
          <w:rStyle w:val="Heading3Char"/>
        </w:rPr>
        <w:t>Eligibility.</w:t>
      </w:r>
      <w:r>
        <w:t xml:space="preserve"> </w:t>
      </w:r>
      <w:r w:rsidR="00C1416F">
        <w:rPr>
          <w:color w:val="000000"/>
        </w:rPr>
        <w:t>Schools that meet the following criteria are eligible to apply:</w:t>
      </w:r>
    </w:p>
    <w:p w14:paraId="2FAB6C80" w14:textId="77777777" w:rsidR="00C1416F" w:rsidRDefault="00C1416F" w:rsidP="00C1416F">
      <w:pPr>
        <w:pStyle w:val="ListParagraph"/>
        <w:numPr>
          <w:ilvl w:val="0"/>
          <w:numId w:val="19"/>
        </w:numPr>
        <w:pBdr>
          <w:top w:val="nil"/>
          <w:left w:val="nil"/>
          <w:bottom w:val="nil"/>
          <w:right w:val="nil"/>
          <w:between w:val="nil"/>
        </w:pBdr>
        <w:spacing w:after="0"/>
        <w:ind w:right="0"/>
      </w:pPr>
      <w:r>
        <w:t>S</w:t>
      </w:r>
      <w:r w:rsidRPr="00F62465">
        <w:t>chools identified for improvement under ESSA</w:t>
      </w:r>
      <w:r>
        <w:t xml:space="preserve"> as </w:t>
      </w:r>
      <w:r w:rsidRPr="00F62465">
        <w:t>Comprehensive</w:t>
      </w:r>
      <w:r>
        <w:t xml:space="preserve"> Support (CS)</w:t>
      </w:r>
      <w:r w:rsidRPr="00F62465">
        <w:t>, Targeted</w:t>
      </w:r>
      <w:r>
        <w:t xml:space="preserve"> Support (TS)</w:t>
      </w:r>
      <w:r w:rsidRPr="00F62465">
        <w:t>,</w:t>
      </w:r>
      <w:r>
        <w:t xml:space="preserve"> or </w:t>
      </w:r>
      <w:r w:rsidRPr="00F62465">
        <w:t>Additional Targeted</w:t>
      </w:r>
      <w:r>
        <w:t xml:space="preserve"> Support (ATS); </w:t>
      </w:r>
      <w:r w:rsidRPr="00F62465">
        <w:t>and/or</w:t>
      </w:r>
    </w:p>
    <w:p w14:paraId="5E6E3ECB" w14:textId="77777777" w:rsidR="00C1416F" w:rsidRDefault="00C1416F" w:rsidP="00C1416F">
      <w:pPr>
        <w:pStyle w:val="ListParagraph"/>
        <w:numPr>
          <w:ilvl w:val="0"/>
          <w:numId w:val="19"/>
        </w:numPr>
        <w:pBdr>
          <w:top w:val="nil"/>
          <w:left w:val="nil"/>
          <w:bottom w:val="nil"/>
          <w:right w:val="nil"/>
          <w:between w:val="nil"/>
        </w:pBdr>
        <w:spacing w:after="0"/>
        <w:ind w:right="0"/>
      </w:pPr>
      <w:r>
        <w:lastRenderedPageBreak/>
        <w:t>S</w:t>
      </w:r>
      <w:r w:rsidRPr="00F62465">
        <w:t xml:space="preserve">chools with a </w:t>
      </w:r>
      <w:r>
        <w:t>s</w:t>
      </w:r>
      <w:r w:rsidRPr="00F62465">
        <w:t xml:space="preserve">tate identification </w:t>
      </w:r>
      <w:r>
        <w:t xml:space="preserve">School Performance Framework plan type </w:t>
      </w:r>
      <w:r w:rsidRPr="00F62465">
        <w:t>of Priority Improvement, Turnaround, or On Watch</w:t>
      </w:r>
    </w:p>
    <w:p w14:paraId="0C297033" w14:textId="77777777" w:rsidR="00531410" w:rsidRDefault="00531410" w:rsidP="00531410">
      <w:pPr>
        <w:pStyle w:val="ListParagraph"/>
        <w:pBdr>
          <w:top w:val="nil"/>
          <w:left w:val="nil"/>
          <w:bottom w:val="nil"/>
          <w:right w:val="nil"/>
          <w:between w:val="nil"/>
        </w:pBdr>
        <w:spacing w:after="0"/>
        <w:ind w:left="1080" w:right="0"/>
      </w:pPr>
    </w:p>
    <w:p w14:paraId="2A01C6F4" w14:textId="6DBF99B8" w:rsidR="00900DA2" w:rsidRDefault="00900DA2" w:rsidP="00C1416F">
      <w:pPr>
        <w:pBdr>
          <w:top w:val="nil"/>
          <w:left w:val="nil"/>
          <w:bottom w:val="nil"/>
          <w:right w:val="nil"/>
          <w:between w:val="nil"/>
        </w:pBdr>
        <w:spacing w:after="180"/>
      </w:pPr>
      <w:r w:rsidRPr="00900DA2">
        <w:rPr>
          <w:rStyle w:val="Heading3Char"/>
        </w:rPr>
        <w:t>Prioritization.</w:t>
      </w:r>
      <w:r>
        <w:t xml:space="preserve"> If not all EASI proposals can be funded, proposals that meet grant expectations will be funded in the order of the EASI school-level prioritization list. Schools with the highest number of prioritization points will be funded first. Details on how prioritization points are calculated and the points for each EASI eligible school are available on the </w:t>
      </w:r>
      <w:hyperlink r:id="rId12" w:history="1">
        <w:r w:rsidRPr="00CD1C49">
          <w:rPr>
            <w:rStyle w:val="Hyperlink"/>
            <w:bCs/>
            <w:color w:val="0E2841" w:themeColor="text2"/>
          </w:rPr>
          <w:t>EASI Resources and Technical Assistance</w:t>
        </w:r>
      </w:hyperlink>
      <w:r w:rsidRPr="009D45B1">
        <w:rPr>
          <w:color w:val="0F4761" w:themeColor="accent1" w:themeShade="BF"/>
        </w:rPr>
        <w:t xml:space="preserve"> </w:t>
      </w:r>
      <w:r>
        <w:t>webpage.</w:t>
      </w:r>
    </w:p>
    <w:p w14:paraId="4AF90EBC" w14:textId="2E9A1BC1" w:rsidR="00D81A2C" w:rsidRDefault="00D81A2C" w:rsidP="00D81A2C">
      <w:pPr>
        <w:spacing w:line="259" w:lineRule="auto"/>
      </w:pPr>
      <w:r>
        <w:rPr>
          <w:rStyle w:val="Heading3Char"/>
        </w:rPr>
        <w:t xml:space="preserve">Service Capacity </w:t>
      </w:r>
      <w:r w:rsidRPr="1DBAD3B4">
        <w:rPr>
          <w:rStyle w:val="Heading3Char"/>
        </w:rPr>
        <w:t>Limitations.</w:t>
      </w:r>
      <w:r>
        <w:t xml:space="preserve"> Connect for Success is a direct CDE support, and the number of new schools awarded each grant cycle may be limited due to CDE staff capacity. Connect for Success’s service capacity is based on several factors including CDE staffing, number of active school sites from prior cohorts, level of need at each site, and number of schools in each geographic region with available staff. If not all EASI proposals for Connect for Success can be supported, prioritization points and service capacity in a single district or region may be considered. </w:t>
      </w:r>
    </w:p>
    <w:p w14:paraId="55F3FD45" w14:textId="77777777" w:rsidR="00900DA2" w:rsidRPr="00C51FA4" w:rsidRDefault="00900DA2" w:rsidP="004223A7">
      <w:pPr>
        <w:pStyle w:val="Heading2"/>
      </w:pPr>
      <w:bookmarkStart w:id="0" w:name="_heading=h.vehsis26ztl0" w:colFirst="0" w:colLast="0"/>
      <w:bookmarkEnd w:id="0"/>
      <w:r w:rsidRPr="00C51FA4">
        <w:t>Program Considerations &amp; Fit</w:t>
      </w:r>
    </w:p>
    <w:p w14:paraId="1375580C" w14:textId="77777777" w:rsidR="001C67AF" w:rsidRDefault="00900DA2" w:rsidP="004223A7">
      <w:pPr>
        <w:spacing w:after="180"/>
      </w:pPr>
      <w:r w:rsidRPr="00B3121D">
        <w:rPr>
          <w:rStyle w:val="Heading3Char"/>
        </w:rPr>
        <w:t>Program Considerations</w:t>
      </w:r>
      <w:r w:rsidRPr="00B3121D">
        <w:t xml:space="preserve">. </w:t>
      </w:r>
      <w:r w:rsidR="001C67AF">
        <w:t xml:space="preserve">Schools should demonstrate readiness and willingness to rethink current strategies and practice with those of HAS. </w:t>
      </w:r>
    </w:p>
    <w:p w14:paraId="57EB709B" w14:textId="77777777" w:rsidR="000C6DB0" w:rsidRDefault="00900DA2" w:rsidP="000C6DB0">
      <w:r w:rsidRPr="00B3121D">
        <w:rPr>
          <w:rStyle w:val="Heading3Char"/>
        </w:rPr>
        <w:t>Program Fit</w:t>
      </w:r>
      <w:r w:rsidRPr="00B3121D">
        <w:t xml:space="preserve">. </w:t>
      </w:r>
      <w:r w:rsidR="000C6DB0">
        <w:t>Connect for Success is a good fit with current or potentially new EASI supports including School Turnaround Leadership Development or Facilitated Board Training for School Improvement. Connect for Success is not a good fit for schools that:</w:t>
      </w:r>
    </w:p>
    <w:p w14:paraId="7E4BCD5C" w14:textId="77777777" w:rsidR="000C6DB0" w:rsidRDefault="000C6DB0" w:rsidP="000C6DB0">
      <w:pPr>
        <w:pStyle w:val="ListParagraph"/>
        <w:numPr>
          <w:ilvl w:val="0"/>
          <w:numId w:val="21"/>
        </w:numPr>
        <w:spacing w:after="0"/>
        <w:ind w:right="0"/>
      </w:pPr>
      <w:r>
        <w:t>Schools who completed Exploration Supports in the last two years;</w:t>
      </w:r>
    </w:p>
    <w:p w14:paraId="3D124792" w14:textId="5B280363" w:rsidR="000C6DB0" w:rsidRDefault="000C6DB0" w:rsidP="000C6DB0">
      <w:pPr>
        <w:pStyle w:val="ListParagraph"/>
        <w:numPr>
          <w:ilvl w:val="0"/>
          <w:numId w:val="21"/>
        </w:numPr>
        <w:spacing w:after="0"/>
        <w:ind w:right="0"/>
      </w:pPr>
      <w:r>
        <w:t xml:space="preserve">Schools currently supported by Accountability Pathways or in Year </w:t>
      </w:r>
      <w:r w:rsidR="00A83E72">
        <w:t>3</w:t>
      </w:r>
      <w:r>
        <w:t xml:space="preserve"> or later on the state Accountability Clock;</w:t>
      </w:r>
    </w:p>
    <w:p w14:paraId="01507D57" w14:textId="77777777" w:rsidR="000C6DB0" w:rsidRDefault="000C6DB0" w:rsidP="000C6DB0">
      <w:pPr>
        <w:pStyle w:val="ListParagraph"/>
        <w:numPr>
          <w:ilvl w:val="0"/>
          <w:numId w:val="21"/>
        </w:numPr>
        <w:spacing w:after="0"/>
        <w:ind w:right="0"/>
      </w:pPr>
      <w:r>
        <w:t>Schools who are currently supported by or recently completed (last two years) Transformation Network; or</w:t>
      </w:r>
    </w:p>
    <w:p w14:paraId="0E1CDB29" w14:textId="77777777" w:rsidR="00D244E4" w:rsidRDefault="000C6DB0" w:rsidP="00D244E4">
      <w:pPr>
        <w:pStyle w:val="ListParagraph"/>
        <w:numPr>
          <w:ilvl w:val="0"/>
          <w:numId w:val="21"/>
        </w:numPr>
        <w:spacing w:after="0"/>
        <w:ind w:right="0"/>
      </w:pPr>
      <w:r>
        <w:t xml:space="preserve">Online schools </w:t>
      </w:r>
      <w:r w:rsidR="00D244E4">
        <w:t>or other schools with unique program models</w:t>
      </w:r>
    </w:p>
    <w:p w14:paraId="185D1577" w14:textId="0A76E431" w:rsidR="00900DA2" w:rsidRPr="00A11331" w:rsidRDefault="00900DA2" w:rsidP="00D244E4">
      <w:pPr>
        <w:pStyle w:val="Heading2"/>
      </w:pPr>
      <w:r w:rsidRPr="00A11331">
        <w:t>Sequence of Program Support</w:t>
      </w:r>
    </w:p>
    <w:p w14:paraId="21757EEC" w14:textId="77777777" w:rsidR="000657C1" w:rsidRDefault="000657C1" w:rsidP="000657C1">
      <w:r>
        <w:t>The sequence of the work is informed by the school visit and subsequent diagnostic review. In partnership with CDE, schools will then prioritize areas for improvement, develop an implementation plan, monitor plan using a CFS progress monitoring tool and build upon improvement efforts through High Achieving School visits.</w:t>
      </w:r>
    </w:p>
    <w:p w14:paraId="02050B60" w14:textId="77777777" w:rsidR="001A571F" w:rsidRPr="00FE4317" w:rsidRDefault="001A571F" w:rsidP="001A571F">
      <w:pPr>
        <w:pStyle w:val="Heading2"/>
        <w:spacing w:before="0"/>
        <w:rPr>
          <w:rStyle w:val="Heading3Char"/>
          <w:rFonts w:eastAsia="Calibri"/>
          <w:b/>
          <w:i/>
          <w:szCs w:val="26"/>
        </w:rPr>
      </w:pPr>
      <w:r>
        <w:rPr>
          <w:rFonts w:eastAsia="Calibri" w:cs="Calibri"/>
        </w:rPr>
        <w:t xml:space="preserve">Available Funds &amp; Duration </w:t>
      </w:r>
    </w:p>
    <w:p w14:paraId="16921FB2" w14:textId="77777777" w:rsidR="001A571F" w:rsidRDefault="001A571F" w:rsidP="001A571F">
      <w:r w:rsidRPr="004B6DFF">
        <w:rPr>
          <w:rStyle w:val="Heading3Char"/>
        </w:rPr>
        <w:t>Available Funds.</w:t>
      </w:r>
      <w:r>
        <w:rPr>
          <w:color w:val="000000"/>
        </w:rPr>
        <w:t xml:space="preserve"> </w:t>
      </w:r>
      <w:r>
        <w:t xml:space="preserve">Applicants may request up to the maximum award amount for a school. Award may be:  </w:t>
      </w:r>
    </w:p>
    <w:p w14:paraId="7ED69D85" w14:textId="381987BF" w:rsidR="001A571F" w:rsidRDefault="001A571F" w:rsidP="001A571F">
      <w:pPr>
        <w:pStyle w:val="ListParagraph"/>
        <w:numPr>
          <w:ilvl w:val="0"/>
          <w:numId w:val="24"/>
        </w:numPr>
        <w:spacing w:after="0"/>
        <w:ind w:right="0"/>
      </w:pPr>
      <w:r>
        <w:t>Up to $20,000 per school in Year 1 (2025-26)</w:t>
      </w:r>
    </w:p>
    <w:p w14:paraId="0A65EE75" w14:textId="166A2E35" w:rsidR="001A571F" w:rsidRDefault="001A571F" w:rsidP="001A571F">
      <w:pPr>
        <w:pStyle w:val="ListParagraph"/>
        <w:numPr>
          <w:ilvl w:val="0"/>
          <w:numId w:val="24"/>
        </w:numPr>
        <w:spacing w:after="0"/>
        <w:ind w:right="0"/>
      </w:pPr>
      <w:r>
        <w:t>Up to $80,000 per school in Year 2 (2026-27)</w:t>
      </w:r>
    </w:p>
    <w:p w14:paraId="0379AACA" w14:textId="42AFE543" w:rsidR="001A571F" w:rsidRDefault="001A571F" w:rsidP="001A571F">
      <w:pPr>
        <w:pStyle w:val="ListParagraph"/>
        <w:numPr>
          <w:ilvl w:val="0"/>
          <w:numId w:val="24"/>
        </w:numPr>
        <w:spacing w:after="0"/>
        <w:ind w:right="0"/>
      </w:pPr>
      <w:r>
        <w:t>Up to $80,000 per school in Year 3 (2027-28)</w:t>
      </w:r>
    </w:p>
    <w:p w14:paraId="6D99C845" w14:textId="02B6105D" w:rsidR="001A571F" w:rsidRDefault="001A571F" w:rsidP="001A571F">
      <w:pPr>
        <w:pStyle w:val="Heading3"/>
        <w:rPr>
          <w:rFonts w:asciiTheme="minorHAnsi" w:hAnsiTheme="minorHAnsi" w:cstheme="minorHAnsi"/>
          <w:b w:val="0"/>
          <w:bCs w:val="0"/>
          <w:i/>
          <w:iCs/>
          <w:sz w:val="22"/>
          <w:szCs w:val="22"/>
        </w:rPr>
      </w:pPr>
      <w:r>
        <w:t xml:space="preserve">Duration. </w:t>
      </w:r>
      <w:r w:rsidRPr="00F3199B">
        <w:rPr>
          <w:b w:val="0"/>
          <w:bCs w:val="0"/>
        </w:rPr>
        <w:t>Program support is designed to support schools for a period of 2.5 years (202</w:t>
      </w:r>
      <w:r w:rsidR="00FA29BB">
        <w:rPr>
          <w:b w:val="0"/>
          <w:bCs w:val="0"/>
        </w:rPr>
        <w:t>5</w:t>
      </w:r>
      <w:r w:rsidRPr="00F3199B">
        <w:rPr>
          <w:b w:val="0"/>
          <w:bCs w:val="0"/>
        </w:rPr>
        <w:t>-2</w:t>
      </w:r>
      <w:r w:rsidR="00FA29BB">
        <w:rPr>
          <w:b w:val="0"/>
          <w:bCs w:val="0"/>
        </w:rPr>
        <w:t>6</w:t>
      </w:r>
      <w:r w:rsidRPr="00F3199B">
        <w:rPr>
          <w:b w:val="0"/>
          <w:bCs w:val="0"/>
        </w:rPr>
        <w:t xml:space="preserve"> to 202</w:t>
      </w:r>
      <w:r w:rsidR="00FA29BB">
        <w:rPr>
          <w:b w:val="0"/>
          <w:bCs w:val="0"/>
        </w:rPr>
        <w:t>7</w:t>
      </w:r>
      <w:r w:rsidRPr="00F3199B">
        <w:rPr>
          <w:b w:val="0"/>
          <w:bCs w:val="0"/>
        </w:rPr>
        <w:t>-2</w:t>
      </w:r>
      <w:r w:rsidR="00FA29BB">
        <w:rPr>
          <w:b w:val="0"/>
          <w:bCs w:val="0"/>
        </w:rPr>
        <w:t>8</w:t>
      </w:r>
      <w:r w:rsidRPr="00F3199B">
        <w:rPr>
          <w:b w:val="0"/>
          <w:bCs w:val="0"/>
        </w:rPr>
        <w:t>).</w:t>
      </w:r>
    </w:p>
    <w:p w14:paraId="0E3A12A6" w14:textId="27367C07" w:rsidR="00227030" w:rsidRPr="001724C5" w:rsidRDefault="00227030" w:rsidP="00227030">
      <w:pPr>
        <w:rPr>
          <w:color w:val="000000"/>
        </w:rPr>
      </w:pPr>
      <w:r w:rsidRPr="00A956BE">
        <w:rPr>
          <w:rStyle w:val="Heading3Char"/>
        </w:rPr>
        <w:t>Budget Recommendations.</w:t>
      </w:r>
      <w:r>
        <w:t xml:space="preserve"> </w:t>
      </w:r>
      <w:r>
        <w:rPr>
          <w:color w:val="000000"/>
          <w:highlight w:val="white"/>
        </w:rPr>
        <w:t xml:space="preserve">A budget and plan will be jointly developed with CDE following the spring site visit and diagnostic review. </w:t>
      </w:r>
      <w:r>
        <w:t xml:space="preserve">For the application submission, </w:t>
      </w:r>
      <w:r w:rsidR="008C3041">
        <w:t xml:space="preserve">the budget should </w:t>
      </w:r>
      <w:r w:rsidR="003C1BAE">
        <w:t>placeholder budget lines for each fiscal year as outlined below</w:t>
      </w:r>
      <w:r>
        <w:t>:</w:t>
      </w:r>
    </w:p>
    <w:p w14:paraId="64EA33A8" w14:textId="532F5DEF" w:rsidR="00227030" w:rsidRDefault="00227030" w:rsidP="00685EB6">
      <w:pPr>
        <w:pStyle w:val="ListParagraph"/>
        <w:numPr>
          <w:ilvl w:val="0"/>
          <w:numId w:val="28"/>
        </w:numPr>
        <w:pBdr>
          <w:top w:val="nil"/>
          <w:left w:val="nil"/>
          <w:bottom w:val="nil"/>
          <w:right w:val="nil"/>
          <w:between w:val="nil"/>
        </w:pBdr>
        <w:spacing w:after="0"/>
        <w:ind w:right="0"/>
      </w:pPr>
      <w:r>
        <w:lastRenderedPageBreak/>
        <w:t>Year 1 (202</w:t>
      </w:r>
      <w:r w:rsidR="00685EB6">
        <w:t>5-26</w:t>
      </w:r>
      <w:r>
        <w:t>)- Placeholder for activities informed by the spring diagnostic review determined in partnership with CDE for $20,000</w:t>
      </w:r>
    </w:p>
    <w:p w14:paraId="07CCAD92" w14:textId="6CB1D07E" w:rsidR="00227030" w:rsidRDefault="00227030" w:rsidP="00685EB6">
      <w:pPr>
        <w:pStyle w:val="ListParagraph"/>
        <w:numPr>
          <w:ilvl w:val="0"/>
          <w:numId w:val="28"/>
        </w:numPr>
        <w:pBdr>
          <w:top w:val="nil"/>
          <w:left w:val="nil"/>
          <w:bottom w:val="nil"/>
          <w:right w:val="nil"/>
          <w:between w:val="nil"/>
        </w:pBdr>
        <w:spacing w:after="0"/>
        <w:ind w:right="0"/>
      </w:pPr>
      <w:r>
        <w:t>Year 2 (202</w:t>
      </w:r>
      <w:r w:rsidR="00685EB6">
        <w:t>6-27</w:t>
      </w:r>
      <w:r>
        <w:t>)- Placeholder for activities determined in partnership with CDE for $80,000</w:t>
      </w:r>
    </w:p>
    <w:p w14:paraId="6BBBA36C" w14:textId="77777777" w:rsidR="00FA29BB" w:rsidRDefault="00227030" w:rsidP="00FA29BB">
      <w:pPr>
        <w:pStyle w:val="ListParagraph"/>
        <w:numPr>
          <w:ilvl w:val="0"/>
          <w:numId w:val="28"/>
        </w:numPr>
        <w:pBdr>
          <w:top w:val="nil"/>
          <w:left w:val="nil"/>
          <w:bottom w:val="nil"/>
          <w:right w:val="nil"/>
          <w:between w:val="nil"/>
        </w:pBdr>
        <w:spacing w:after="0"/>
        <w:ind w:right="0"/>
      </w:pPr>
      <w:r>
        <w:t>Year 3 (202</w:t>
      </w:r>
      <w:r w:rsidR="00685EB6">
        <w:t>7-28</w:t>
      </w:r>
      <w:r>
        <w:t>)- Placeholder for activities determined in partnership with CDE for $80,000</w:t>
      </w:r>
    </w:p>
    <w:p w14:paraId="55CFD3DA" w14:textId="7CABF3F9" w:rsidR="00900DA2" w:rsidRPr="00FA29BB" w:rsidRDefault="00227030" w:rsidP="00FA29BB">
      <w:pPr>
        <w:pBdr>
          <w:top w:val="nil"/>
          <w:left w:val="nil"/>
          <w:bottom w:val="nil"/>
          <w:right w:val="nil"/>
          <w:between w:val="nil"/>
        </w:pBdr>
        <w:spacing w:after="0"/>
        <w:ind w:left="720" w:right="0"/>
      </w:pPr>
      <w:r w:rsidRPr="00FA29BB">
        <w:rPr>
          <w:i/>
          <w:iCs/>
        </w:rPr>
        <w:t>Note- If entering indirect costs, the total request amount may not exceed the maximum allowable amount.</w:t>
      </w:r>
      <w:r w:rsidR="00382550" w:rsidRPr="00FA29BB">
        <w:rPr>
          <w:i/>
          <w:iCs/>
        </w:rPr>
        <w:t xml:space="preserve"> </w:t>
      </w:r>
    </w:p>
    <w:p w14:paraId="74A34B93" w14:textId="7968F83B" w:rsidR="002C3CAB" w:rsidRPr="002C3CAB" w:rsidRDefault="002C3CAB" w:rsidP="002C3CAB">
      <w:pPr>
        <w:pStyle w:val="Heading3"/>
      </w:pPr>
      <w:r>
        <w:t xml:space="preserve">Indirect Costs. </w:t>
      </w:r>
      <w:r w:rsidR="00A06998" w:rsidRPr="005B2A71">
        <w:rPr>
          <w:b w:val="0"/>
          <w:bCs w:val="0"/>
        </w:rPr>
        <w:t xml:space="preserve">Applicants may elect to </w:t>
      </w:r>
      <w:r w:rsidR="00A06998">
        <w:rPr>
          <w:b w:val="0"/>
          <w:bCs w:val="0"/>
        </w:rPr>
        <w:t xml:space="preserve">include </w:t>
      </w:r>
      <w:r w:rsidR="00A06998" w:rsidRPr="005B2A71">
        <w:rPr>
          <w:b w:val="0"/>
          <w:bCs w:val="0"/>
        </w:rPr>
        <w:t xml:space="preserve">indirect costs in the application budget. Indirect cost rates based on the district’s restricted indirect cost rate. The total request amount (indirect costs plus other budget lines) may not exceed the maximum allowable amount. There are some exclusions for distorting items that apply, such as the limitation of </w:t>
      </w:r>
      <w:proofErr w:type="spellStart"/>
      <w:r w:rsidR="00A06998" w:rsidRPr="005B2A71">
        <w:rPr>
          <w:b w:val="0"/>
          <w:bCs w:val="0"/>
        </w:rPr>
        <w:t>indirects</w:t>
      </w:r>
      <w:proofErr w:type="spellEnd"/>
      <w:r w:rsidR="00A06998" w:rsidRPr="005B2A71">
        <w:rPr>
          <w:b w:val="0"/>
          <w:bCs w:val="0"/>
        </w:rPr>
        <w:t xml:space="preserve"> on the first $50,000 on provider contracted services. Grantees should note that indirect costs are only allowed on federal awards. If the grantee receives a state award, indirect costs must be removed during the post-award revision process. More information regarding indirect cost rates is available on CDE’s School Finance webpage at </w:t>
      </w:r>
      <w:hyperlink r:id="rId13" w:history="1">
        <w:r w:rsidR="00A06998" w:rsidRPr="002E3F4E">
          <w:rPr>
            <w:rStyle w:val="URLChar"/>
            <w:b w:val="0"/>
            <w:bCs w:val="0"/>
          </w:rPr>
          <w:t>https://www.cde.state.co.us/cdefinance/icrc</w:t>
        </w:r>
      </w:hyperlink>
      <w:r w:rsidR="00A06998" w:rsidRPr="005B2A71">
        <w:rPr>
          <w:b w:val="0"/>
          <w:bCs w:val="0"/>
        </w:rPr>
        <w:t>.</w:t>
      </w:r>
    </w:p>
    <w:p w14:paraId="7C179B19" w14:textId="77777777" w:rsidR="00900DA2" w:rsidRPr="00514BE5" w:rsidRDefault="00900DA2" w:rsidP="00514BE5">
      <w:pPr>
        <w:pStyle w:val="Heading3"/>
      </w:pPr>
      <w:r w:rsidRPr="00514BE5">
        <w:rPr>
          <w:rStyle w:val="Heading3Char"/>
          <w:b/>
          <w:bCs/>
        </w:rPr>
        <w:t>Fund Considerations</w:t>
      </w:r>
      <w:r w:rsidRPr="00514BE5">
        <w:t xml:space="preserve">. </w:t>
      </w:r>
    </w:p>
    <w:p w14:paraId="75E786CD" w14:textId="77777777" w:rsidR="00D16104" w:rsidRDefault="00D16104" w:rsidP="00D16104">
      <w:pPr>
        <w:pStyle w:val="ListParagraph"/>
        <w:numPr>
          <w:ilvl w:val="0"/>
          <w:numId w:val="13"/>
        </w:numPr>
        <w:spacing w:after="0" w:line="259" w:lineRule="auto"/>
        <w:ind w:right="0"/>
      </w:pPr>
      <w:r>
        <w:t xml:space="preserve">Funds from this opportunity must be used to </w:t>
      </w:r>
      <w:r w:rsidRPr="00514BE5">
        <w:rPr>
          <w:b/>
        </w:rPr>
        <w:t>supplement and not supplant</w:t>
      </w:r>
      <w:r>
        <w:t xml:space="preserve"> any federal, state, and local funds currently being used to provide activities. </w:t>
      </w:r>
    </w:p>
    <w:p w14:paraId="60577C50" w14:textId="77777777" w:rsidR="00351DF6" w:rsidRDefault="00351DF6" w:rsidP="00D16104">
      <w:pPr>
        <w:pStyle w:val="ListParagraph"/>
        <w:numPr>
          <w:ilvl w:val="0"/>
          <w:numId w:val="13"/>
        </w:numPr>
        <w:spacing w:after="0" w:line="259" w:lineRule="auto"/>
        <w:ind w:right="0"/>
      </w:pPr>
      <w:r w:rsidRPr="00351DF6">
        <w:t>Post-award revisions must be submitted and approved in the online system prior to incurring expenses. Any expenses incurred prior to approval are the responsibility of the LEA. All post-award revisions must be approved by 06/30.</w:t>
      </w:r>
    </w:p>
    <w:p w14:paraId="704B80F9" w14:textId="61F71E6F" w:rsidR="00D16104" w:rsidRPr="00752A3E" w:rsidRDefault="00D16104" w:rsidP="00D16104">
      <w:pPr>
        <w:pStyle w:val="ListParagraph"/>
        <w:numPr>
          <w:ilvl w:val="0"/>
          <w:numId w:val="13"/>
        </w:numPr>
        <w:spacing w:after="0" w:line="259" w:lineRule="auto"/>
        <w:ind w:right="0"/>
      </w:pPr>
      <w:r w:rsidRPr="00752A3E">
        <w:t>For federal awards, funds must be obligated by 09/30 and requested by 11/1 of each respective fiscal year.</w:t>
      </w:r>
    </w:p>
    <w:p w14:paraId="1B9FB29E" w14:textId="77777777" w:rsidR="00D16104" w:rsidRDefault="00D16104" w:rsidP="00D16104">
      <w:pPr>
        <w:pStyle w:val="ListParagraph"/>
        <w:numPr>
          <w:ilvl w:val="0"/>
          <w:numId w:val="13"/>
        </w:numPr>
        <w:spacing w:after="0" w:line="259" w:lineRule="auto"/>
        <w:ind w:right="0"/>
      </w:pPr>
      <w:r w:rsidRPr="00752A3E">
        <w:t>For state awards, funds must be obligated by 06/30 of the final year of the grant cycle.</w:t>
      </w:r>
    </w:p>
    <w:p w14:paraId="58940913" w14:textId="77777777" w:rsidR="00D16104" w:rsidRDefault="00D16104" w:rsidP="00D16104">
      <w:pPr>
        <w:pStyle w:val="ListParagraph"/>
        <w:numPr>
          <w:ilvl w:val="0"/>
          <w:numId w:val="13"/>
        </w:numPr>
        <w:spacing w:after="0" w:line="259" w:lineRule="auto"/>
        <w:ind w:right="0"/>
      </w:pPr>
      <w:r>
        <w:t>A school or district may carry funds forward in alignment with funding source restrictions and with CDE approval. At the end of the grant performance period, any non-requested federal funds are reverted and any unspent state funds must be returned to the state.</w:t>
      </w:r>
    </w:p>
    <w:p w14:paraId="422D0827" w14:textId="77777777" w:rsidR="00D16104" w:rsidRDefault="00D16104" w:rsidP="00D16104">
      <w:pPr>
        <w:pStyle w:val="ListParagraph"/>
        <w:numPr>
          <w:ilvl w:val="0"/>
          <w:numId w:val="13"/>
        </w:numPr>
        <w:spacing w:after="0" w:line="259" w:lineRule="auto"/>
        <w:ind w:right="0"/>
      </w:pPr>
      <w:r>
        <w:t>CDE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549E895F" w14:textId="77777777" w:rsidR="00D16104" w:rsidRDefault="00D16104" w:rsidP="00D16104">
      <w:pPr>
        <w:pStyle w:val="ListParagraph"/>
        <w:numPr>
          <w:ilvl w:val="0"/>
          <w:numId w:val="13"/>
        </w:numPr>
        <w:spacing w:after="0" w:line="259" w:lineRule="auto"/>
        <w:ind w:right="0"/>
      </w:pPr>
      <w:r>
        <w:t>Multi-year or future award year amounts are contingent on allocations of state and federal funds to CDE in each respective fiscal year.</w:t>
      </w:r>
    </w:p>
    <w:p w14:paraId="2E2F902F" w14:textId="77777777" w:rsidR="00CC6308" w:rsidRDefault="00CC6308" w:rsidP="00CC6308">
      <w:pPr>
        <w:pStyle w:val="ListParagraph"/>
        <w:spacing w:after="0" w:line="259" w:lineRule="auto"/>
        <w:ind w:left="1080" w:right="0"/>
      </w:pPr>
    </w:p>
    <w:p w14:paraId="2B6AFBF5" w14:textId="77777777" w:rsidR="00900DA2" w:rsidRDefault="00900DA2" w:rsidP="004223A7">
      <w:pPr>
        <w:pStyle w:val="Heading2"/>
        <w:spacing w:before="0" w:after="0"/>
        <w:rPr>
          <w:rFonts w:eastAsia="Calibri" w:cs="Calibri"/>
        </w:rPr>
      </w:pPr>
      <w:r>
        <w:rPr>
          <w:rFonts w:eastAsia="Calibri" w:cs="Calibri"/>
        </w:rPr>
        <w:t>Important Program Dates</w:t>
      </w:r>
    </w:p>
    <w:tbl>
      <w:tblPr>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25"/>
        <w:gridCol w:w="7465"/>
      </w:tblGrid>
      <w:tr w:rsidR="00900DA2" w14:paraId="65B33A83" w14:textId="77777777" w:rsidTr="00C7423F">
        <w:trPr>
          <w:jc w:val="center"/>
        </w:trPr>
        <w:tc>
          <w:tcPr>
            <w:tcW w:w="3325" w:type="dxa"/>
            <w:shd w:val="clear" w:color="auto" w:fill="D9D9D9" w:themeFill="background1" w:themeFillShade="D9"/>
            <w:vAlign w:val="center"/>
          </w:tcPr>
          <w:p w14:paraId="4250A0F9" w14:textId="77777777" w:rsidR="00900DA2" w:rsidRPr="001559A8" w:rsidRDefault="00900DA2" w:rsidP="004223A7">
            <w:pPr>
              <w:pBdr>
                <w:top w:val="nil"/>
                <w:left w:val="nil"/>
                <w:bottom w:val="nil"/>
                <w:right w:val="nil"/>
                <w:between w:val="nil"/>
              </w:pBdr>
              <w:spacing w:after="0"/>
              <w:jc w:val="center"/>
              <w:rPr>
                <w:b/>
              </w:rPr>
            </w:pPr>
            <w:r w:rsidRPr="001559A8">
              <w:rPr>
                <w:b/>
              </w:rPr>
              <w:t>Program Dates</w:t>
            </w:r>
          </w:p>
        </w:tc>
        <w:tc>
          <w:tcPr>
            <w:tcW w:w="7465" w:type="dxa"/>
            <w:shd w:val="clear" w:color="auto" w:fill="D9D9D9" w:themeFill="background1" w:themeFillShade="D9"/>
            <w:vAlign w:val="center"/>
          </w:tcPr>
          <w:p w14:paraId="2A3C486D" w14:textId="77777777" w:rsidR="00900DA2" w:rsidRPr="001559A8" w:rsidRDefault="00900DA2" w:rsidP="004223A7">
            <w:pPr>
              <w:pBdr>
                <w:top w:val="nil"/>
                <w:left w:val="nil"/>
                <w:bottom w:val="nil"/>
                <w:right w:val="nil"/>
                <w:between w:val="nil"/>
              </w:pBdr>
              <w:spacing w:after="0"/>
              <w:jc w:val="center"/>
              <w:rPr>
                <w:b/>
                <w:color w:val="000000"/>
              </w:rPr>
            </w:pPr>
            <w:r w:rsidRPr="001559A8">
              <w:rPr>
                <w:b/>
                <w:color w:val="000000"/>
              </w:rPr>
              <w:t>Activity</w:t>
            </w:r>
          </w:p>
        </w:tc>
      </w:tr>
      <w:tr w:rsidR="00900DA2" w14:paraId="473C8285" w14:textId="77777777" w:rsidTr="00394FFB">
        <w:trPr>
          <w:jc w:val="center"/>
        </w:trPr>
        <w:tc>
          <w:tcPr>
            <w:tcW w:w="3325" w:type="dxa"/>
            <w:shd w:val="clear" w:color="auto" w:fill="C5D3FF"/>
            <w:vAlign w:val="center"/>
          </w:tcPr>
          <w:p w14:paraId="27D8A748" w14:textId="77777777" w:rsidR="00900DA2" w:rsidRDefault="00900DA2" w:rsidP="004223A7">
            <w:pPr>
              <w:pBdr>
                <w:top w:val="nil"/>
                <w:left w:val="nil"/>
                <w:bottom w:val="nil"/>
                <w:right w:val="nil"/>
                <w:between w:val="nil"/>
              </w:pBdr>
              <w:spacing w:after="0"/>
              <w:jc w:val="center"/>
              <w:rPr>
                <w:b/>
                <w:color w:val="000000"/>
              </w:rPr>
            </w:pPr>
            <w:r>
              <w:rPr>
                <w:b/>
              </w:rPr>
              <w:t>September- December</w:t>
            </w:r>
          </w:p>
        </w:tc>
        <w:tc>
          <w:tcPr>
            <w:tcW w:w="7465" w:type="dxa"/>
            <w:vAlign w:val="center"/>
          </w:tcPr>
          <w:p w14:paraId="3D963A04" w14:textId="77777777" w:rsidR="00900DA2" w:rsidRDefault="00900DA2" w:rsidP="004223A7">
            <w:pPr>
              <w:pBdr>
                <w:top w:val="nil"/>
                <w:left w:val="nil"/>
                <w:bottom w:val="nil"/>
                <w:right w:val="nil"/>
                <w:between w:val="nil"/>
              </w:pBdr>
              <w:spacing w:after="0"/>
              <w:rPr>
                <w:color w:val="000000"/>
              </w:rPr>
            </w:pPr>
            <w:r>
              <w:rPr>
                <w:color w:val="000000"/>
              </w:rPr>
              <w:t>Meet with CDE School Transformation Manager to discuss interest in applying for support and outline a proposed budget</w:t>
            </w:r>
          </w:p>
        </w:tc>
      </w:tr>
      <w:tr w:rsidR="00900DA2" w14:paraId="6947D68F" w14:textId="77777777" w:rsidTr="00394FFB">
        <w:trPr>
          <w:jc w:val="center"/>
        </w:trPr>
        <w:tc>
          <w:tcPr>
            <w:tcW w:w="3325" w:type="dxa"/>
            <w:shd w:val="clear" w:color="auto" w:fill="C5D3FF"/>
            <w:vAlign w:val="center"/>
          </w:tcPr>
          <w:p w14:paraId="776804B3" w14:textId="77777777" w:rsidR="00900DA2" w:rsidRDefault="00900DA2" w:rsidP="004223A7">
            <w:pPr>
              <w:pBdr>
                <w:top w:val="nil"/>
                <w:left w:val="nil"/>
                <w:bottom w:val="nil"/>
                <w:right w:val="nil"/>
                <w:between w:val="nil"/>
              </w:pBdr>
              <w:spacing w:after="0"/>
              <w:jc w:val="center"/>
              <w:rPr>
                <w:b/>
                <w:color w:val="000000"/>
              </w:rPr>
            </w:pPr>
            <w:r>
              <w:rPr>
                <w:b/>
                <w:color w:val="000000"/>
              </w:rPr>
              <w:t xml:space="preserve">December </w:t>
            </w:r>
          </w:p>
        </w:tc>
        <w:tc>
          <w:tcPr>
            <w:tcW w:w="7465" w:type="dxa"/>
            <w:vAlign w:val="center"/>
          </w:tcPr>
          <w:p w14:paraId="6C8945CE" w14:textId="77777777" w:rsidR="00900DA2" w:rsidRDefault="00900DA2" w:rsidP="004223A7">
            <w:pPr>
              <w:pBdr>
                <w:top w:val="nil"/>
                <w:left w:val="nil"/>
                <w:bottom w:val="nil"/>
                <w:right w:val="nil"/>
                <w:between w:val="nil"/>
              </w:pBdr>
              <w:spacing w:after="0"/>
              <w:rPr>
                <w:color w:val="000000"/>
              </w:rPr>
            </w:pPr>
            <w:r>
              <w:rPr>
                <w:color w:val="000000"/>
              </w:rPr>
              <w:t xml:space="preserve">Application </w:t>
            </w:r>
            <w:r>
              <w:t>d</w:t>
            </w:r>
            <w:r>
              <w:rPr>
                <w:color w:val="000000"/>
              </w:rPr>
              <w:t xml:space="preserve">ue </w:t>
            </w:r>
          </w:p>
        </w:tc>
      </w:tr>
      <w:tr w:rsidR="00900DA2" w14:paraId="7546A0BE" w14:textId="77777777" w:rsidTr="00394FFB">
        <w:trPr>
          <w:jc w:val="center"/>
        </w:trPr>
        <w:tc>
          <w:tcPr>
            <w:tcW w:w="3325" w:type="dxa"/>
            <w:shd w:val="clear" w:color="auto" w:fill="C5D3FF"/>
            <w:vAlign w:val="center"/>
          </w:tcPr>
          <w:p w14:paraId="03FF2D5B" w14:textId="77777777" w:rsidR="00900DA2" w:rsidRDefault="00900DA2" w:rsidP="004223A7">
            <w:pPr>
              <w:pBdr>
                <w:top w:val="nil"/>
                <w:left w:val="nil"/>
                <w:bottom w:val="nil"/>
                <w:right w:val="nil"/>
                <w:between w:val="nil"/>
              </w:pBdr>
              <w:spacing w:after="0"/>
              <w:jc w:val="center"/>
              <w:rPr>
                <w:b/>
                <w:color w:val="000000"/>
                <w:highlight w:val="yellow"/>
              </w:rPr>
            </w:pPr>
            <w:r>
              <w:rPr>
                <w:b/>
              </w:rPr>
              <w:t>January</w:t>
            </w:r>
          </w:p>
        </w:tc>
        <w:tc>
          <w:tcPr>
            <w:tcW w:w="7465" w:type="dxa"/>
            <w:vAlign w:val="center"/>
          </w:tcPr>
          <w:p w14:paraId="6F7BA3C5" w14:textId="77777777" w:rsidR="00900DA2" w:rsidRDefault="00900DA2" w:rsidP="004223A7">
            <w:pPr>
              <w:pBdr>
                <w:top w:val="nil"/>
                <w:left w:val="nil"/>
                <w:bottom w:val="nil"/>
                <w:right w:val="nil"/>
                <w:between w:val="nil"/>
              </w:pBdr>
              <w:spacing w:after="0"/>
              <w:rPr>
                <w:color w:val="000000"/>
              </w:rPr>
            </w:pPr>
            <w:r>
              <w:t>Award notifications</w:t>
            </w:r>
          </w:p>
        </w:tc>
      </w:tr>
      <w:tr w:rsidR="005C5559" w14:paraId="7B54B6CB" w14:textId="77777777" w:rsidTr="00394FFB">
        <w:trPr>
          <w:jc w:val="center"/>
        </w:trPr>
        <w:tc>
          <w:tcPr>
            <w:tcW w:w="3325" w:type="dxa"/>
            <w:shd w:val="clear" w:color="auto" w:fill="C5D3FF"/>
            <w:vAlign w:val="center"/>
          </w:tcPr>
          <w:p w14:paraId="46CDE0C5" w14:textId="7DD00C20" w:rsidR="005C5559" w:rsidRDefault="005C5559" w:rsidP="004223A7">
            <w:pPr>
              <w:pBdr>
                <w:top w:val="nil"/>
                <w:left w:val="nil"/>
                <w:bottom w:val="nil"/>
                <w:right w:val="nil"/>
                <w:between w:val="nil"/>
              </w:pBdr>
              <w:spacing w:after="0"/>
              <w:jc w:val="center"/>
              <w:rPr>
                <w:b/>
              </w:rPr>
            </w:pPr>
            <w:r>
              <w:rPr>
                <w:b/>
              </w:rPr>
              <w:t>February/March</w:t>
            </w:r>
          </w:p>
        </w:tc>
        <w:tc>
          <w:tcPr>
            <w:tcW w:w="7465" w:type="dxa"/>
            <w:vAlign w:val="center"/>
          </w:tcPr>
          <w:p w14:paraId="6334CACB" w14:textId="00D839A7" w:rsidR="005C5559" w:rsidRPr="00A85EA4" w:rsidRDefault="005C5559" w:rsidP="004223A7">
            <w:pPr>
              <w:pBdr>
                <w:top w:val="nil"/>
                <w:left w:val="nil"/>
                <w:bottom w:val="nil"/>
                <w:right w:val="nil"/>
                <w:between w:val="nil"/>
              </w:pBdr>
              <w:spacing w:after="0"/>
            </w:pPr>
            <w:r>
              <w:t>CDE will host a Kick</w:t>
            </w:r>
            <w:r w:rsidR="00D55854">
              <w:t>o</w:t>
            </w:r>
            <w:r>
              <w:t xml:space="preserve">ff </w:t>
            </w:r>
            <w:r w:rsidR="00D55854">
              <w:t xml:space="preserve">meeting </w:t>
            </w:r>
            <w:r w:rsidR="00850BDD">
              <w:t xml:space="preserve">where new grantees can learn </w:t>
            </w:r>
            <w:r w:rsidR="00D55854">
              <w:t xml:space="preserve">about grant expectations and </w:t>
            </w:r>
            <w:r w:rsidR="00412736">
              <w:t xml:space="preserve">connect with </w:t>
            </w:r>
            <w:r w:rsidR="00850BDD">
              <w:t>current High Achieving Schools.</w:t>
            </w:r>
          </w:p>
        </w:tc>
      </w:tr>
      <w:tr w:rsidR="00900DA2" w14:paraId="5333F160" w14:textId="77777777" w:rsidTr="00394FFB">
        <w:trPr>
          <w:jc w:val="center"/>
        </w:trPr>
        <w:tc>
          <w:tcPr>
            <w:tcW w:w="3325" w:type="dxa"/>
            <w:shd w:val="clear" w:color="auto" w:fill="C5D3FF"/>
            <w:vAlign w:val="center"/>
          </w:tcPr>
          <w:p w14:paraId="651585ED" w14:textId="77777777" w:rsidR="00900DA2" w:rsidRDefault="00900DA2" w:rsidP="004223A7">
            <w:pPr>
              <w:pBdr>
                <w:top w:val="nil"/>
                <w:left w:val="nil"/>
                <w:bottom w:val="nil"/>
                <w:right w:val="nil"/>
                <w:between w:val="nil"/>
              </w:pBdr>
              <w:spacing w:after="0"/>
              <w:jc w:val="center"/>
              <w:rPr>
                <w:b/>
              </w:rPr>
            </w:pPr>
            <w:r>
              <w:rPr>
                <w:b/>
              </w:rPr>
              <w:t>February-April</w:t>
            </w:r>
            <w:r w:rsidR="002C53B0">
              <w:rPr>
                <w:b/>
              </w:rPr>
              <w:t xml:space="preserve"> </w:t>
            </w:r>
          </w:p>
          <w:p w14:paraId="319193AF" w14:textId="01BA1829" w:rsidR="002C53B0" w:rsidRDefault="002C53B0" w:rsidP="004223A7">
            <w:pPr>
              <w:pBdr>
                <w:top w:val="nil"/>
                <w:left w:val="nil"/>
                <w:bottom w:val="nil"/>
                <w:right w:val="nil"/>
                <w:between w:val="nil"/>
              </w:pBdr>
              <w:spacing w:after="0"/>
              <w:jc w:val="center"/>
              <w:rPr>
                <w:b/>
              </w:rPr>
            </w:pPr>
            <w:r>
              <w:rPr>
                <w:b/>
              </w:rPr>
              <w:t>(post-revisions)</w:t>
            </w:r>
          </w:p>
        </w:tc>
        <w:tc>
          <w:tcPr>
            <w:tcW w:w="7465" w:type="dxa"/>
            <w:vAlign w:val="center"/>
          </w:tcPr>
          <w:p w14:paraId="38DB6163" w14:textId="52800BBE" w:rsidR="00900DA2" w:rsidRDefault="005B41D6" w:rsidP="004223A7">
            <w:pPr>
              <w:pBdr>
                <w:top w:val="nil"/>
                <w:left w:val="nil"/>
                <w:bottom w:val="nil"/>
                <w:right w:val="nil"/>
                <w:between w:val="nil"/>
              </w:pBdr>
              <w:spacing w:after="0"/>
            </w:pPr>
            <w:r w:rsidRPr="00A85EA4">
              <w:t>CDE conducts school visits and provides recommendations for HAS strategies and practices to be implemented</w:t>
            </w:r>
          </w:p>
        </w:tc>
      </w:tr>
      <w:tr w:rsidR="00900DA2" w14:paraId="262AE7FF" w14:textId="77777777" w:rsidTr="00394FFB">
        <w:trPr>
          <w:jc w:val="center"/>
        </w:trPr>
        <w:tc>
          <w:tcPr>
            <w:tcW w:w="3325" w:type="dxa"/>
            <w:shd w:val="clear" w:color="auto" w:fill="C5D3FF"/>
            <w:vAlign w:val="center"/>
          </w:tcPr>
          <w:p w14:paraId="0ABFC49F" w14:textId="77777777" w:rsidR="00900DA2" w:rsidRDefault="00900DA2" w:rsidP="004223A7">
            <w:pPr>
              <w:pBdr>
                <w:top w:val="nil"/>
                <w:left w:val="nil"/>
                <w:bottom w:val="nil"/>
                <w:right w:val="nil"/>
                <w:between w:val="nil"/>
              </w:pBdr>
              <w:spacing w:after="0"/>
              <w:jc w:val="center"/>
              <w:rPr>
                <w:b/>
              </w:rPr>
            </w:pPr>
            <w:r>
              <w:rPr>
                <w:b/>
              </w:rPr>
              <w:t>May</w:t>
            </w:r>
          </w:p>
        </w:tc>
        <w:tc>
          <w:tcPr>
            <w:tcW w:w="7465" w:type="dxa"/>
            <w:vAlign w:val="center"/>
          </w:tcPr>
          <w:p w14:paraId="79E6CBF1" w14:textId="07394E14" w:rsidR="00900DA2" w:rsidRDefault="00703F8E" w:rsidP="004223A7">
            <w:pPr>
              <w:pBdr>
                <w:top w:val="nil"/>
                <w:left w:val="nil"/>
                <w:bottom w:val="nil"/>
                <w:right w:val="nil"/>
                <w:between w:val="nil"/>
              </w:pBdr>
              <w:spacing w:after="0"/>
            </w:pPr>
            <w:r w:rsidRPr="003341F3">
              <w:t>School, LEA and CDE collaborate to conduct initial planning, goal setting, and budget development</w:t>
            </w:r>
          </w:p>
        </w:tc>
      </w:tr>
      <w:tr w:rsidR="00A85AF8" w14:paraId="3CCFAD01" w14:textId="77777777" w:rsidTr="00394FFB">
        <w:trPr>
          <w:jc w:val="center"/>
        </w:trPr>
        <w:tc>
          <w:tcPr>
            <w:tcW w:w="3325" w:type="dxa"/>
            <w:shd w:val="clear" w:color="auto" w:fill="C5D3FF"/>
            <w:vAlign w:val="center"/>
          </w:tcPr>
          <w:p w14:paraId="63A9E9AC" w14:textId="724C1F12" w:rsidR="00A85AF8" w:rsidRDefault="002C53B0" w:rsidP="00A85AF8">
            <w:pPr>
              <w:pBdr>
                <w:top w:val="nil"/>
                <w:left w:val="nil"/>
                <w:bottom w:val="nil"/>
                <w:right w:val="nil"/>
                <w:between w:val="nil"/>
              </w:pBdr>
              <w:spacing w:after="0"/>
              <w:jc w:val="center"/>
              <w:rPr>
                <w:b/>
              </w:rPr>
            </w:pPr>
            <w:r>
              <w:rPr>
                <w:b/>
              </w:rPr>
              <w:t>June</w:t>
            </w:r>
          </w:p>
        </w:tc>
        <w:tc>
          <w:tcPr>
            <w:tcW w:w="7465" w:type="dxa"/>
            <w:vAlign w:val="center"/>
          </w:tcPr>
          <w:p w14:paraId="087648B3" w14:textId="64E7EDE3" w:rsidR="00A85AF8" w:rsidRDefault="00A85AF8" w:rsidP="00A85AF8">
            <w:pPr>
              <w:pBdr>
                <w:top w:val="nil"/>
                <w:left w:val="nil"/>
                <w:bottom w:val="nil"/>
                <w:right w:val="nil"/>
                <w:between w:val="nil"/>
              </w:pBdr>
              <w:spacing w:after="0"/>
            </w:pPr>
            <w:r w:rsidRPr="00064065">
              <w:t>School submits next year’s plan, budget, and baseline monitoring indicators</w:t>
            </w:r>
          </w:p>
        </w:tc>
      </w:tr>
      <w:tr w:rsidR="002C53B0" w14:paraId="5E056D41" w14:textId="77777777" w:rsidTr="00394FFB">
        <w:trPr>
          <w:jc w:val="center"/>
        </w:trPr>
        <w:tc>
          <w:tcPr>
            <w:tcW w:w="3325" w:type="dxa"/>
            <w:shd w:val="clear" w:color="auto" w:fill="C5D3FF"/>
            <w:vAlign w:val="center"/>
          </w:tcPr>
          <w:p w14:paraId="4A5B5D93" w14:textId="6ED38EDA" w:rsidR="002C53B0" w:rsidRDefault="002C53B0" w:rsidP="002C53B0">
            <w:pPr>
              <w:pBdr>
                <w:top w:val="nil"/>
                <w:left w:val="nil"/>
                <w:bottom w:val="nil"/>
                <w:right w:val="nil"/>
                <w:between w:val="nil"/>
              </w:pBdr>
              <w:spacing w:after="0"/>
              <w:jc w:val="center"/>
              <w:rPr>
                <w:b/>
              </w:rPr>
            </w:pPr>
            <w:r>
              <w:rPr>
                <w:b/>
              </w:rPr>
              <w:lastRenderedPageBreak/>
              <w:t>August</w:t>
            </w:r>
          </w:p>
        </w:tc>
        <w:tc>
          <w:tcPr>
            <w:tcW w:w="7465" w:type="dxa"/>
            <w:vAlign w:val="center"/>
          </w:tcPr>
          <w:p w14:paraId="2E21B40F" w14:textId="598AE228" w:rsidR="002C53B0" w:rsidRPr="00064065" w:rsidRDefault="002C53B0" w:rsidP="002C53B0">
            <w:pPr>
              <w:pBdr>
                <w:top w:val="nil"/>
                <w:left w:val="nil"/>
                <w:bottom w:val="nil"/>
                <w:right w:val="nil"/>
                <w:between w:val="nil"/>
              </w:pBdr>
              <w:spacing w:after="0"/>
            </w:pPr>
            <w:r w:rsidRPr="00C82E2C">
              <w:t>Planning and learning opportunities for all Connect for Success grantees</w:t>
            </w:r>
          </w:p>
        </w:tc>
      </w:tr>
    </w:tbl>
    <w:p w14:paraId="5712D676" w14:textId="77777777" w:rsidR="00900DA2" w:rsidRDefault="00900DA2" w:rsidP="004223A7">
      <w:pPr>
        <w:spacing w:after="0"/>
      </w:pPr>
    </w:p>
    <w:p w14:paraId="08BA48E2" w14:textId="77777777" w:rsidR="00900DA2" w:rsidRDefault="00900DA2" w:rsidP="004223A7">
      <w:pPr>
        <w:pStyle w:val="Heading2"/>
        <w:spacing w:before="0" w:after="0"/>
        <w:rPr>
          <w:rFonts w:eastAsia="Calibri" w:cs="Calibri"/>
        </w:rPr>
      </w:pPr>
      <w:r>
        <w:rPr>
          <w:rFonts w:eastAsia="Calibri" w:cs="Calibri"/>
        </w:rPr>
        <w:t>Evaluation and Reporting</w:t>
      </w:r>
    </w:p>
    <w:p w14:paraId="6D8ABBAC" w14:textId="77777777" w:rsidR="00900DA2" w:rsidRDefault="00900DA2" w:rsidP="004223A7">
      <w:pPr>
        <w:spacing w:after="0"/>
      </w:pPr>
      <w:r>
        <w:t>Each grantee of the program must, at a minimum, agree to the following evaluation, reporting, and/or progress monitoring components:</w:t>
      </w:r>
    </w:p>
    <w:p w14:paraId="58A0DFB1" w14:textId="77777777" w:rsidR="00E329E8" w:rsidRDefault="00E329E8" w:rsidP="00414A9D">
      <w:pPr>
        <w:pStyle w:val="ListParagraph"/>
        <w:numPr>
          <w:ilvl w:val="0"/>
          <w:numId w:val="33"/>
        </w:numPr>
        <w:spacing w:after="0"/>
        <w:ind w:right="0"/>
      </w:pPr>
      <w:r>
        <w:t>School information as part of the diagnostic review school visit after the grant is awarded but before planning and implementation</w:t>
      </w:r>
    </w:p>
    <w:p w14:paraId="2EB25D72" w14:textId="77777777" w:rsidR="00E329E8" w:rsidRDefault="00E329E8" w:rsidP="00414A9D">
      <w:pPr>
        <w:pStyle w:val="ListParagraph"/>
        <w:numPr>
          <w:ilvl w:val="0"/>
          <w:numId w:val="33"/>
        </w:numPr>
        <w:spacing w:after="0" w:line="256" w:lineRule="auto"/>
        <w:ind w:right="0"/>
      </w:pPr>
      <w:r w:rsidRPr="00414A9D">
        <w:rPr>
          <w:color w:val="000000"/>
        </w:rPr>
        <w:t xml:space="preserve">Parent surveys – distributed by the school; collected and analyzed by CDE; </w:t>
      </w:r>
      <w:r>
        <w:t>30% of parents’ (or at least 50) response</w:t>
      </w:r>
    </w:p>
    <w:p w14:paraId="0BB7B795" w14:textId="77777777" w:rsidR="00E329E8" w:rsidRDefault="00E329E8" w:rsidP="00414A9D">
      <w:pPr>
        <w:pStyle w:val="ListParagraph"/>
        <w:numPr>
          <w:ilvl w:val="0"/>
          <w:numId w:val="33"/>
        </w:numPr>
        <w:spacing w:after="0" w:line="256" w:lineRule="auto"/>
        <w:ind w:right="0"/>
      </w:pPr>
      <w:r w:rsidRPr="00414A9D">
        <w:rPr>
          <w:color w:val="000000"/>
        </w:rPr>
        <w:t xml:space="preserve">Personnel surveys – distributed by the school; collected and analyzed by CDE; </w:t>
      </w:r>
      <w:r>
        <w:t>at least 50% of staff response</w:t>
      </w:r>
    </w:p>
    <w:p w14:paraId="220A8874" w14:textId="77777777" w:rsidR="00E329E8" w:rsidRDefault="00E329E8" w:rsidP="00414A9D">
      <w:pPr>
        <w:pStyle w:val="ListParagraph"/>
        <w:numPr>
          <w:ilvl w:val="0"/>
          <w:numId w:val="33"/>
        </w:numPr>
        <w:spacing w:after="0" w:line="256" w:lineRule="auto"/>
        <w:ind w:right="0"/>
      </w:pPr>
      <w:r w:rsidRPr="00414A9D">
        <w:rPr>
          <w:color w:val="000000"/>
        </w:rPr>
        <w:t>Observation/walkthrough data – collected by a team from CDE and/or the CDE Implementation Manager; and</w:t>
      </w:r>
    </w:p>
    <w:p w14:paraId="2A14107A" w14:textId="0E851AB9" w:rsidR="00D56EFA" w:rsidRPr="002A2C30" w:rsidRDefault="00E329E8" w:rsidP="00414A9D">
      <w:pPr>
        <w:pStyle w:val="ListParagraph"/>
        <w:numPr>
          <w:ilvl w:val="0"/>
          <w:numId w:val="33"/>
        </w:numPr>
        <w:spacing w:after="0" w:line="256" w:lineRule="auto"/>
        <w:ind w:right="0"/>
      </w:pPr>
      <w:r w:rsidRPr="00414A9D">
        <w:rPr>
          <w:color w:val="000000"/>
        </w:rPr>
        <w:t>Interviews with school leadership, teachers, staff, families, and students – collected by a team from CDE and/or the CDE Implementation Manager.</w:t>
      </w:r>
      <w:r w:rsidR="00D56EFA" w:rsidRPr="00414A9D">
        <w:rPr>
          <w:color w:val="000000"/>
        </w:rPr>
        <w:t xml:space="preserve"> At the end of Year 1, schools must provide a description of the planning process and the plans for the next year of the grant. Description must include an implementation plan to replicate the HAS strategies and practices and based on CDE recommendations from the diagnostic visit. </w:t>
      </w:r>
    </w:p>
    <w:p w14:paraId="5EC8DEAD" w14:textId="77777777" w:rsidR="00D56EFA" w:rsidRDefault="00D56EFA" w:rsidP="00414A9D">
      <w:pPr>
        <w:pStyle w:val="ListParagraph"/>
        <w:numPr>
          <w:ilvl w:val="0"/>
          <w:numId w:val="33"/>
        </w:numPr>
        <w:spacing w:after="0" w:line="256" w:lineRule="auto"/>
        <w:ind w:right="0"/>
      </w:pPr>
      <w:r w:rsidRPr="00414A9D">
        <w:rPr>
          <w:color w:val="000000"/>
        </w:rPr>
        <w:t>Implementation plan and, when available, implementation data to demonstrate the extent to which implementation occurred with fidelity</w:t>
      </w:r>
    </w:p>
    <w:p w14:paraId="144891B9" w14:textId="77777777" w:rsidR="00414A9D" w:rsidRDefault="00D56EFA" w:rsidP="00414A9D">
      <w:pPr>
        <w:pStyle w:val="ListParagraph"/>
        <w:numPr>
          <w:ilvl w:val="0"/>
          <w:numId w:val="33"/>
        </w:numPr>
        <w:spacing w:after="0"/>
        <w:ind w:right="0"/>
      </w:pPr>
      <w:r>
        <w:t>Quarterly progress monitoring reports submitted using the CDE Progress Monitoring Template</w:t>
      </w:r>
    </w:p>
    <w:p w14:paraId="380B4022" w14:textId="0FC1AE4E" w:rsidR="00900DA2" w:rsidRPr="00F31C31" w:rsidRDefault="00A67EEC" w:rsidP="00414A9D">
      <w:pPr>
        <w:pStyle w:val="ListParagraph"/>
        <w:numPr>
          <w:ilvl w:val="0"/>
          <w:numId w:val="33"/>
        </w:numPr>
        <w:spacing w:after="0"/>
        <w:ind w:right="0"/>
      </w:pPr>
      <w:r>
        <w:t>Final Expenditure Report (FER) in GAINS</w:t>
      </w:r>
      <w:r w:rsidR="00900DA2">
        <w:t xml:space="preserve"> each fiscal year by 09/30</w:t>
      </w:r>
      <w:r>
        <w:t>.</w:t>
      </w:r>
    </w:p>
    <w:p w14:paraId="284162FE" w14:textId="77777777" w:rsidR="00900DA2" w:rsidRPr="00E329E8" w:rsidRDefault="00900DA2" w:rsidP="00E329E8">
      <w:pPr>
        <w:spacing w:after="0"/>
        <w:ind w:left="720"/>
        <w:rPr>
          <w:i/>
          <w:iCs/>
        </w:rPr>
      </w:pPr>
      <w:r w:rsidRPr="00E329E8">
        <w:rPr>
          <w:i/>
          <w:iCs/>
        </w:rPr>
        <w:t>Note: All data collected will protect personally identifiable information (PII) protected and is only reported on an aggregate level for purposes of evaluating the EASI support and/or supporting future program improvements.</w:t>
      </w:r>
    </w:p>
    <w:p w14:paraId="0949E63B" w14:textId="77777777" w:rsidR="00900DA2" w:rsidRPr="00D80A75" w:rsidRDefault="00900DA2" w:rsidP="004223A7">
      <w:pPr>
        <w:pStyle w:val="Heading2"/>
        <w:spacing w:after="0"/>
      </w:pPr>
      <w:r w:rsidRPr="00D80A75">
        <w:t>Program Assurances</w:t>
      </w:r>
    </w:p>
    <w:p w14:paraId="73120B6B" w14:textId="77777777" w:rsidR="00900DA2" w:rsidRDefault="00900DA2" w:rsidP="00514BE5">
      <w:pPr>
        <w:pStyle w:val="Heading3"/>
      </w:pPr>
      <w:r>
        <w:t>LEA Commitments:</w:t>
      </w:r>
    </w:p>
    <w:p w14:paraId="2CE37876"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Hire or designate an Implementation Coach that meets the minimum competencies</w:t>
      </w:r>
    </w:p>
    <w:p w14:paraId="2D910103"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Ensure both district and building leadership possess the qualifications and have committed the time necessary to accomplish grant activities to lead to student achievement gains</w:t>
      </w:r>
    </w:p>
    <w:p w14:paraId="2EE0A822"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Allow flexibility for school to adjust for mid-course corrections if data does not indicate progress toward increasing achievement</w:t>
      </w:r>
    </w:p>
    <w:p w14:paraId="7B9EE43C"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Support school in using data to monitor student progress to inform instructional practice to accelerate performance</w:t>
      </w:r>
    </w:p>
    <w:p w14:paraId="19A6C15E"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Conduct monthly instructional rounds at school site (LEA /school/implementation coach, if applicable)</w:t>
      </w:r>
    </w:p>
    <w:p w14:paraId="2D54F875"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Foster principal’s leadership in the school and support leadership growth opportunities</w:t>
      </w:r>
    </w:p>
    <w:p w14:paraId="2FCC7B05"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Ensure that funds are being leveraged with other local, state, and federal funds (e.g., Titles I, II, III, V, and IDEA) and that accountability for cost-effective management is provided</w:t>
      </w:r>
    </w:p>
    <w:p w14:paraId="5298327A"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Work with and provide requested data to CDE for the Connect for Success funding opportunity within the periods specified</w:t>
      </w:r>
    </w:p>
    <w:p w14:paraId="33D54CFC"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Will not discriminate against anyone regarding race, gender, national origin, color, disability, or age;</w:t>
      </w:r>
    </w:p>
    <w:p w14:paraId="18F73126"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t>Use funds to supplement and not supplant any moneys currently being used to provide services and grant dollars will be administered by the appropriate fiscal agent</w:t>
      </w:r>
    </w:p>
    <w:p w14:paraId="5E252ADC" w14:textId="77777777" w:rsidR="00254383" w:rsidRPr="00254383" w:rsidRDefault="00254383" w:rsidP="001A4ACF">
      <w:pPr>
        <w:pStyle w:val="ListParagraph"/>
        <w:numPr>
          <w:ilvl w:val="0"/>
          <w:numId w:val="34"/>
        </w:numPr>
        <w:spacing w:after="0" w:line="256" w:lineRule="auto"/>
        <w:ind w:right="0"/>
        <w:rPr>
          <w:color w:val="000000"/>
        </w:rPr>
      </w:pPr>
      <w:r w:rsidRPr="00254383">
        <w:rPr>
          <w:color w:val="000000"/>
        </w:rPr>
        <w:lastRenderedPageBreak/>
        <w:t>Maintain appropriate fiscal and program records on funded projects and conduct fiscal audits of this program as a part of regular audits</w:t>
      </w:r>
    </w:p>
    <w:p w14:paraId="52EA32A1" w14:textId="77777777" w:rsidR="00254383" w:rsidRPr="00475B92" w:rsidRDefault="00254383" w:rsidP="001A4ACF">
      <w:pPr>
        <w:pStyle w:val="ListParagraph"/>
        <w:numPr>
          <w:ilvl w:val="0"/>
          <w:numId w:val="34"/>
        </w:numPr>
        <w:spacing w:after="0" w:line="256" w:lineRule="auto"/>
        <w:ind w:right="0"/>
      </w:pPr>
      <w:r w:rsidRPr="00254383">
        <w:rPr>
          <w:color w:val="000000"/>
        </w:rPr>
        <w:t>Maintain sole responsibility for the project even though subcontractors may be used to perform certain services</w:t>
      </w:r>
    </w:p>
    <w:p w14:paraId="7DA53C3A" w14:textId="77777777" w:rsidR="00254383" w:rsidRPr="00475B92" w:rsidRDefault="00254383" w:rsidP="001A4ACF">
      <w:pPr>
        <w:pStyle w:val="ListParagraph"/>
        <w:numPr>
          <w:ilvl w:val="0"/>
          <w:numId w:val="34"/>
        </w:numPr>
        <w:spacing w:line="256" w:lineRule="auto"/>
        <w:ind w:right="0"/>
      </w:pPr>
      <w:r w:rsidRPr="00254383">
        <w:rPr>
          <w:color w:val="000000"/>
        </w:rPr>
        <w:t>Misuse of these funds will result in the revocation of funds</w:t>
      </w:r>
    </w:p>
    <w:p w14:paraId="1307B258" w14:textId="65C74436" w:rsidR="00900DA2" w:rsidRDefault="00903946" w:rsidP="00514BE5">
      <w:pPr>
        <w:pStyle w:val="Heading3"/>
      </w:pPr>
      <w:r>
        <w:t>School Leadership</w:t>
      </w:r>
      <w:r w:rsidR="00900DA2">
        <w:t xml:space="preserve"> Commitments:</w:t>
      </w:r>
    </w:p>
    <w:p w14:paraId="2E16444E" w14:textId="77777777" w:rsidR="00903946" w:rsidRPr="00903946" w:rsidRDefault="00903946" w:rsidP="00903946">
      <w:pPr>
        <w:pStyle w:val="ListParagraph"/>
        <w:numPr>
          <w:ilvl w:val="0"/>
          <w:numId w:val="36"/>
        </w:numPr>
        <w:spacing w:after="0" w:line="256" w:lineRule="auto"/>
        <w:ind w:right="0"/>
        <w:rPr>
          <w:color w:val="000000"/>
        </w:rPr>
      </w:pPr>
      <w:r w:rsidRPr="00903946">
        <w:rPr>
          <w:color w:val="000000"/>
        </w:rPr>
        <w:t>Provide CDE with the annual evaluation and quarterly progress monitoring information required</w:t>
      </w:r>
    </w:p>
    <w:p w14:paraId="27473E1A" w14:textId="77777777" w:rsidR="00903946" w:rsidRPr="00903946" w:rsidRDefault="00903946" w:rsidP="00903946">
      <w:pPr>
        <w:pStyle w:val="ListParagraph"/>
        <w:numPr>
          <w:ilvl w:val="0"/>
          <w:numId w:val="36"/>
        </w:numPr>
        <w:spacing w:after="0" w:line="256" w:lineRule="auto"/>
        <w:ind w:right="0"/>
        <w:rPr>
          <w:color w:val="000000"/>
        </w:rPr>
      </w:pPr>
      <w:r w:rsidRPr="00903946">
        <w:rPr>
          <w:color w:val="000000"/>
        </w:rPr>
        <w:t>School leadership team with LEA representation will attend the state sponsored professional development and/or networking opportunities</w:t>
      </w:r>
    </w:p>
    <w:p w14:paraId="73263625" w14:textId="77777777" w:rsidR="00903946" w:rsidRPr="00903946" w:rsidRDefault="00903946" w:rsidP="00903946">
      <w:pPr>
        <w:pStyle w:val="ListParagraph"/>
        <w:numPr>
          <w:ilvl w:val="0"/>
          <w:numId w:val="36"/>
        </w:numPr>
        <w:spacing w:after="0" w:line="256" w:lineRule="auto"/>
        <w:ind w:right="0"/>
        <w:rPr>
          <w:color w:val="000000"/>
        </w:rPr>
      </w:pPr>
      <w:r w:rsidRPr="00903946">
        <w:rPr>
          <w:color w:val="000000"/>
        </w:rPr>
        <w:t>School leadership will collaborate with the Implementation Coach, hired or designated by the LEA, to develop and implement a plan to replicate HAS practices and strategies based on the CDE recommendations from the diagnostic visit</w:t>
      </w:r>
    </w:p>
    <w:p w14:paraId="1BF82D51" w14:textId="77777777" w:rsidR="00903946" w:rsidRPr="00903946" w:rsidRDefault="00903946" w:rsidP="00903946">
      <w:pPr>
        <w:pStyle w:val="ListParagraph"/>
        <w:numPr>
          <w:ilvl w:val="0"/>
          <w:numId w:val="36"/>
        </w:numPr>
        <w:spacing w:after="0" w:line="256" w:lineRule="auto"/>
        <w:ind w:right="0"/>
        <w:rPr>
          <w:color w:val="000000"/>
        </w:rPr>
      </w:pPr>
      <w:r w:rsidRPr="00903946">
        <w:rPr>
          <w:color w:val="000000"/>
        </w:rPr>
        <w:t>Reevaluate use of Title I and IDEA funds (e.g., Coordinated Early Intervening Services - CEI) to meet needs of minority students, students experiencing poverty, students with disabilities, and English Learners</w:t>
      </w:r>
    </w:p>
    <w:p w14:paraId="1AEF4A47" w14:textId="77777777" w:rsidR="00903946" w:rsidRPr="00903946" w:rsidRDefault="00903946" w:rsidP="00903946">
      <w:pPr>
        <w:pStyle w:val="ListParagraph"/>
        <w:numPr>
          <w:ilvl w:val="0"/>
          <w:numId w:val="36"/>
        </w:numPr>
        <w:spacing w:after="0" w:line="256" w:lineRule="auto"/>
        <w:ind w:right="0"/>
        <w:rPr>
          <w:color w:val="000000"/>
        </w:rPr>
      </w:pPr>
      <w:r w:rsidRPr="00903946">
        <w:rPr>
          <w:color w:val="000000"/>
        </w:rPr>
        <w:t xml:space="preserve">School Leadership will: </w:t>
      </w:r>
    </w:p>
    <w:p w14:paraId="69015511" w14:textId="77777777" w:rsidR="00903946" w:rsidRPr="00903946" w:rsidRDefault="00903946" w:rsidP="00903946">
      <w:pPr>
        <w:pStyle w:val="ListParagraph"/>
        <w:numPr>
          <w:ilvl w:val="1"/>
          <w:numId w:val="36"/>
        </w:numPr>
        <w:spacing w:after="0" w:line="256" w:lineRule="auto"/>
        <w:ind w:right="0"/>
        <w:rPr>
          <w:color w:val="000000"/>
        </w:rPr>
      </w:pPr>
      <w:r w:rsidRPr="00903946">
        <w:rPr>
          <w:color w:val="000000"/>
        </w:rPr>
        <w:t>Conduct regular instructional walkthroughs</w:t>
      </w:r>
    </w:p>
    <w:p w14:paraId="73294DC1" w14:textId="77777777" w:rsidR="00903946" w:rsidRPr="00903946" w:rsidRDefault="00903946" w:rsidP="00903946">
      <w:pPr>
        <w:pStyle w:val="ListParagraph"/>
        <w:numPr>
          <w:ilvl w:val="1"/>
          <w:numId w:val="36"/>
        </w:numPr>
        <w:spacing w:after="0" w:line="256" w:lineRule="auto"/>
        <w:ind w:right="0"/>
        <w:rPr>
          <w:color w:val="000000"/>
        </w:rPr>
      </w:pPr>
      <w:r w:rsidRPr="00903946">
        <w:rPr>
          <w:color w:val="000000"/>
        </w:rPr>
        <w:t>Perform ongoing performance monitoring of instructional staff and provide timely feedback to teachers</w:t>
      </w:r>
    </w:p>
    <w:p w14:paraId="1298EA7D" w14:textId="77777777" w:rsidR="00903946" w:rsidRPr="00903946" w:rsidRDefault="00903946" w:rsidP="00903946">
      <w:pPr>
        <w:pStyle w:val="ListParagraph"/>
        <w:numPr>
          <w:ilvl w:val="1"/>
          <w:numId w:val="36"/>
        </w:numPr>
        <w:spacing w:after="0" w:line="256" w:lineRule="auto"/>
        <w:ind w:right="0"/>
        <w:rPr>
          <w:color w:val="000000"/>
        </w:rPr>
      </w:pPr>
      <w:r w:rsidRPr="00903946">
        <w:rPr>
          <w:color w:val="000000"/>
        </w:rPr>
        <w:t>Ensure ongoing data analyses and participating in data meetings</w:t>
      </w:r>
    </w:p>
    <w:p w14:paraId="0F687D2D" w14:textId="77777777" w:rsidR="00903946" w:rsidRDefault="00903946" w:rsidP="00903946">
      <w:pPr>
        <w:pStyle w:val="ListParagraph"/>
        <w:numPr>
          <w:ilvl w:val="1"/>
          <w:numId w:val="36"/>
        </w:numPr>
        <w:spacing w:after="0" w:line="256" w:lineRule="auto"/>
        <w:ind w:right="0"/>
        <w:rPr>
          <w:color w:val="000000"/>
        </w:rPr>
      </w:pPr>
      <w:r w:rsidRPr="00903946">
        <w:rPr>
          <w:color w:val="000000"/>
        </w:rPr>
        <w:t>Ensure that time for data meetings, analysis, and use is protected</w:t>
      </w:r>
    </w:p>
    <w:p w14:paraId="69A8E78A" w14:textId="77777777" w:rsidR="00102211" w:rsidRDefault="00102211" w:rsidP="00102211">
      <w:pPr>
        <w:numPr>
          <w:ilvl w:val="1"/>
          <w:numId w:val="36"/>
        </w:numPr>
        <w:spacing w:after="0" w:line="256" w:lineRule="auto"/>
        <w:ind w:right="0"/>
        <w:rPr>
          <w:color w:val="000000"/>
        </w:rPr>
      </w:pPr>
      <w:r>
        <w:rPr>
          <w:color w:val="000000"/>
        </w:rPr>
        <w:t>Ensure time for collaboration is created and protected</w:t>
      </w:r>
    </w:p>
    <w:p w14:paraId="0FC77A18" w14:textId="77777777" w:rsidR="00102211" w:rsidRDefault="00102211" w:rsidP="00102211">
      <w:pPr>
        <w:numPr>
          <w:ilvl w:val="1"/>
          <w:numId w:val="36"/>
        </w:numPr>
        <w:spacing w:after="0" w:line="256" w:lineRule="auto"/>
        <w:ind w:right="0"/>
        <w:rPr>
          <w:color w:val="000000"/>
        </w:rPr>
      </w:pPr>
      <w:r>
        <w:rPr>
          <w:color w:val="000000"/>
        </w:rPr>
        <w:t>Make student-centered decisions (including grouping of students, class schedules, etc.)</w:t>
      </w:r>
    </w:p>
    <w:p w14:paraId="72A39FD7" w14:textId="77777777" w:rsidR="00102211" w:rsidRDefault="00102211" w:rsidP="00102211">
      <w:pPr>
        <w:numPr>
          <w:ilvl w:val="1"/>
          <w:numId w:val="36"/>
        </w:numPr>
        <w:spacing w:after="0" w:line="256" w:lineRule="auto"/>
        <w:ind w:right="0"/>
        <w:rPr>
          <w:color w:val="000000"/>
        </w:rPr>
      </w:pPr>
      <w:r>
        <w:rPr>
          <w:color w:val="000000"/>
        </w:rPr>
        <w:t>Set high expectations of staff, families, and students</w:t>
      </w:r>
    </w:p>
    <w:p w14:paraId="0A37F2FF" w14:textId="77777777" w:rsidR="00102211" w:rsidRDefault="00102211" w:rsidP="00102211">
      <w:pPr>
        <w:numPr>
          <w:ilvl w:val="1"/>
          <w:numId w:val="36"/>
        </w:numPr>
        <w:spacing w:after="0" w:line="256" w:lineRule="auto"/>
        <w:ind w:right="0"/>
        <w:rPr>
          <w:color w:val="000000"/>
        </w:rPr>
      </w:pPr>
      <w:r>
        <w:rPr>
          <w:color w:val="000000"/>
        </w:rPr>
        <w:t>Budget sufficient funds and time to participate in required grant activities</w:t>
      </w:r>
    </w:p>
    <w:p w14:paraId="1F71C5BB" w14:textId="77777777" w:rsidR="00102211" w:rsidRDefault="00102211" w:rsidP="00102211">
      <w:pPr>
        <w:numPr>
          <w:ilvl w:val="1"/>
          <w:numId w:val="36"/>
        </w:numPr>
        <w:spacing w:after="0" w:line="256" w:lineRule="auto"/>
        <w:ind w:right="0"/>
        <w:rPr>
          <w:color w:val="000000"/>
        </w:rPr>
      </w:pPr>
      <w:r>
        <w:rPr>
          <w:color w:val="000000"/>
        </w:rPr>
        <w:t>Address issues of teacher stability and training</w:t>
      </w:r>
    </w:p>
    <w:p w14:paraId="6ABB4709" w14:textId="77777777" w:rsidR="00102211" w:rsidRDefault="00102211" w:rsidP="00102211">
      <w:pPr>
        <w:numPr>
          <w:ilvl w:val="1"/>
          <w:numId w:val="36"/>
        </w:numPr>
        <w:spacing w:after="0" w:line="256" w:lineRule="auto"/>
        <w:ind w:right="0"/>
        <w:rPr>
          <w:color w:val="000000"/>
        </w:rPr>
      </w:pPr>
      <w:r>
        <w:rPr>
          <w:color w:val="000000"/>
        </w:rPr>
        <w:t>Exercise leveraging of Title I, IDEA, and other funding sources</w:t>
      </w:r>
    </w:p>
    <w:p w14:paraId="2DA115A3" w14:textId="77777777" w:rsidR="00102211" w:rsidRDefault="00102211" w:rsidP="00102211">
      <w:pPr>
        <w:numPr>
          <w:ilvl w:val="1"/>
          <w:numId w:val="36"/>
        </w:numPr>
        <w:spacing w:after="0" w:line="256" w:lineRule="auto"/>
        <w:ind w:right="0"/>
        <w:rPr>
          <w:color w:val="000000"/>
        </w:rPr>
      </w:pPr>
      <w:r>
        <w:rPr>
          <w:color w:val="000000"/>
        </w:rPr>
        <w:t>Evaluate the impact of these funds on student achievement and participate in the external evaluation of the initiative</w:t>
      </w:r>
    </w:p>
    <w:p w14:paraId="4F68E162" w14:textId="77777777" w:rsidR="0093291A" w:rsidRDefault="0093291A" w:rsidP="0093291A">
      <w:pPr>
        <w:pStyle w:val="Heading3"/>
      </w:pPr>
      <w:r>
        <w:t>Teacher Commitments:</w:t>
      </w:r>
    </w:p>
    <w:p w14:paraId="059B3CA1" w14:textId="77777777" w:rsidR="0093291A" w:rsidRPr="0093291A" w:rsidRDefault="0093291A" w:rsidP="0093291A">
      <w:pPr>
        <w:pStyle w:val="ListParagraph"/>
        <w:numPr>
          <w:ilvl w:val="0"/>
          <w:numId w:val="37"/>
        </w:numPr>
        <w:spacing w:after="0" w:line="256" w:lineRule="auto"/>
        <w:ind w:right="0"/>
        <w:rPr>
          <w:color w:val="000000"/>
        </w:rPr>
      </w:pPr>
      <w:r w:rsidRPr="0093291A">
        <w:rPr>
          <w:color w:val="000000"/>
        </w:rPr>
        <w:t>Rethink current practices and modify those that are ineffective based on examination of student data</w:t>
      </w:r>
    </w:p>
    <w:p w14:paraId="2F719FAA" w14:textId="77777777" w:rsidR="0093291A" w:rsidRPr="0093291A" w:rsidRDefault="0093291A" w:rsidP="0093291A">
      <w:pPr>
        <w:pStyle w:val="ListParagraph"/>
        <w:numPr>
          <w:ilvl w:val="0"/>
          <w:numId w:val="37"/>
        </w:numPr>
        <w:spacing w:after="0" w:line="256" w:lineRule="auto"/>
        <w:ind w:right="0"/>
        <w:rPr>
          <w:color w:val="000000"/>
        </w:rPr>
      </w:pPr>
      <w:r w:rsidRPr="0093291A">
        <w:rPr>
          <w:color w:val="000000"/>
        </w:rPr>
        <w:t>Develop theoretical and practical knowledge of best practices</w:t>
      </w:r>
    </w:p>
    <w:p w14:paraId="350718EC" w14:textId="77777777" w:rsidR="0093291A" w:rsidRPr="0093291A" w:rsidRDefault="0093291A" w:rsidP="0093291A">
      <w:pPr>
        <w:pStyle w:val="ListParagraph"/>
        <w:numPr>
          <w:ilvl w:val="0"/>
          <w:numId w:val="37"/>
        </w:numPr>
        <w:spacing w:after="0" w:line="256" w:lineRule="auto"/>
        <w:ind w:right="0"/>
        <w:rPr>
          <w:color w:val="000000"/>
        </w:rPr>
      </w:pPr>
      <w:r w:rsidRPr="0093291A">
        <w:rPr>
          <w:color w:val="000000"/>
        </w:rPr>
        <w:t>Administer screening, diagnostic, and classroom progress monitoring assessments to inform instructional practice</w:t>
      </w:r>
    </w:p>
    <w:p w14:paraId="6C53D93E" w14:textId="77777777" w:rsidR="0093291A" w:rsidRPr="0093291A" w:rsidRDefault="0093291A" w:rsidP="0093291A">
      <w:pPr>
        <w:pStyle w:val="ListParagraph"/>
        <w:numPr>
          <w:ilvl w:val="0"/>
          <w:numId w:val="37"/>
        </w:numPr>
        <w:spacing w:after="0" w:line="256" w:lineRule="auto"/>
        <w:ind w:right="0"/>
        <w:rPr>
          <w:color w:val="000000"/>
        </w:rPr>
      </w:pPr>
      <w:r w:rsidRPr="0093291A">
        <w:rPr>
          <w:color w:val="000000"/>
        </w:rPr>
        <w:t>Help shape the culture of the school in a positive way</w:t>
      </w:r>
    </w:p>
    <w:p w14:paraId="3B26827E" w14:textId="77777777" w:rsidR="0093291A" w:rsidRPr="00D2606E" w:rsidRDefault="0093291A" w:rsidP="0093291A">
      <w:pPr>
        <w:spacing w:after="0" w:line="256" w:lineRule="auto"/>
        <w:ind w:right="0"/>
        <w:rPr>
          <w:color w:val="000000"/>
        </w:rPr>
      </w:pPr>
    </w:p>
    <w:p w14:paraId="3A575DE9" w14:textId="355A0E9F" w:rsidR="006310E4" w:rsidRDefault="00342357" w:rsidP="006310E4">
      <w:pPr>
        <w:pStyle w:val="Heading2"/>
      </w:pPr>
      <w:r>
        <w:t>Related Resources &amp; Information</w:t>
      </w:r>
    </w:p>
    <w:p w14:paraId="523A299F" w14:textId="3B586730" w:rsidR="00955FBF" w:rsidRPr="000F34F8" w:rsidRDefault="00955FBF" w:rsidP="00955FBF">
      <w:pPr>
        <w:pStyle w:val="Heading3"/>
      </w:pPr>
      <w:r w:rsidRPr="000F34F8">
        <w:t>EASI: Connect for Success</w:t>
      </w:r>
      <w:r>
        <w:t xml:space="preserve">- </w:t>
      </w:r>
      <w:r w:rsidRPr="00955FBF">
        <w:rPr>
          <w:rStyle w:val="URLChar"/>
          <w:b w:val="0"/>
          <w:bCs w:val="0"/>
        </w:rPr>
        <w:t>www.cde.state.co.us/fedprograms/cdeofferedservices-connectforsuccess</w:t>
      </w:r>
    </w:p>
    <w:p w14:paraId="3C341203" w14:textId="7FDE859E" w:rsidR="006310E4" w:rsidRPr="00342357" w:rsidRDefault="006310E4" w:rsidP="00955FBF">
      <w:pPr>
        <w:pStyle w:val="Heading3"/>
        <w:rPr>
          <w:rStyle w:val="URLChar"/>
          <w:b w:val="0"/>
          <w:bCs w:val="0"/>
        </w:rPr>
      </w:pPr>
    </w:p>
    <w:sectPr w:rsidR="006310E4" w:rsidRPr="00342357" w:rsidSect="007818E3">
      <w:headerReference w:type="default" r:id="rId14"/>
      <w:footerReference w:type="default" r:id="rId15"/>
      <w:pgSz w:w="12240" w:h="15840"/>
      <w:pgMar w:top="360" w:right="360" w:bottom="360" w:left="36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2444F" w14:textId="77777777" w:rsidR="00562C6B" w:rsidRDefault="00562C6B" w:rsidP="00271BD6">
      <w:pPr>
        <w:spacing w:after="0"/>
      </w:pPr>
      <w:r>
        <w:separator/>
      </w:r>
    </w:p>
  </w:endnote>
  <w:endnote w:type="continuationSeparator" w:id="0">
    <w:p w14:paraId="45DB3FD6" w14:textId="77777777" w:rsidR="00562C6B" w:rsidRDefault="00562C6B" w:rsidP="00271BD6">
      <w:pPr>
        <w:spacing w:after="0"/>
      </w:pPr>
      <w:r>
        <w:continuationSeparator/>
      </w:r>
    </w:p>
  </w:endnote>
  <w:endnote w:type="continuationNotice" w:id="1">
    <w:p w14:paraId="5D5717CA" w14:textId="77777777" w:rsidR="00562C6B" w:rsidRDefault="00562C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500">
    <w:altName w:val="Calibri"/>
    <w:panose1 w:val="00000000000000000000"/>
    <w:charset w:val="00"/>
    <w:family w:val="modern"/>
    <w:notTrueType/>
    <w:pitch w:val="variable"/>
    <w:sig w:usb0="A00000AF" w:usb1="40000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239342"/>
      <w:docPartObj>
        <w:docPartGallery w:val="Page Numbers (Bottom of Page)"/>
        <w:docPartUnique/>
      </w:docPartObj>
    </w:sdtPr>
    <w:sdtEndPr>
      <w:rPr>
        <w:noProof/>
      </w:rPr>
    </w:sdtEndPr>
    <w:sdtContent>
      <w:p w14:paraId="251C3DD0" w14:textId="44CAAE10" w:rsidR="00271BD6" w:rsidRDefault="00800BC4">
        <w:pPr>
          <w:pStyle w:val="Footer"/>
          <w:jc w:val="right"/>
        </w:pPr>
        <w:r w:rsidRPr="00800BC4">
          <w:rPr>
            <w:noProof/>
          </w:rPr>
          <mc:AlternateContent>
            <mc:Choice Requires="wps">
              <w:drawing>
                <wp:anchor distT="0" distB="0" distL="114300" distR="114300" simplePos="0" relativeHeight="251658240" behindDoc="0" locked="0" layoutInCell="1" allowOverlap="1" wp14:anchorId="2E84859D" wp14:editId="15792F95">
                  <wp:simplePos x="0" y="0"/>
                  <wp:positionH relativeFrom="column">
                    <wp:posOffset>231775</wp:posOffset>
                  </wp:positionH>
                  <wp:positionV relativeFrom="paragraph">
                    <wp:posOffset>95580</wp:posOffset>
                  </wp:positionV>
                  <wp:extent cx="6539788" cy="0"/>
                  <wp:effectExtent l="0" t="0" r="0" b="0"/>
                  <wp:wrapNone/>
                  <wp:docPr id="72091874" name="Straight Connector 2" descr="Program Contact&#10;Name&#10;Title &#10;Unit&#10;Phone&#10;URL"/>
                  <wp:cNvGraphicFramePr/>
                  <a:graphic xmlns:a="http://schemas.openxmlformats.org/drawingml/2006/main">
                    <a:graphicData uri="http://schemas.microsoft.com/office/word/2010/wordprocessingShape">
                      <wps:wsp>
                        <wps:cNvCnPr/>
                        <wps:spPr>
                          <a:xfrm>
                            <a:off x="0" y="0"/>
                            <a:ext cx="6539788"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8458A" id="Straight Connector 2" o:spid="_x0000_s1026" alt="Program Contact&#10;Name&#10;Title &#10;Unit&#10;Phone&#10;URL"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5pt,7.55pt" to="533.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" strokecolor="#156082 [3204]" strokeweight="1pt">
                  <v:stroke joinstyle="miter"/>
                </v:line>
              </w:pict>
            </mc:Fallback>
          </mc:AlternateContent>
        </w:r>
        <w:r w:rsidR="00271BD6" w:rsidRPr="00800BC4">
          <w:fldChar w:fldCharType="begin"/>
        </w:r>
        <w:r w:rsidR="00271BD6" w:rsidRPr="00800BC4">
          <w:instrText xml:space="preserve"> PAGE   \* MERGEFORMAT </w:instrText>
        </w:r>
        <w:r w:rsidR="00271BD6" w:rsidRPr="00800BC4">
          <w:fldChar w:fldCharType="separate"/>
        </w:r>
        <w:r w:rsidR="00271BD6" w:rsidRPr="00800BC4">
          <w:t>2</w:t>
        </w:r>
        <w:r w:rsidR="00271BD6" w:rsidRPr="00800BC4">
          <w:fldChar w:fldCharType="end"/>
        </w:r>
      </w:p>
    </w:sdtContent>
  </w:sdt>
  <w:p w14:paraId="59395C7D" w14:textId="77777777" w:rsidR="00271BD6" w:rsidRDefault="00271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97452" w14:textId="77777777" w:rsidR="00562C6B" w:rsidRDefault="00562C6B" w:rsidP="00271BD6">
      <w:pPr>
        <w:spacing w:after="0"/>
      </w:pPr>
      <w:r>
        <w:separator/>
      </w:r>
    </w:p>
  </w:footnote>
  <w:footnote w:type="continuationSeparator" w:id="0">
    <w:p w14:paraId="5E202E1A" w14:textId="77777777" w:rsidR="00562C6B" w:rsidRDefault="00562C6B" w:rsidP="00271BD6">
      <w:pPr>
        <w:spacing w:after="0"/>
      </w:pPr>
      <w:r>
        <w:continuationSeparator/>
      </w:r>
    </w:p>
  </w:footnote>
  <w:footnote w:type="continuationNotice" w:id="1">
    <w:p w14:paraId="681A5F2E" w14:textId="77777777" w:rsidR="00562C6B" w:rsidRDefault="00562C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40"/>
      <w:gridCol w:w="3840"/>
      <w:gridCol w:w="3840"/>
    </w:tblGrid>
    <w:tr w:rsidR="6BEA9AD3" w14:paraId="2D27F615" w14:textId="77777777" w:rsidTr="6BEA9AD3">
      <w:trPr>
        <w:trHeight w:val="300"/>
      </w:trPr>
      <w:tc>
        <w:tcPr>
          <w:tcW w:w="3840" w:type="dxa"/>
        </w:tcPr>
        <w:p w14:paraId="6C90FD1F" w14:textId="5BBC9E34" w:rsidR="6BEA9AD3" w:rsidRDefault="6BEA9AD3" w:rsidP="6BEA9AD3">
          <w:pPr>
            <w:pStyle w:val="Header"/>
            <w:ind w:left="-115"/>
          </w:pPr>
        </w:p>
      </w:tc>
      <w:tc>
        <w:tcPr>
          <w:tcW w:w="3840" w:type="dxa"/>
        </w:tcPr>
        <w:p w14:paraId="619F6AFA" w14:textId="1D579A78" w:rsidR="6BEA9AD3" w:rsidRDefault="6BEA9AD3" w:rsidP="6BEA9AD3">
          <w:pPr>
            <w:pStyle w:val="Header"/>
            <w:jc w:val="center"/>
          </w:pPr>
        </w:p>
      </w:tc>
      <w:tc>
        <w:tcPr>
          <w:tcW w:w="3840" w:type="dxa"/>
        </w:tcPr>
        <w:p w14:paraId="230FA6C7" w14:textId="6E813A20" w:rsidR="6BEA9AD3" w:rsidRDefault="6BEA9AD3" w:rsidP="6BEA9AD3">
          <w:pPr>
            <w:pStyle w:val="Header"/>
            <w:ind w:right="-115"/>
            <w:jc w:val="right"/>
          </w:pPr>
        </w:p>
      </w:tc>
    </w:tr>
  </w:tbl>
  <w:p w14:paraId="7E806274" w14:textId="0AD5F1BD" w:rsidR="6BEA9AD3" w:rsidRDefault="6BEA9AD3" w:rsidP="6BEA9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76B"/>
    <w:multiLevelType w:val="hybridMultilevel"/>
    <w:tmpl w:val="D2245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B12C9"/>
    <w:multiLevelType w:val="hybridMultilevel"/>
    <w:tmpl w:val="AEFE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465A5"/>
    <w:multiLevelType w:val="hybridMultilevel"/>
    <w:tmpl w:val="500657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7C0F9D"/>
    <w:multiLevelType w:val="multilevel"/>
    <w:tmpl w:val="2494CC34"/>
    <w:lvl w:ilvl="0">
      <w:start w:val="1"/>
      <w:numFmt w:val="bullet"/>
      <w:lvlText w:val=""/>
      <w:lvlJc w:val="left"/>
      <w:pPr>
        <w:ind w:left="1080" w:hanging="360"/>
      </w:pPr>
      <w:rPr>
        <w:rFonts w:ascii="Symbol" w:hAnsi="Symbol" w:hint="default"/>
        <w:b w:val="0"/>
        <w:i w:val="0"/>
        <w:sz w:val="22"/>
        <w:szCs w:val="22"/>
      </w:r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FD17BB6"/>
    <w:multiLevelType w:val="hybridMultilevel"/>
    <w:tmpl w:val="972635DA"/>
    <w:lvl w:ilvl="0" w:tplc="04090001">
      <w:start w:val="1"/>
      <w:numFmt w:val="bullet"/>
      <w:lvlText w:val=""/>
      <w:lvlJc w:val="left"/>
      <w:pPr>
        <w:ind w:left="72" w:hanging="360"/>
      </w:pPr>
      <w:rPr>
        <w:rFonts w:ascii="Symbol" w:hAnsi="Symbol"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5" w15:restartNumberingAfterBreak="0">
    <w:nsid w:val="1DF4DBCB"/>
    <w:multiLevelType w:val="hybridMultilevel"/>
    <w:tmpl w:val="A6882ED4"/>
    <w:lvl w:ilvl="0" w:tplc="06D8C9BA">
      <w:start w:val="1"/>
      <w:numFmt w:val="bullet"/>
      <w:lvlText w:val=""/>
      <w:lvlJc w:val="left"/>
      <w:pPr>
        <w:ind w:left="792" w:hanging="360"/>
      </w:pPr>
      <w:rPr>
        <w:rFonts w:ascii="Symbol" w:hAnsi="Symbol" w:hint="default"/>
      </w:rPr>
    </w:lvl>
    <w:lvl w:ilvl="1" w:tplc="6F74506C">
      <w:start w:val="1"/>
      <w:numFmt w:val="bullet"/>
      <w:lvlText w:val="o"/>
      <w:lvlJc w:val="left"/>
      <w:pPr>
        <w:ind w:left="1512" w:hanging="360"/>
      </w:pPr>
      <w:rPr>
        <w:rFonts w:ascii="Courier New" w:hAnsi="Courier New" w:hint="default"/>
      </w:rPr>
    </w:lvl>
    <w:lvl w:ilvl="2" w:tplc="A2402306">
      <w:start w:val="1"/>
      <w:numFmt w:val="bullet"/>
      <w:lvlText w:val=""/>
      <w:lvlJc w:val="left"/>
      <w:pPr>
        <w:ind w:left="2232" w:hanging="360"/>
      </w:pPr>
      <w:rPr>
        <w:rFonts w:ascii="Wingdings" w:hAnsi="Wingdings" w:hint="default"/>
      </w:rPr>
    </w:lvl>
    <w:lvl w:ilvl="3" w:tplc="0010AD24">
      <w:start w:val="1"/>
      <w:numFmt w:val="bullet"/>
      <w:lvlText w:val=""/>
      <w:lvlJc w:val="left"/>
      <w:pPr>
        <w:ind w:left="2952" w:hanging="360"/>
      </w:pPr>
      <w:rPr>
        <w:rFonts w:ascii="Symbol" w:hAnsi="Symbol" w:hint="default"/>
      </w:rPr>
    </w:lvl>
    <w:lvl w:ilvl="4" w:tplc="C646E08A">
      <w:start w:val="1"/>
      <w:numFmt w:val="bullet"/>
      <w:lvlText w:val="o"/>
      <w:lvlJc w:val="left"/>
      <w:pPr>
        <w:ind w:left="3672" w:hanging="360"/>
      </w:pPr>
      <w:rPr>
        <w:rFonts w:ascii="Courier New" w:hAnsi="Courier New" w:hint="default"/>
      </w:rPr>
    </w:lvl>
    <w:lvl w:ilvl="5" w:tplc="B688F026">
      <w:start w:val="1"/>
      <w:numFmt w:val="bullet"/>
      <w:lvlText w:val=""/>
      <w:lvlJc w:val="left"/>
      <w:pPr>
        <w:ind w:left="4392" w:hanging="360"/>
      </w:pPr>
      <w:rPr>
        <w:rFonts w:ascii="Wingdings" w:hAnsi="Wingdings" w:hint="default"/>
      </w:rPr>
    </w:lvl>
    <w:lvl w:ilvl="6" w:tplc="6346FEA6">
      <w:start w:val="1"/>
      <w:numFmt w:val="bullet"/>
      <w:lvlText w:val=""/>
      <w:lvlJc w:val="left"/>
      <w:pPr>
        <w:ind w:left="5112" w:hanging="360"/>
      </w:pPr>
      <w:rPr>
        <w:rFonts w:ascii="Symbol" w:hAnsi="Symbol" w:hint="default"/>
      </w:rPr>
    </w:lvl>
    <w:lvl w:ilvl="7" w:tplc="B61CC3E6">
      <w:start w:val="1"/>
      <w:numFmt w:val="bullet"/>
      <w:lvlText w:val="o"/>
      <w:lvlJc w:val="left"/>
      <w:pPr>
        <w:ind w:left="5832" w:hanging="360"/>
      </w:pPr>
      <w:rPr>
        <w:rFonts w:ascii="Courier New" w:hAnsi="Courier New" w:hint="default"/>
      </w:rPr>
    </w:lvl>
    <w:lvl w:ilvl="8" w:tplc="CF5CBB2A">
      <w:start w:val="1"/>
      <w:numFmt w:val="bullet"/>
      <w:lvlText w:val=""/>
      <w:lvlJc w:val="left"/>
      <w:pPr>
        <w:ind w:left="6552" w:hanging="360"/>
      </w:pPr>
      <w:rPr>
        <w:rFonts w:ascii="Wingdings" w:hAnsi="Wingdings" w:hint="default"/>
      </w:rPr>
    </w:lvl>
  </w:abstractNum>
  <w:abstractNum w:abstractNumId="6" w15:restartNumberingAfterBreak="0">
    <w:nsid w:val="21D476C0"/>
    <w:multiLevelType w:val="hybridMultilevel"/>
    <w:tmpl w:val="1114A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D15E32"/>
    <w:multiLevelType w:val="hybridMultilevel"/>
    <w:tmpl w:val="C6A411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DC3637"/>
    <w:multiLevelType w:val="hybridMultilevel"/>
    <w:tmpl w:val="1838A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563D23"/>
    <w:multiLevelType w:val="hybridMultilevel"/>
    <w:tmpl w:val="54E2C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81C17"/>
    <w:multiLevelType w:val="hybridMultilevel"/>
    <w:tmpl w:val="B3C4F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130EFD"/>
    <w:multiLevelType w:val="hybridMultilevel"/>
    <w:tmpl w:val="6088B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18133C8"/>
    <w:multiLevelType w:val="hybridMultilevel"/>
    <w:tmpl w:val="65AA8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947075"/>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B3A3EDD"/>
    <w:multiLevelType w:val="hybridMultilevel"/>
    <w:tmpl w:val="C60A1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BE2575A"/>
    <w:multiLevelType w:val="hybridMultilevel"/>
    <w:tmpl w:val="B8BE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861F3"/>
    <w:multiLevelType w:val="multilevel"/>
    <w:tmpl w:val="E5A803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E793CE7"/>
    <w:multiLevelType w:val="hybridMultilevel"/>
    <w:tmpl w:val="5F84A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D44E57"/>
    <w:multiLevelType w:val="multilevel"/>
    <w:tmpl w:val="5ACA49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2E72759"/>
    <w:multiLevelType w:val="multilevel"/>
    <w:tmpl w:val="6F36CC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5823224"/>
    <w:multiLevelType w:val="hybridMultilevel"/>
    <w:tmpl w:val="BD48FD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7621997"/>
    <w:multiLevelType w:val="hybridMultilevel"/>
    <w:tmpl w:val="E1307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1C793C"/>
    <w:multiLevelType w:val="hybridMultilevel"/>
    <w:tmpl w:val="98CC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D579D6"/>
    <w:multiLevelType w:val="hybridMultilevel"/>
    <w:tmpl w:val="B970B210"/>
    <w:lvl w:ilvl="0" w:tplc="B996455E">
      <w:start w:val="1"/>
      <w:numFmt w:val="bullet"/>
      <w:lvlText w:val=""/>
      <w:lvlJc w:val="left"/>
      <w:pPr>
        <w:ind w:left="1440" w:hanging="360"/>
      </w:pPr>
      <w:rPr>
        <w:rFonts w:ascii="Symbol" w:hAnsi="Symbol"/>
      </w:rPr>
    </w:lvl>
    <w:lvl w:ilvl="1" w:tplc="835A98BE">
      <w:start w:val="1"/>
      <w:numFmt w:val="bullet"/>
      <w:lvlText w:val=""/>
      <w:lvlJc w:val="left"/>
      <w:pPr>
        <w:ind w:left="1440" w:hanging="360"/>
      </w:pPr>
      <w:rPr>
        <w:rFonts w:ascii="Symbol" w:hAnsi="Symbol"/>
      </w:rPr>
    </w:lvl>
    <w:lvl w:ilvl="2" w:tplc="365A8280">
      <w:start w:val="1"/>
      <w:numFmt w:val="bullet"/>
      <w:lvlText w:val=""/>
      <w:lvlJc w:val="left"/>
      <w:pPr>
        <w:ind w:left="1440" w:hanging="360"/>
      </w:pPr>
      <w:rPr>
        <w:rFonts w:ascii="Symbol" w:hAnsi="Symbol"/>
      </w:rPr>
    </w:lvl>
    <w:lvl w:ilvl="3" w:tplc="DC10E3D0">
      <w:start w:val="1"/>
      <w:numFmt w:val="bullet"/>
      <w:lvlText w:val=""/>
      <w:lvlJc w:val="left"/>
      <w:pPr>
        <w:ind w:left="1440" w:hanging="360"/>
      </w:pPr>
      <w:rPr>
        <w:rFonts w:ascii="Symbol" w:hAnsi="Symbol"/>
      </w:rPr>
    </w:lvl>
    <w:lvl w:ilvl="4" w:tplc="4CEA124C">
      <w:start w:val="1"/>
      <w:numFmt w:val="bullet"/>
      <w:lvlText w:val=""/>
      <w:lvlJc w:val="left"/>
      <w:pPr>
        <w:ind w:left="1440" w:hanging="360"/>
      </w:pPr>
      <w:rPr>
        <w:rFonts w:ascii="Symbol" w:hAnsi="Symbol"/>
      </w:rPr>
    </w:lvl>
    <w:lvl w:ilvl="5" w:tplc="5C940EEA">
      <w:start w:val="1"/>
      <w:numFmt w:val="bullet"/>
      <w:lvlText w:val=""/>
      <w:lvlJc w:val="left"/>
      <w:pPr>
        <w:ind w:left="1440" w:hanging="360"/>
      </w:pPr>
      <w:rPr>
        <w:rFonts w:ascii="Symbol" w:hAnsi="Symbol"/>
      </w:rPr>
    </w:lvl>
    <w:lvl w:ilvl="6" w:tplc="9A74BFFE">
      <w:start w:val="1"/>
      <w:numFmt w:val="bullet"/>
      <w:lvlText w:val=""/>
      <w:lvlJc w:val="left"/>
      <w:pPr>
        <w:ind w:left="1440" w:hanging="360"/>
      </w:pPr>
      <w:rPr>
        <w:rFonts w:ascii="Symbol" w:hAnsi="Symbol"/>
      </w:rPr>
    </w:lvl>
    <w:lvl w:ilvl="7" w:tplc="E3F01358">
      <w:start w:val="1"/>
      <w:numFmt w:val="bullet"/>
      <w:lvlText w:val=""/>
      <w:lvlJc w:val="left"/>
      <w:pPr>
        <w:ind w:left="1440" w:hanging="360"/>
      </w:pPr>
      <w:rPr>
        <w:rFonts w:ascii="Symbol" w:hAnsi="Symbol"/>
      </w:rPr>
    </w:lvl>
    <w:lvl w:ilvl="8" w:tplc="81228518">
      <w:start w:val="1"/>
      <w:numFmt w:val="bullet"/>
      <w:lvlText w:val=""/>
      <w:lvlJc w:val="left"/>
      <w:pPr>
        <w:ind w:left="1440" w:hanging="360"/>
      </w:pPr>
      <w:rPr>
        <w:rFonts w:ascii="Symbol" w:hAnsi="Symbol"/>
      </w:rPr>
    </w:lvl>
  </w:abstractNum>
  <w:abstractNum w:abstractNumId="24" w15:restartNumberingAfterBreak="0">
    <w:nsid w:val="5E441958"/>
    <w:multiLevelType w:val="hybridMultilevel"/>
    <w:tmpl w:val="D36A13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7938DF"/>
    <w:multiLevelType w:val="hybridMultilevel"/>
    <w:tmpl w:val="E612D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656DF8"/>
    <w:multiLevelType w:val="hybridMultilevel"/>
    <w:tmpl w:val="3B2EB4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5942474"/>
    <w:multiLevelType w:val="hybridMultilevel"/>
    <w:tmpl w:val="81FE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A86E6A"/>
    <w:multiLevelType w:val="hybridMultilevel"/>
    <w:tmpl w:val="5E44DC8E"/>
    <w:lvl w:ilvl="0" w:tplc="DFC4E4BC">
      <w:start w:val="1"/>
      <w:numFmt w:val="bullet"/>
      <w:lvlText w:val=""/>
      <w:lvlJc w:val="left"/>
      <w:pPr>
        <w:ind w:left="1440" w:hanging="360"/>
      </w:pPr>
      <w:rPr>
        <w:rFonts w:ascii="Symbol" w:hAnsi="Symbol"/>
      </w:rPr>
    </w:lvl>
    <w:lvl w:ilvl="1" w:tplc="C276D5E2">
      <w:start w:val="1"/>
      <w:numFmt w:val="bullet"/>
      <w:lvlText w:val=""/>
      <w:lvlJc w:val="left"/>
      <w:pPr>
        <w:ind w:left="1440" w:hanging="360"/>
      </w:pPr>
      <w:rPr>
        <w:rFonts w:ascii="Symbol" w:hAnsi="Symbol"/>
      </w:rPr>
    </w:lvl>
    <w:lvl w:ilvl="2" w:tplc="D8781D28">
      <w:start w:val="1"/>
      <w:numFmt w:val="bullet"/>
      <w:lvlText w:val=""/>
      <w:lvlJc w:val="left"/>
      <w:pPr>
        <w:ind w:left="1440" w:hanging="360"/>
      </w:pPr>
      <w:rPr>
        <w:rFonts w:ascii="Symbol" w:hAnsi="Symbol"/>
      </w:rPr>
    </w:lvl>
    <w:lvl w:ilvl="3" w:tplc="EF145650">
      <w:start w:val="1"/>
      <w:numFmt w:val="bullet"/>
      <w:lvlText w:val=""/>
      <w:lvlJc w:val="left"/>
      <w:pPr>
        <w:ind w:left="1440" w:hanging="360"/>
      </w:pPr>
      <w:rPr>
        <w:rFonts w:ascii="Symbol" w:hAnsi="Symbol"/>
      </w:rPr>
    </w:lvl>
    <w:lvl w:ilvl="4" w:tplc="9A346AA8">
      <w:start w:val="1"/>
      <w:numFmt w:val="bullet"/>
      <w:lvlText w:val=""/>
      <w:lvlJc w:val="left"/>
      <w:pPr>
        <w:ind w:left="1440" w:hanging="360"/>
      </w:pPr>
      <w:rPr>
        <w:rFonts w:ascii="Symbol" w:hAnsi="Symbol"/>
      </w:rPr>
    </w:lvl>
    <w:lvl w:ilvl="5" w:tplc="465E0572">
      <w:start w:val="1"/>
      <w:numFmt w:val="bullet"/>
      <w:lvlText w:val=""/>
      <w:lvlJc w:val="left"/>
      <w:pPr>
        <w:ind w:left="1440" w:hanging="360"/>
      </w:pPr>
      <w:rPr>
        <w:rFonts w:ascii="Symbol" w:hAnsi="Symbol"/>
      </w:rPr>
    </w:lvl>
    <w:lvl w:ilvl="6" w:tplc="6422D5FC">
      <w:start w:val="1"/>
      <w:numFmt w:val="bullet"/>
      <w:lvlText w:val=""/>
      <w:lvlJc w:val="left"/>
      <w:pPr>
        <w:ind w:left="1440" w:hanging="360"/>
      </w:pPr>
      <w:rPr>
        <w:rFonts w:ascii="Symbol" w:hAnsi="Symbol"/>
      </w:rPr>
    </w:lvl>
    <w:lvl w:ilvl="7" w:tplc="E13E94AE">
      <w:start w:val="1"/>
      <w:numFmt w:val="bullet"/>
      <w:lvlText w:val=""/>
      <w:lvlJc w:val="left"/>
      <w:pPr>
        <w:ind w:left="1440" w:hanging="360"/>
      </w:pPr>
      <w:rPr>
        <w:rFonts w:ascii="Symbol" w:hAnsi="Symbol"/>
      </w:rPr>
    </w:lvl>
    <w:lvl w:ilvl="8" w:tplc="6054F7C8">
      <w:start w:val="1"/>
      <w:numFmt w:val="bullet"/>
      <w:lvlText w:val=""/>
      <w:lvlJc w:val="left"/>
      <w:pPr>
        <w:ind w:left="1440" w:hanging="360"/>
      </w:pPr>
      <w:rPr>
        <w:rFonts w:ascii="Symbol" w:hAnsi="Symbol"/>
      </w:rPr>
    </w:lvl>
  </w:abstractNum>
  <w:abstractNum w:abstractNumId="29" w15:restartNumberingAfterBreak="0">
    <w:nsid w:val="69215E95"/>
    <w:multiLevelType w:val="multilevel"/>
    <w:tmpl w:val="98F42C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F40250"/>
    <w:multiLevelType w:val="hybridMultilevel"/>
    <w:tmpl w:val="BD9A64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646C56"/>
    <w:multiLevelType w:val="multilevel"/>
    <w:tmpl w:val="DDBE51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E976336"/>
    <w:multiLevelType w:val="multilevel"/>
    <w:tmpl w:val="F35805C4"/>
    <w:lvl w:ilvl="0">
      <w:start w:val="1"/>
      <w:numFmt w:val="bullet"/>
      <w:lvlText w:val=""/>
      <w:lvlJc w:val="left"/>
      <w:pPr>
        <w:ind w:left="720" w:hanging="360"/>
      </w:pPr>
      <w:rPr>
        <w:rFonts w:ascii="Symbol" w:hAnsi="Symbol" w:hint="default"/>
        <w:b w:val="0"/>
        <w:i w:val="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24172A0"/>
    <w:multiLevelType w:val="hybridMultilevel"/>
    <w:tmpl w:val="45B48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35D7A83"/>
    <w:multiLevelType w:val="hybridMultilevel"/>
    <w:tmpl w:val="9070A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A2568"/>
    <w:multiLevelType w:val="hybridMultilevel"/>
    <w:tmpl w:val="88A236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C3563AB"/>
    <w:multiLevelType w:val="hybridMultilevel"/>
    <w:tmpl w:val="9F5C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908962">
    <w:abstractNumId w:val="5"/>
  </w:num>
  <w:num w:numId="2" w16cid:durableId="79181208">
    <w:abstractNumId w:val="18"/>
  </w:num>
  <w:num w:numId="3" w16cid:durableId="1824464553">
    <w:abstractNumId w:val="26"/>
  </w:num>
  <w:num w:numId="4" w16cid:durableId="1143422764">
    <w:abstractNumId w:val="13"/>
  </w:num>
  <w:num w:numId="5" w16cid:durableId="1143352235">
    <w:abstractNumId w:val="32"/>
  </w:num>
  <w:num w:numId="6" w16cid:durableId="594090659">
    <w:abstractNumId w:val="4"/>
  </w:num>
  <w:num w:numId="7" w16cid:durableId="1681077803">
    <w:abstractNumId w:val="19"/>
  </w:num>
  <w:num w:numId="8" w16cid:durableId="824278731">
    <w:abstractNumId w:val="36"/>
  </w:num>
  <w:num w:numId="9" w16cid:durableId="1234313799">
    <w:abstractNumId w:val="10"/>
  </w:num>
  <w:num w:numId="10" w16cid:durableId="790441336">
    <w:abstractNumId w:val="23"/>
  </w:num>
  <w:num w:numId="11" w16cid:durableId="709956776">
    <w:abstractNumId w:val="7"/>
  </w:num>
  <w:num w:numId="12" w16cid:durableId="454249301">
    <w:abstractNumId w:val="28"/>
  </w:num>
  <w:num w:numId="13" w16cid:durableId="2009022099">
    <w:abstractNumId w:val="17"/>
  </w:num>
  <w:num w:numId="14" w16cid:durableId="1842693230">
    <w:abstractNumId w:val="34"/>
  </w:num>
  <w:num w:numId="15" w16cid:durableId="667757076">
    <w:abstractNumId w:val="35"/>
  </w:num>
  <w:num w:numId="16" w16cid:durableId="1579708068">
    <w:abstractNumId w:val="22"/>
  </w:num>
  <w:num w:numId="17" w16cid:durableId="262227811">
    <w:abstractNumId w:val="20"/>
  </w:num>
  <w:num w:numId="18" w16cid:durableId="1237321533">
    <w:abstractNumId w:val="27"/>
  </w:num>
  <w:num w:numId="19" w16cid:durableId="1161850128">
    <w:abstractNumId w:val="21"/>
  </w:num>
  <w:num w:numId="20" w16cid:durableId="164444722">
    <w:abstractNumId w:val="15"/>
  </w:num>
  <w:num w:numId="21" w16cid:durableId="1224566266">
    <w:abstractNumId w:val="0"/>
  </w:num>
  <w:num w:numId="22" w16cid:durableId="1758862160">
    <w:abstractNumId w:val="29"/>
  </w:num>
  <w:num w:numId="23" w16cid:durableId="871305081">
    <w:abstractNumId w:val="16"/>
  </w:num>
  <w:num w:numId="24" w16cid:durableId="184289214">
    <w:abstractNumId w:val="12"/>
  </w:num>
  <w:num w:numId="25" w16cid:durableId="171646829">
    <w:abstractNumId w:val="11"/>
  </w:num>
  <w:num w:numId="26" w16cid:durableId="1076635312">
    <w:abstractNumId w:val="30"/>
  </w:num>
  <w:num w:numId="27" w16cid:durableId="1967657038">
    <w:abstractNumId w:val="9"/>
  </w:num>
  <w:num w:numId="28" w16cid:durableId="1651330447">
    <w:abstractNumId w:val="6"/>
  </w:num>
  <w:num w:numId="29" w16cid:durableId="639188122">
    <w:abstractNumId w:val="3"/>
  </w:num>
  <w:num w:numId="30" w16cid:durableId="78984230">
    <w:abstractNumId w:val="25"/>
  </w:num>
  <w:num w:numId="31" w16cid:durableId="1878547465">
    <w:abstractNumId w:val="2"/>
  </w:num>
  <w:num w:numId="32" w16cid:durableId="1178076516">
    <w:abstractNumId w:val="1"/>
  </w:num>
  <w:num w:numId="33" w16cid:durableId="1497648831">
    <w:abstractNumId w:val="14"/>
  </w:num>
  <w:num w:numId="34" w16cid:durableId="1383751670">
    <w:abstractNumId w:val="8"/>
  </w:num>
  <w:num w:numId="35" w16cid:durableId="892692681">
    <w:abstractNumId w:val="31"/>
  </w:num>
  <w:num w:numId="36" w16cid:durableId="317999384">
    <w:abstractNumId w:val="24"/>
  </w:num>
  <w:num w:numId="37" w16cid:durableId="11642026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15"/>
    <w:rsid w:val="00007FE5"/>
    <w:rsid w:val="00014EFD"/>
    <w:rsid w:val="000368D0"/>
    <w:rsid w:val="0005624E"/>
    <w:rsid w:val="000657C1"/>
    <w:rsid w:val="000803B8"/>
    <w:rsid w:val="00087158"/>
    <w:rsid w:val="00090426"/>
    <w:rsid w:val="00096FF1"/>
    <w:rsid w:val="000C6DB0"/>
    <w:rsid w:val="000E2D85"/>
    <w:rsid w:val="000F0D43"/>
    <w:rsid w:val="00102211"/>
    <w:rsid w:val="001156C3"/>
    <w:rsid w:val="00155A5C"/>
    <w:rsid w:val="00194D04"/>
    <w:rsid w:val="001A4ACF"/>
    <w:rsid w:val="001A571F"/>
    <w:rsid w:val="001C67AF"/>
    <w:rsid w:val="00210D2E"/>
    <w:rsid w:val="00220348"/>
    <w:rsid w:val="00227030"/>
    <w:rsid w:val="00254383"/>
    <w:rsid w:val="00257995"/>
    <w:rsid w:val="00271BD6"/>
    <w:rsid w:val="002866C2"/>
    <w:rsid w:val="002933D8"/>
    <w:rsid w:val="002A1ABD"/>
    <w:rsid w:val="002B44CF"/>
    <w:rsid w:val="002C3CAB"/>
    <w:rsid w:val="002C51CE"/>
    <w:rsid w:val="002C53B0"/>
    <w:rsid w:val="002E41BC"/>
    <w:rsid w:val="00342357"/>
    <w:rsid w:val="00347913"/>
    <w:rsid w:val="00347FC5"/>
    <w:rsid w:val="00350B15"/>
    <w:rsid w:val="00351DF6"/>
    <w:rsid w:val="00382550"/>
    <w:rsid w:val="00385B40"/>
    <w:rsid w:val="00394FFB"/>
    <w:rsid w:val="003A1E43"/>
    <w:rsid w:val="003C1BAE"/>
    <w:rsid w:val="003C1EE2"/>
    <w:rsid w:val="003D6325"/>
    <w:rsid w:val="003E7A47"/>
    <w:rsid w:val="003F06E3"/>
    <w:rsid w:val="003F4054"/>
    <w:rsid w:val="00412736"/>
    <w:rsid w:val="00414A9D"/>
    <w:rsid w:val="0041756A"/>
    <w:rsid w:val="0042101B"/>
    <w:rsid w:val="004223A7"/>
    <w:rsid w:val="00470DF3"/>
    <w:rsid w:val="004B2802"/>
    <w:rsid w:val="004C6457"/>
    <w:rsid w:val="004F0247"/>
    <w:rsid w:val="004F3890"/>
    <w:rsid w:val="004F76BE"/>
    <w:rsid w:val="004F76F2"/>
    <w:rsid w:val="0050764C"/>
    <w:rsid w:val="00513A2F"/>
    <w:rsid w:val="00514BE5"/>
    <w:rsid w:val="00515619"/>
    <w:rsid w:val="00521466"/>
    <w:rsid w:val="00531410"/>
    <w:rsid w:val="0053152C"/>
    <w:rsid w:val="005333DF"/>
    <w:rsid w:val="005338B2"/>
    <w:rsid w:val="00561EC6"/>
    <w:rsid w:val="005626BD"/>
    <w:rsid w:val="00562C6B"/>
    <w:rsid w:val="005B17AA"/>
    <w:rsid w:val="005B41D6"/>
    <w:rsid w:val="005C2CA4"/>
    <w:rsid w:val="005C5559"/>
    <w:rsid w:val="005D20D0"/>
    <w:rsid w:val="005D4857"/>
    <w:rsid w:val="005D69FA"/>
    <w:rsid w:val="005F7757"/>
    <w:rsid w:val="0060667E"/>
    <w:rsid w:val="0061395A"/>
    <w:rsid w:val="006310E4"/>
    <w:rsid w:val="00635127"/>
    <w:rsid w:val="00643235"/>
    <w:rsid w:val="0065359D"/>
    <w:rsid w:val="0066783F"/>
    <w:rsid w:val="00671555"/>
    <w:rsid w:val="00672122"/>
    <w:rsid w:val="006734C2"/>
    <w:rsid w:val="00684EA7"/>
    <w:rsid w:val="006854CB"/>
    <w:rsid w:val="00685EB6"/>
    <w:rsid w:val="006C5F81"/>
    <w:rsid w:val="006D1089"/>
    <w:rsid w:val="00703F8E"/>
    <w:rsid w:val="0071689B"/>
    <w:rsid w:val="0072090C"/>
    <w:rsid w:val="0073194E"/>
    <w:rsid w:val="007376E1"/>
    <w:rsid w:val="007470F3"/>
    <w:rsid w:val="007532EB"/>
    <w:rsid w:val="007818E3"/>
    <w:rsid w:val="007A0C15"/>
    <w:rsid w:val="007B13B1"/>
    <w:rsid w:val="007C4375"/>
    <w:rsid w:val="007D29B7"/>
    <w:rsid w:val="007D6A9F"/>
    <w:rsid w:val="007E50A4"/>
    <w:rsid w:val="007F2B86"/>
    <w:rsid w:val="007F7EAE"/>
    <w:rsid w:val="00800BC4"/>
    <w:rsid w:val="008226BB"/>
    <w:rsid w:val="0084177E"/>
    <w:rsid w:val="00846376"/>
    <w:rsid w:val="00850BDD"/>
    <w:rsid w:val="00866828"/>
    <w:rsid w:val="00872858"/>
    <w:rsid w:val="00877958"/>
    <w:rsid w:val="008824E9"/>
    <w:rsid w:val="0089365E"/>
    <w:rsid w:val="008937C7"/>
    <w:rsid w:val="0089532C"/>
    <w:rsid w:val="00897925"/>
    <w:rsid w:val="008C3041"/>
    <w:rsid w:val="008D3953"/>
    <w:rsid w:val="008E090B"/>
    <w:rsid w:val="00900DA2"/>
    <w:rsid w:val="00903946"/>
    <w:rsid w:val="0093291A"/>
    <w:rsid w:val="00955FBF"/>
    <w:rsid w:val="009646A5"/>
    <w:rsid w:val="009678EE"/>
    <w:rsid w:val="00992993"/>
    <w:rsid w:val="009A6020"/>
    <w:rsid w:val="009B397E"/>
    <w:rsid w:val="009E72E3"/>
    <w:rsid w:val="009F42B7"/>
    <w:rsid w:val="00A06998"/>
    <w:rsid w:val="00A16654"/>
    <w:rsid w:val="00A32CFA"/>
    <w:rsid w:val="00A47FEB"/>
    <w:rsid w:val="00A61C63"/>
    <w:rsid w:val="00A67EEC"/>
    <w:rsid w:val="00A76F4B"/>
    <w:rsid w:val="00A83E72"/>
    <w:rsid w:val="00A85AF8"/>
    <w:rsid w:val="00AC14E3"/>
    <w:rsid w:val="00AD7D2D"/>
    <w:rsid w:val="00AE0A1F"/>
    <w:rsid w:val="00B27BA9"/>
    <w:rsid w:val="00B30393"/>
    <w:rsid w:val="00B41F6C"/>
    <w:rsid w:val="00B54819"/>
    <w:rsid w:val="00BA015A"/>
    <w:rsid w:val="00BB53A5"/>
    <w:rsid w:val="00BD428E"/>
    <w:rsid w:val="00BD613C"/>
    <w:rsid w:val="00BF7E68"/>
    <w:rsid w:val="00C1416F"/>
    <w:rsid w:val="00C24C37"/>
    <w:rsid w:val="00C444F7"/>
    <w:rsid w:val="00C60781"/>
    <w:rsid w:val="00C658D5"/>
    <w:rsid w:val="00C82EB5"/>
    <w:rsid w:val="00CC446C"/>
    <w:rsid w:val="00CC6156"/>
    <w:rsid w:val="00CC6308"/>
    <w:rsid w:val="00CC7A7D"/>
    <w:rsid w:val="00CD6299"/>
    <w:rsid w:val="00CE0A48"/>
    <w:rsid w:val="00CF044C"/>
    <w:rsid w:val="00D01ABF"/>
    <w:rsid w:val="00D01ED0"/>
    <w:rsid w:val="00D16104"/>
    <w:rsid w:val="00D244E4"/>
    <w:rsid w:val="00D24BA9"/>
    <w:rsid w:val="00D353F6"/>
    <w:rsid w:val="00D55854"/>
    <w:rsid w:val="00D56EFA"/>
    <w:rsid w:val="00D81A2C"/>
    <w:rsid w:val="00DA1E51"/>
    <w:rsid w:val="00DA7B02"/>
    <w:rsid w:val="00DB371F"/>
    <w:rsid w:val="00DB51BD"/>
    <w:rsid w:val="00DC4626"/>
    <w:rsid w:val="00DD0F67"/>
    <w:rsid w:val="00E2153B"/>
    <w:rsid w:val="00E329E8"/>
    <w:rsid w:val="00E4109F"/>
    <w:rsid w:val="00E607BF"/>
    <w:rsid w:val="00E77A91"/>
    <w:rsid w:val="00E80FB1"/>
    <w:rsid w:val="00EA26C3"/>
    <w:rsid w:val="00EB76B0"/>
    <w:rsid w:val="00EF14BD"/>
    <w:rsid w:val="00F3199B"/>
    <w:rsid w:val="00F4632A"/>
    <w:rsid w:val="00F56CAF"/>
    <w:rsid w:val="00F62302"/>
    <w:rsid w:val="00F9372C"/>
    <w:rsid w:val="00FA29BB"/>
    <w:rsid w:val="00FB7B4A"/>
    <w:rsid w:val="00FD1868"/>
    <w:rsid w:val="01FA27D5"/>
    <w:rsid w:val="062F05BB"/>
    <w:rsid w:val="0646AA3A"/>
    <w:rsid w:val="088476AA"/>
    <w:rsid w:val="1069D906"/>
    <w:rsid w:val="1137F2AF"/>
    <w:rsid w:val="1410383F"/>
    <w:rsid w:val="1DB8E84D"/>
    <w:rsid w:val="22315180"/>
    <w:rsid w:val="2494926D"/>
    <w:rsid w:val="26921991"/>
    <w:rsid w:val="2A0992CD"/>
    <w:rsid w:val="32CEA8D0"/>
    <w:rsid w:val="337DEB0B"/>
    <w:rsid w:val="3E1767DA"/>
    <w:rsid w:val="50C9750D"/>
    <w:rsid w:val="54B89B6F"/>
    <w:rsid w:val="574512B1"/>
    <w:rsid w:val="583C63B5"/>
    <w:rsid w:val="5A6D45D4"/>
    <w:rsid w:val="60067891"/>
    <w:rsid w:val="685C592C"/>
    <w:rsid w:val="6BEA9AD3"/>
    <w:rsid w:val="71753B9C"/>
    <w:rsid w:val="790C876A"/>
    <w:rsid w:val="798F6B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CBED1"/>
  <w15:chartTrackingRefBased/>
  <w15:docId w15:val="{9F7FED88-AECE-4CA2-B27B-A972B51D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3DF"/>
    <w:pPr>
      <w:spacing w:line="240" w:lineRule="auto"/>
      <w:ind w:left="432" w:right="432"/>
    </w:pPr>
    <w:rPr>
      <w:rFonts w:ascii="Calibri" w:hAnsi="Calibri"/>
      <w:sz w:val="24"/>
    </w:rPr>
  </w:style>
  <w:style w:type="paragraph" w:styleId="Heading1">
    <w:name w:val="heading 1"/>
    <w:basedOn w:val="Normal"/>
    <w:next w:val="Normal"/>
    <w:link w:val="Heading1Char"/>
    <w:uiPriority w:val="9"/>
    <w:qFormat/>
    <w:rsid w:val="009F42B7"/>
    <w:pPr>
      <w:keepNext/>
      <w:keepLines/>
      <w:spacing w:before="360" w:after="0"/>
      <w:outlineLvl w:val="0"/>
    </w:pPr>
    <w:rPr>
      <w:rFonts w:ascii="Museo 500" w:eastAsiaTheme="majorEastAsia" w:hAnsi="Museo 500" w:cstheme="majorBidi"/>
      <w:color w:val="0F4761" w:themeColor="accent1" w:themeShade="BF"/>
      <w:sz w:val="44"/>
      <w:szCs w:val="40"/>
    </w:rPr>
  </w:style>
  <w:style w:type="paragraph" w:styleId="Heading2">
    <w:name w:val="heading 2"/>
    <w:basedOn w:val="Normal"/>
    <w:next w:val="Normal"/>
    <w:link w:val="Heading2Char"/>
    <w:uiPriority w:val="9"/>
    <w:unhideWhenUsed/>
    <w:qFormat/>
    <w:rsid w:val="00194D04"/>
    <w:pPr>
      <w:keepNext/>
      <w:keepLines/>
      <w:spacing w:before="120" w:after="1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autoRedefine/>
    <w:uiPriority w:val="9"/>
    <w:unhideWhenUsed/>
    <w:qFormat/>
    <w:rsid w:val="00514BE5"/>
    <w:pPr>
      <w:keepNext/>
      <w:keepLines/>
      <w:spacing w:before="160" w:after="180"/>
      <w:outlineLvl w:val="2"/>
    </w:pPr>
    <w:rPr>
      <w:rFonts w:eastAsiaTheme="majorEastAsia" w:cs="Calibri"/>
      <w:b/>
      <w:bCs/>
      <w:color w:val="000000" w:themeColor="text1"/>
      <w:szCs w:val="24"/>
    </w:rPr>
  </w:style>
  <w:style w:type="paragraph" w:styleId="Heading4">
    <w:name w:val="heading 4"/>
    <w:basedOn w:val="Normal"/>
    <w:next w:val="Normal"/>
    <w:link w:val="Heading4Char"/>
    <w:uiPriority w:val="9"/>
    <w:semiHidden/>
    <w:unhideWhenUsed/>
    <w:qFormat/>
    <w:rsid w:val="007A0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2B7"/>
    <w:rPr>
      <w:rFonts w:ascii="Museo 500" w:eastAsiaTheme="majorEastAsia" w:hAnsi="Museo 500" w:cstheme="majorBidi"/>
      <w:color w:val="0F4761" w:themeColor="accent1" w:themeShade="BF"/>
      <w:sz w:val="44"/>
      <w:szCs w:val="40"/>
    </w:rPr>
  </w:style>
  <w:style w:type="character" w:customStyle="1" w:styleId="Heading2Char">
    <w:name w:val="Heading 2 Char"/>
    <w:basedOn w:val="DefaultParagraphFont"/>
    <w:link w:val="Heading2"/>
    <w:uiPriority w:val="9"/>
    <w:rsid w:val="00194D0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514BE5"/>
    <w:rPr>
      <w:rFonts w:ascii="Calibri" w:eastAsiaTheme="majorEastAsia" w:hAnsi="Calibri" w:cs="Calibri"/>
      <w:b/>
      <w:bCs/>
      <w:color w:val="000000" w:themeColor="text1"/>
      <w:sz w:val="24"/>
      <w:szCs w:val="24"/>
    </w:rPr>
  </w:style>
  <w:style w:type="character" w:customStyle="1" w:styleId="Heading4Char">
    <w:name w:val="Heading 4 Char"/>
    <w:basedOn w:val="DefaultParagraphFont"/>
    <w:link w:val="Heading4"/>
    <w:uiPriority w:val="9"/>
    <w:semiHidden/>
    <w:rsid w:val="007A0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C15"/>
    <w:rPr>
      <w:rFonts w:eastAsiaTheme="majorEastAsia" w:cstheme="majorBidi"/>
      <w:color w:val="272727" w:themeColor="text1" w:themeTint="D8"/>
    </w:rPr>
  </w:style>
  <w:style w:type="paragraph" w:styleId="Title">
    <w:name w:val="Title"/>
    <w:basedOn w:val="Normal"/>
    <w:next w:val="Normal"/>
    <w:link w:val="TitleChar"/>
    <w:uiPriority w:val="10"/>
    <w:qFormat/>
    <w:rsid w:val="007A0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C15"/>
    <w:pPr>
      <w:numPr>
        <w:ilvl w:val="1"/>
      </w:numPr>
      <w:ind w:left="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C15"/>
    <w:pPr>
      <w:spacing w:before="160"/>
      <w:jc w:val="center"/>
    </w:pPr>
    <w:rPr>
      <w:i/>
      <w:iCs/>
      <w:color w:val="404040" w:themeColor="text1" w:themeTint="BF"/>
    </w:rPr>
  </w:style>
  <w:style w:type="character" w:customStyle="1" w:styleId="QuoteChar">
    <w:name w:val="Quote Char"/>
    <w:basedOn w:val="DefaultParagraphFont"/>
    <w:link w:val="Quote"/>
    <w:uiPriority w:val="29"/>
    <w:rsid w:val="007A0C15"/>
    <w:rPr>
      <w:i/>
      <w:iCs/>
      <w:color w:val="404040" w:themeColor="text1" w:themeTint="BF"/>
    </w:rPr>
  </w:style>
  <w:style w:type="paragraph" w:styleId="ListParagraph">
    <w:name w:val="List Paragraph"/>
    <w:basedOn w:val="Normal"/>
    <w:uiPriority w:val="34"/>
    <w:qFormat/>
    <w:rsid w:val="007A0C15"/>
    <w:pPr>
      <w:ind w:left="720"/>
      <w:contextualSpacing/>
    </w:pPr>
  </w:style>
  <w:style w:type="character" w:styleId="IntenseEmphasis">
    <w:name w:val="Intense Emphasis"/>
    <w:basedOn w:val="DefaultParagraphFont"/>
    <w:uiPriority w:val="21"/>
    <w:qFormat/>
    <w:rsid w:val="007A0C15"/>
    <w:rPr>
      <w:i/>
      <w:iCs/>
      <w:color w:val="0F4761" w:themeColor="accent1" w:themeShade="BF"/>
    </w:rPr>
  </w:style>
  <w:style w:type="paragraph" w:styleId="IntenseQuote">
    <w:name w:val="Intense Quote"/>
    <w:basedOn w:val="Normal"/>
    <w:next w:val="Normal"/>
    <w:link w:val="IntenseQuoteChar"/>
    <w:uiPriority w:val="30"/>
    <w:qFormat/>
    <w:rsid w:val="007A0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C15"/>
    <w:rPr>
      <w:i/>
      <w:iCs/>
      <w:color w:val="0F4761" w:themeColor="accent1" w:themeShade="BF"/>
    </w:rPr>
  </w:style>
  <w:style w:type="character" w:styleId="IntenseReference">
    <w:name w:val="Intense Reference"/>
    <w:basedOn w:val="DefaultParagraphFont"/>
    <w:uiPriority w:val="32"/>
    <w:qFormat/>
    <w:rsid w:val="007A0C15"/>
    <w:rPr>
      <w:b/>
      <w:bCs/>
      <w:smallCaps/>
      <w:color w:val="0F4761" w:themeColor="accent1" w:themeShade="BF"/>
      <w:spacing w:val="5"/>
    </w:rPr>
  </w:style>
  <w:style w:type="character" w:styleId="Hyperlink">
    <w:name w:val="Hyperlink"/>
    <w:basedOn w:val="DefaultParagraphFont"/>
    <w:uiPriority w:val="99"/>
    <w:unhideWhenUsed/>
    <w:rsid w:val="00271BD6"/>
    <w:rPr>
      <w:color w:val="467886" w:themeColor="hyperlink"/>
      <w:u w:val="single"/>
    </w:rPr>
  </w:style>
  <w:style w:type="character" w:styleId="UnresolvedMention">
    <w:name w:val="Unresolved Mention"/>
    <w:basedOn w:val="DefaultParagraphFont"/>
    <w:uiPriority w:val="99"/>
    <w:semiHidden/>
    <w:unhideWhenUsed/>
    <w:rsid w:val="00271BD6"/>
    <w:rPr>
      <w:color w:val="605E5C"/>
      <w:shd w:val="clear" w:color="auto" w:fill="E1DFDD"/>
    </w:rPr>
  </w:style>
  <w:style w:type="paragraph" w:styleId="Header">
    <w:name w:val="header"/>
    <w:basedOn w:val="Normal"/>
    <w:link w:val="HeaderChar"/>
    <w:uiPriority w:val="99"/>
    <w:unhideWhenUsed/>
    <w:rsid w:val="00271BD6"/>
    <w:pPr>
      <w:tabs>
        <w:tab w:val="center" w:pos="4680"/>
        <w:tab w:val="right" w:pos="9360"/>
      </w:tabs>
      <w:spacing w:after="0"/>
    </w:pPr>
  </w:style>
  <w:style w:type="character" w:customStyle="1" w:styleId="HeaderChar">
    <w:name w:val="Header Char"/>
    <w:basedOn w:val="DefaultParagraphFont"/>
    <w:link w:val="Header"/>
    <w:uiPriority w:val="99"/>
    <w:rsid w:val="00271BD6"/>
    <w:rPr>
      <w:rFonts w:ascii="Calibri" w:hAnsi="Calibri"/>
    </w:rPr>
  </w:style>
  <w:style w:type="paragraph" w:styleId="Footer">
    <w:name w:val="footer"/>
    <w:basedOn w:val="Normal"/>
    <w:link w:val="FooterChar"/>
    <w:uiPriority w:val="99"/>
    <w:unhideWhenUsed/>
    <w:rsid w:val="00271BD6"/>
    <w:pPr>
      <w:tabs>
        <w:tab w:val="center" w:pos="4680"/>
        <w:tab w:val="right" w:pos="9360"/>
      </w:tabs>
      <w:spacing w:after="0"/>
    </w:pPr>
  </w:style>
  <w:style w:type="character" w:customStyle="1" w:styleId="FooterChar">
    <w:name w:val="Footer Char"/>
    <w:basedOn w:val="DefaultParagraphFont"/>
    <w:link w:val="Footer"/>
    <w:uiPriority w:val="99"/>
    <w:rsid w:val="00271BD6"/>
    <w:rPr>
      <w:rFonts w:ascii="Calibri" w:hAnsi="Calibri"/>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C444F7"/>
    <w:rPr>
      <w:color w:val="96607D" w:themeColor="followedHyperlink"/>
      <w:u w:val="single"/>
    </w:rPr>
  </w:style>
  <w:style w:type="paragraph" w:styleId="Revision">
    <w:name w:val="Revision"/>
    <w:hidden/>
    <w:uiPriority w:val="99"/>
    <w:semiHidden/>
    <w:rsid w:val="00E80FB1"/>
    <w:pPr>
      <w:spacing w:after="0" w:line="240" w:lineRule="auto"/>
    </w:pPr>
    <w:rPr>
      <w:rFonts w:ascii="Calibri" w:hAnsi="Calibri"/>
      <w:sz w:val="24"/>
    </w:rPr>
  </w:style>
  <w:style w:type="paragraph" w:customStyle="1" w:styleId="URL">
    <w:name w:val="URL"/>
    <w:basedOn w:val="Normal"/>
    <w:link w:val="URLChar"/>
    <w:autoRedefine/>
    <w:qFormat/>
    <w:rsid w:val="0084177E"/>
    <w:pPr>
      <w:framePr w:hSpace="180" w:wrap="around" w:vAnchor="text" w:hAnchor="page" w:x="7046" w:y="-69"/>
      <w:spacing w:after="0"/>
      <w:ind w:left="0"/>
    </w:pPr>
    <w:rPr>
      <w:color w:val="215E99" w:themeColor="text2" w:themeTint="BF"/>
      <w:u w:val="single"/>
    </w:rPr>
  </w:style>
  <w:style w:type="character" w:customStyle="1" w:styleId="URLChar">
    <w:name w:val="URL Char"/>
    <w:basedOn w:val="DefaultParagraphFont"/>
    <w:link w:val="URL"/>
    <w:rsid w:val="0084177E"/>
    <w:rPr>
      <w:rFonts w:ascii="Calibri" w:hAnsi="Calibri"/>
      <w:color w:val="215E99" w:themeColor="text2" w:themeTint="BF"/>
      <w:sz w:val="24"/>
      <w:u w:val="single"/>
    </w:rPr>
  </w:style>
  <w:style w:type="paragraph" w:styleId="FootnoteText">
    <w:name w:val="footnote text"/>
    <w:basedOn w:val="Normal"/>
    <w:link w:val="FootnoteTextChar"/>
    <w:uiPriority w:val="99"/>
    <w:semiHidden/>
    <w:unhideWhenUsed/>
    <w:rsid w:val="00900DA2"/>
    <w:pPr>
      <w:spacing w:after="0"/>
      <w:ind w:left="0" w:right="0"/>
    </w:pPr>
    <w:rPr>
      <w:rFonts w:eastAsia="Calibri" w:cs="Calibri"/>
      <w:kern w:val="0"/>
      <w:sz w:val="20"/>
      <w:szCs w:val="20"/>
      <w14:ligatures w14:val="none"/>
    </w:rPr>
  </w:style>
  <w:style w:type="character" w:customStyle="1" w:styleId="FootnoteTextChar">
    <w:name w:val="Footnote Text Char"/>
    <w:basedOn w:val="DefaultParagraphFont"/>
    <w:link w:val="FootnoteText"/>
    <w:uiPriority w:val="99"/>
    <w:semiHidden/>
    <w:rsid w:val="00900DA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900DA2"/>
    <w:rPr>
      <w:vertAlign w:val="superscript"/>
    </w:rPr>
  </w:style>
  <w:style w:type="character" w:styleId="CommentReference">
    <w:name w:val="annotation reference"/>
    <w:basedOn w:val="DefaultParagraphFont"/>
    <w:uiPriority w:val="99"/>
    <w:semiHidden/>
    <w:unhideWhenUsed/>
    <w:rsid w:val="00900DA2"/>
    <w:rPr>
      <w:sz w:val="16"/>
      <w:szCs w:val="16"/>
    </w:rPr>
  </w:style>
  <w:style w:type="paragraph" w:styleId="CommentText">
    <w:name w:val="annotation text"/>
    <w:basedOn w:val="Normal"/>
    <w:link w:val="CommentTextChar"/>
    <w:uiPriority w:val="99"/>
    <w:unhideWhenUsed/>
    <w:rsid w:val="00900DA2"/>
    <w:rPr>
      <w:sz w:val="20"/>
      <w:szCs w:val="20"/>
    </w:rPr>
  </w:style>
  <w:style w:type="character" w:customStyle="1" w:styleId="CommentTextChar">
    <w:name w:val="Comment Text Char"/>
    <w:basedOn w:val="DefaultParagraphFont"/>
    <w:link w:val="CommentText"/>
    <w:uiPriority w:val="99"/>
    <w:rsid w:val="00900DA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00DA2"/>
    <w:rPr>
      <w:b/>
      <w:bCs/>
    </w:rPr>
  </w:style>
  <w:style w:type="character" w:customStyle="1" w:styleId="CommentSubjectChar">
    <w:name w:val="Comment Subject Char"/>
    <w:basedOn w:val="CommentTextChar"/>
    <w:link w:val="CommentSubject"/>
    <w:uiPriority w:val="99"/>
    <w:semiHidden/>
    <w:rsid w:val="00900DA2"/>
    <w:rPr>
      <w:rFonts w:ascii="Calibri" w:hAnsi="Calibri"/>
      <w:b/>
      <w:bCs/>
      <w:sz w:val="20"/>
      <w:szCs w:val="20"/>
    </w:rPr>
  </w:style>
  <w:style w:type="character" w:styleId="SubtleEmphasis">
    <w:name w:val="Subtle Emphasis"/>
    <w:basedOn w:val="DefaultParagraphFont"/>
    <w:uiPriority w:val="19"/>
    <w:qFormat/>
    <w:rsid w:val="0034235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1762">
      <w:bodyDiv w:val="1"/>
      <w:marLeft w:val="0"/>
      <w:marRight w:val="0"/>
      <w:marTop w:val="0"/>
      <w:marBottom w:val="0"/>
      <w:divBdr>
        <w:top w:val="none" w:sz="0" w:space="0" w:color="auto"/>
        <w:left w:val="none" w:sz="0" w:space="0" w:color="auto"/>
        <w:bottom w:val="none" w:sz="0" w:space="0" w:color="auto"/>
        <w:right w:val="none" w:sz="0" w:space="0" w:color="auto"/>
      </w:divBdr>
    </w:div>
    <w:div w:id="155264033">
      <w:bodyDiv w:val="1"/>
      <w:marLeft w:val="0"/>
      <w:marRight w:val="0"/>
      <w:marTop w:val="0"/>
      <w:marBottom w:val="0"/>
      <w:divBdr>
        <w:top w:val="none" w:sz="0" w:space="0" w:color="auto"/>
        <w:left w:val="none" w:sz="0" w:space="0" w:color="auto"/>
        <w:bottom w:val="none" w:sz="0" w:space="0" w:color="auto"/>
        <w:right w:val="none" w:sz="0" w:space="0" w:color="auto"/>
      </w:divBdr>
      <w:divsChild>
        <w:div w:id="245194504">
          <w:marLeft w:val="0"/>
          <w:marRight w:val="0"/>
          <w:marTop w:val="0"/>
          <w:marBottom w:val="0"/>
          <w:divBdr>
            <w:top w:val="none" w:sz="0" w:space="0" w:color="auto"/>
            <w:left w:val="none" w:sz="0" w:space="0" w:color="auto"/>
            <w:bottom w:val="none" w:sz="0" w:space="0" w:color="auto"/>
            <w:right w:val="none" w:sz="0" w:space="0" w:color="auto"/>
          </w:divBdr>
        </w:div>
        <w:div w:id="277682865">
          <w:marLeft w:val="0"/>
          <w:marRight w:val="0"/>
          <w:marTop w:val="0"/>
          <w:marBottom w:val="0"/>
          <w:divBdr>
            <w:top w:val="none" w:sz="0" w:space="0" w:color="auto"/>
            <w:left w:val="none" w:sz="0" w:space="0" w:color="auto"/>
            <w:bottom w:val="none" w:sz="0" w:space="0" w:color="auto"/>
            <w:right w:val="none" w:sz="0" w:space="0" w:color="auto"/>
          </w:divBdr>
          <w:divsChild>
            <w:div w:id="1024792528">
              <w:marLeft w:val="0"/>
              <w:marRight w:val="0"/>
              <w:marTop w:val="0"/>
              <w:marBottom w:val="0"/>
              <w:divBdr>
                <w:top w:val="none" w:sz="0" w:space="0" w:color="auto"/>
                <w:left w:val="none" w:sz="0" w:space="0" w:color="auto"/>
                <w:bottom w:val="none" w:sz="0" w:space="0" w:color="auto"/>
                <w:right w:val="none" w:sz="0" w:space="0" w:color="auto"/>
              </w:divBdr>
              <w:divsChild>
                <w:div w:id="144811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348">
          <w:marLeft w:val="0"/>
          <w:marRight w:val="0"/>
          <w:marTop w:val="0"/>
          <w:marBottom w:val="0"/>
          <w:divBdr>
            <w:top w:val="none" w:sz="0" w:space="0" w:color="auto"/>
            <w:left w:val="none" w:sz="0" w:space="0" w:color="auto"/>
            <w:bottom w:val="none" w:sz="0" w:space="0" w:color="auto"/>
            <w:right w:val="none" w:sz="0" w:space="0" w:color="auto"/>
          </w:divBdr>
        </w:div>
      </w:divsChild>
    </w:div>
    <w:div w:id="325859328">
      <w:bodyDiv w:val="1"/>
      <w:marLeft w:val="0"/>
      <w:marRight w:val="0"/>
      <w:marTop w:val="0"/>
      <w:marBottom w:val="0"/>
      <w:divBdr>
        <w:top w:val="none" w:sz="0" w:space="0" w:color="auto"/>
        <w:left w:val="none" w:sz="0" w:space="0" w:color="auto"/>
        <w:bottom w:val="none" w:sz="0" w:space="0" w:color="auto"/>
        <w:right w:val="none" w:sz="0" w:space="0" w:color="auto"/>
      </w:divBdr>
      <w:divsChild>
        <w:div w:id="126749130">
          <w:marLeft w:val="0"/>
          <w:marRight w:val="0"/>
          <w:marTop w:val="0"/>
          <w:marBottom w:val="0"/>
          <w:divBdr>
            <w:top w:val="none" w:sz="0" w:space="0" w:color="auto"/>
            <w:left w:val="none" w:sz="0" w:space="0" w:color="auto"/>
            <w:bottom w:val="none" w:sz="0" w:space="0" w:color="auto"/>
            <w:right w:val="none" w:sz="0" w:space="0" w:color="auto"/>
          </w:divBdr>
          <w:divsChild>
            <w:div w:id="715280937">
              <w:marLeft w:val="0"/>
              <w:marRight w:val="0"/>
              <w:marTop w:val="0"/>
              <w:marBottom w:val="0"/>
              <w:divBdr>
                <w:top w:val="none" w:sz="0" w:space="0" w:color="auto"/>
                <w:left w:val="none" w:sz="0" w:space="0" w:color="auto"/>
                <w:bottom w:val="none" w:sz="0" w:space="0" w:color="auto"/>
                <w:right w:val="none" w:sz="0" w:space="0" w:color="auto"/>
              </w:divBdr>
              <w:divsChild>
                <w:div w:id="164708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4580">
          <w:marLeft w:val="0"/>
          <w:marRight w:val="0"/>
          <w:marTop w:val="0"/>
          <w:marBottom w:val="0"/>
          <w:divBdr>
            <w:top w:val="none" w:sz="0" w:space="0" w:color="auto"/>
            <w:left w:val="none" w:sz="0" w:space="0" w:color="auto"/>
            <w:bottom w:val="none" w:sz="0" w:space="0" w:color="auto"/>
            <w:right w:val="none" w:sz="0" w:space="0" w:color="auto"/>
          </w:divBdr>
        </w:div>
        <w:div w:id="1842546507">
          <w:marLeft w:val="0"/>
          <w:marRight w:val="0"/>
          <w:marTop w:val="0"/>
          <w:marBottom w:val="0"/>
          <w:divBdr>
            <w:top w:val="none" w:sz="0" w:space="0" w:color="auto"/>
            <w:left w:val="none" w:sz="0" w:space="0" w:color="auto"/>
            <w:bottom w:val="none" w:sz="0" w:space="0" w:color="auto"/>
            <w:right w:val="none" w:sz="0" w:space="0" w:color="auto"/>
          </w:divBdr>
        </w:div>
      </w:divsChild>
    </w:div>
    <w:div w:id="16630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ushaw_M@cde.state.co.us" TargetMode="External"/><Relationship Id="rId13" Type="http://schemas.openxmlformats.org/officeDocument/2006/relationships/hyperlink" Target="https://www.cde.state.co.us/cdefinance/icrc"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e.state.co.us/fedprograms/easiappresourcesandtechnicalassista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e.state.co.us/fedprograms/dper/evalrpt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de.state.co.us/fedprograms/dper/evalrpts" TargetMode="External"/><Relationship Id="rId4" Type="http://schemas.openxmlformats.org/officeDocument/2006/relationships/webSettings" Target="webSettings.xml"/><Relationship Id="rId9" Type="http://schemas.openxmlformats.org/officeDocument/2006/relationships/hyperlink" Target="http://www.cde.state.co.us/fedprograms/dper/evalrp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2148</Words>
  <Characters>12437</Characters>
  <Application>Microsoft Office Word</Application>
  <DocSecurity>0</DocSecurity>
  <Lines>203</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Cox, Lindsay</cp:lastModifiedBy>
  <cp:revision>63</cp:revision>
  <dcterms:created xsi:type="dcterms:W3CDTF">2025-06-10T16:14:00Z</dcterms:created>
  <dcterms:modified xsi:type="dcterms:W3CDTF">2025-09-03T19:48:00Z</dcterms:modified>
</cp:coreProperties>
</file>