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9948B" w14:textId="77777777" w:rsidR="00A270A2" w:rsidRPr="00EF6489" w:rsidRDefault="00000000">
      <w:pPr>
        <w:pStyle w:val="Heading1"/>
        <w:ind w:left="3" w:right="720" w:hanging="5"/>
        <w:rPr>
          <w:color w:val="auto"/>
        </w:rPr>
      </w:pPr>
      <w:r w:rsidRPr="00EF6489">
        <w:rPr>
          <w:color w:val="auto"/>
        </w:rPr>
        <w:t xml:space="preserve">ESEA Flexibilities </w:t>
      </w:r>
    </w:p>
    <w:p w14:paraId="7DA49D91" w14:textId="77777777" w:rsidR="00A270A2" w:rsidRPr="00EF6489" w:rsidRDefault="00000000">
      <w:pPr>
        <w:pStyle w:val="Heading1"/>
        <w:ind w:left="3" w:hanging="5"/>
        <w:rPr>
          <w:color w:val="auto"/>
        </w:rPr>
      </w:pPr>
      <w:r w:rsidRPr="00EF6489">
        <w:rPr>
          <w:color w:val="auto"/>
        </w:rPr>
        <w:t>for Districts Less Than 1,000</w:t>
      </w:r>
    </w:p>
    <w:p w14:paraId="2F3DB44B" w14:textId="77777777" w:rsidR="00A270A2" w:rsidRDefault="00A270A2">
      <w:pPr>
        <w:pStyle w:val="Heading3"/>
        <w:ind w:left="1" w:hanging="3"/>
      </w:pPr>
    </w:p>
    <w:p w14:paraId="6D3A7B62" w14:textId="77777777" w:rsidR="00A270A2" w:rsidRDefault="00A270A2">
      <w:pPr>
        <w:pStyle w:val="Heading3"/>
        <w:ind w:left="1" w:hanging="3"/>
      </w:pPr>
    </w:p>
    <w:p w14:paraId="779C4C25" w14:textId="77777777" w:rsidR="00A270A2" w:rsidRDefault="00000000">
      <w:pPr>
        <w:pStyle w:val="Heading3"/>
        <w:ind w:left="1" w:hanging="3"/>
      </w:pPr>
      <w:r>
        <w:t>Introduction</w:t>
      </w:r>
    </w:p>
    <w:p w14:paraId="422216DC" w14:textId="77777777" w:rsidR="00A270A2" w:rsidRDefault="00000000">
      <w:pPr>
        <w:pBdr>
          <w:top w:val="nil"/>
          <w:left w:val="nil"/>
          <w:bottom w:val="nil"/>
          <w:right w:val="nil"/>
          <w:between w:val="nil"/>
        </w:pBdr>
        <w:spacing w:after="160" w:line="259" w:lineRule="auto"/>
        <w:ind w:right="3600"/>
        <w:rPr>
          <w:color w:val="000000"/>
          <w:sz w:val="22"/>
          <w:szCs w:val="22"/>
        </w:rPr>
      </w:pPr>
      <w:r>
        <w:rPr>
          <w:color w:val="000000"/>
          <w:sz w:val="22"/>
          <w:szCs w:val="22"/>
        </w:rPr>
        <w:t xml:space="preserve">For school districts with enrollment of less than 1,000 students, the Elementary and Secondary Education Act (ESEA), reauthorized as the Every Student Succeeds Act (ESSA), offers flexibilities that are not an option for districts with 1,000 or more students. Those </w:t>
      </w:r>
      <w:proofErr w:type="gramStart"/>
      <w:r>
        <w:rPr>
          <w:color w:val="000000"/>
          <w:sz w:val="22"/>
          <w:szCs w:val="22"/>
        </w:rPr>
        <w:t>flexibilities</w:t>
      </w:r>
      <w:proofErr w:type="gramEnd"/>
      <w:r>
        <w:rPr>
          <w:color w:val="000000"/>
          <w:sz w:val="22"/>
          <w:szCs w:val="22"/>
        </w:rPr>
        <w:t xml:space="preserve"> are listed below, which include Rank Order</w:t>
      </w:r>
      <w:r>
        <w:rPr>
          <w:sz w:val="22"/>
          <w:szCs w:val="22"/>
        </w:rPr>
        <w:t xml:space="preserve"> and the </w:t>
      </w:r>
      <w:r>
        <w:rPr>
          <w:color w:val="000000"/>
          <w:sz w:val="22"/>
          <w:szCs w:val="22"/>
        </w:rPr>
        <w:t xml:space="preserve">125% Rule. </w:t>
      </w:r>
    </w:p>
    <w:p w14:paraId="30D3D3A9" w14:textId="77777777" w:rsidR="00A270A2" w:rsidRDefault="00000000">
      <w:pPr>
        <w:pStyle w:val="Heading3"/>
        <w:ind w:left="1" w:hanging="3"/>
      </w:pPr>
      <w:r>
        <w:t>Rank Order</w:t>
      </w:r>
    </w:p>
    <w:p w14:paraId="496BB6C9" w14:textId="77777777" w:rsidR="00A270A2" w:rsidRDefault="00000000">
      <w:pPr>
        <w:pBdr>
          <w:top w:val="nil"/>
          <w:left w:val="nil"/>
          <w:bottom w:val="nil"/>
          <w:right w:val="nil"/>
          <w:between w:val="nil"/>
        </w:pBdr>
        <w:spacing w:after="160" w:line="259" w:lineRule="auto"/>
        <w:ind w:right="3600"/>
        <w:rPr>
          <w:color w:val="000000"/>
          <w:sz w:val="22"/>
          <w:szCs w:val="22"/>
        </w:rPr>
      </w:pPr>
      <w:r>
        <w:rPr>
          <w:color w:val="000000"/>
          <w:sz w:val="22"/>
          <w:szCs w:val="22"/>
        </w:rPr>
        <w:t>ESEA Title I, Part A requires districts to</w:t>
      </w:r>
      <w:r>
        <w:rPr>
          <w:b/>
          <w:color w:val="000000"/>
          <w:sz w:val="22"/>
          <w:szCs w:val="22"/>
        </w:rPr>
        <w:t xml:space="preserve"> </w:t>
      </w:r>
      <w:r>
        <w:rPr>
          <w:color w:val="000000"/>
          <w:sz w:val="22"/>
          <w:szCs w:val="22"/>
        </w:rPr>
        <w:t xml:space="preserve">serve eligible schools in rank order from schools with the highest level of poverty to the lowest level of poverty (§1113(a)(3)). However, districts may serve any school, without regard to rank order, when Total District Enrollment Less than 1,000 has been selected for the Method of Serving in the ESEA Consolidated Application. Districts are also not required to serve schools with a poverty rate of 75% or greater. Learn more on the CDE </w:t>
      </w:r>
      <w:hyperlink r:id="rId7">
        <w:r>
          <w:rPr>
            <w:color w:val="1155CC"/>
            <w:sz w:val="22"/>
            <w:szCs w:val="22"/>
            <w:u w:val="single"/>
          </w:rPr>
          <w:t>Title I Rank Order webpage</w:t>
        </w:r>
      </w:hyperlink>
      <w:r>
        <w:rPr>
          <w:color w:val="000000"/>
          <w:sz w:val="22"/>
          <w:szCs w:val="22"/>
        </w:rPr>
        <w:t xml:space="preserve"> and the </w:t>
      </w:r>
      <w:hyperlink r:id="rId8">
        <w:r>
          <w:rPr>
            <w:color w:val="1155CC"/>
            <w:sz w:val="22"/>
            <w:szCs w:val="22"/>
            <w:u w:val="single"/>
          </w:rPr>
          <w:t>Within District Allocations guidance</w:t>
        </w:r>
      </w:hyperlink>
      <w:r>
        <w:rPr>
          <w:color w:val="000000"/>
          <w:sz w:val="22"/>
          <w:szCs w:val="22"/>
        </w:rPr>
        <w:t xml:space="preserve"> from the U.S. Department of Education (ED). </w:t>
      </w:r>
      <w:r>
        <w:rPr>
          <w:b/>
          <w:i/>
          <w:color w:val="000000"/>
          <w:sz w:val="22"/>
          <w:szCs w:val="22"/>
        </w:rPr>
        <w:t xml:space="preserve">Rank order requirements do not apply to school districts with enrollment of less than 1,000 students (§1113(a)(6)). </w:t>
      </w:r>
    </w:p>
    <w:p w14:paraId="4450264B" w14:textId="77777777" w:rsidR="00A270A2" w:rsidRDefault="00000000">
      <w:pPr>
        <w:pStyle w:val="Heading3"/>
        <w:ind w:left="1" w:hanging="3"/>
      </w:pPr>
      <w:r>
        <w:t>125% Rule</w:t>
      </w:r>
    </w:p>
    <w:p w14:paraId="51D9ECF4" w14:textId="77777777" w:rsidR="00A270A2" w:rsidRDefault="00000000">
      <w:pPr>
        <w:pBdr>
          <w:top w:val="nil"/>
          <w:left w:val="nil"/>
          <w:bottom w:val="nil"/>
          <w:right w:val="nil"/>
          <w:between w:val="nil"/>
        </w:pBdr>
        <w:spacing w:after="160" w:line="259" w:lineRule="auto"/>
        <w:ind w:right="3600"/>
        <w:rPr>
          <w:color w:val="000000"/>
          <w:sz w:val="22"/>
          <w:szCs w:val="22"/>
        </w:rPr>
      </w:pPr>
      <w:r>
        <w:rPr>
          <w:color w:val="000000"/>
          <w:sz w:val="22"/>
          <w:szCs w:val="22"/>
        </w:rPr>
        <w:t xml:space="preserve">The 125% rule applies when a district serves a school with less than 35% of their students being identified as living in poverty. If this is the case, schools served with ESEA Title I funds must be allocated 125% of the per pupil allocation (§1113(c)(2)(A)). According to guidance from the law firm of Brustein and </w:t>
      </w:r>
      <w:proofErr w:type="spellStart"/>
      <w:r>
        <w:rPr>
          <w:color w:val="000000"/>
          <w:sz w:val="22"/>
          <w:szCs w:val="22"/>
        </w:rPr>
        <w:t>Manasevit</w:t>
      </w:r>
      <w:proofErr w:type="spellEnd"/>
      <w:r>
        <w:rPr>
          <w:color w:val="000000"/>
          <w:sz w:val="22"/>
          <w:szCs w:val="22"/>
        </w:rPr>
        <w:t xml:space="preserve"> (BruMan), since a district with an enrollment below 1,000 is not using poverty counts in accordance with ESEA section 1113(a) to determine eligibility, the district would not necessarily have the data needed to apply the 125% rule to its calculation of school allocations. Learn more on the CDE </w:t>
      </w:r>
      <w:hyperlink r:id="rId9">
        <w:r>
          <w:rPr>
            <w:color w:val="1155CC"/>
            <w:sz w:val="22"/>
            <w:szCs w:val="22"/>
            <w:u w:val="single"/>
          </w:rPr>
          <w:t>Title I Rank Order webpage</w:t>
        </w:r>
      </w:hyperlink>
      <w:r>
        <w:rPr>
          <w:color w:val="000000"/>
          <w:sz w:val="22"/>
          <w:szCs w:val="22"/>
        </w:rPr>
        <w:t xml:space="preserve">. </w:t>
      </w:r>
      <w:r>
        <w:rPr>
          <w:b/>
          <w:i/>
          <w:color w:val="000000"/>
          <w:sz w:val="22"/>
          <w:szCs w:val="22"/>
        </w:rPr>
        <w:t> The 125% rule requirements do not apply to school districts with enrollment of less than 1,000 students (BruMan).</w:t>
      </w:r>
    </w:p>
    <w:p w14:paraId="30642116" w14:textId="77777777" w:rsidR="00A270A2" w:rsidRDefault="00A270A2">
      <w:pPr>
        <w:pBdr>
          <w:top w:val="nil"/>
          <w:left w:val="nil"/>
          <w:bottom w:val="nil"/>
          <w:right w:val="nil"/>
          <w:between w:val="nil"/>
        </w:pBdr>
        <w:ind w:right="3600"/>
        <w:rPr>
          <w:color w:val="000000"/>
          <w:sz w:val="24"/>
          <w:szCs w:val="24"/>
        </w:rPr>
      </w:pPr>
    </w:p>
    <w:p w14:paraId="0C5617AC" w14:textId="77777777" w:rsidR="00A270A2" w:rsidRDefault="00000000">
      <w:pPr>
        <w:pBdr>
          <w:top w:val="nil"/>
          <w:left w:val="nil"/>
          <w:bottom w:val="nil"/>
          <w:right w:val="nil"/>
          <w:between w:val="nil"/>
        </w:pBdr>
        <w:ind w:right="3600"/>
        <w:rPr>
          <w:rFonts w:ascii="Times New Roman" w:eastAsia="Times New Roman" w:hAnsi="Times New Roman" w:cs="Times New Roman"/>
          <w:color w:val="000000"/>
          <w:sz w:val="24"/>
          <w:szCs w:val="24"/>
        </w:rPr>
      </w:pPr>
      <w:r>
        <w:rPr>
          <w:noProof/>
        </w:rPr>
        <mc:AlternateContent>
          <mc:Choice Requires="wps">
            <w:drawing>
              <wp:inline distT="0" distB="0" distL="0" distR="0" wp14:anchorId="5DD6CA52" wp14:editId="56C4789A">
                <wp:extent cx="8594725" cy="1362075"/>
                <wp:effectExtent l="0" t="0" r="0" b="9525"/>
                <wp:docPr id="2" name="Rectangle 2"/>
                <wp:cNvGraphicFramePr/>
                <a:graphic xmlns:a="http://schemas.openxmlformats.org/drawingml/2006/main">
                  <a:graphicData uri="http://schemas.microsoft.com/office/word/2010/wordprocessingShape">
                    <wps:wsp>
                      <wps:cNvSpPr/>
                      <wps:spPr>
                        <a:xfrm>
                          <a:off x="0" y="0"/>
                          <a:ext cx="8594725" cy="1362075"/>
                        </a:xfrm>
                        <a:prstGeom prst="rect">
                          <a:avLst/>
                        </a:prstGeom>
                        <a:solidFill>
                          <a:srgbClr val="232C67"/>
                        </a:solidFill>
                        <a:ln>
                          <a:noFill/>
                        </a:ln>
                      </wps:spPr>
                      <wps:txbx>
                        <w:txbxContent>
                          <w:p w14:paraId="477BF9CE" w14:textId="77777777" w:rsidR="00A270A2" w:rsidRDefault="00000000">
                            <w:pPr>
                              <w:spacing w:before="40" w:after="120" w:line="258" w:lineRule="auto"/>
                              <w:ind w:right="3600"/>
                              <w:textDirection w:val="btLr"/>
                            </w:pPr>
                            <w:r>
                              <w:rPr>
                                <w:b/>
                                <w:color w:val="FFFFFF"/>
                                <w:sz w:val="28"/>
                              </w:rPr>
                              <w:t>WHERE CAN I LEARN MORE?</w:t>
                            </w:r>
                          </w:p>
                          <w:p w14:paraId="7A2B2162" w14:textId="77777777" w:rsidR="00A270A2" w:rsidRDefault="00000000">
                            <w:pPr>
                              <w:spacing w:after="160" w:line="258" w:lineRule="auto"/>
                              <w:ind w:right="3600"/>
                              <w:textDirection w:val="btLr"/>
                            </w:pPr>
                            <w:r>
                              <w:rPr>
                                <w:rFonts w:ascii="Arial" w:eastAsia="Arial" w:hAnsi="Arial" w:cs="Arial"/>
                                <w:b/>
                                <w:color w:val="FFFFFF"/>
                              </w:rPr>
                              <w:t xml:space="preserve"> HYPERLINK "https://www.cde.state.co.us/fedprograms/ESEALaunchpad" </w:t>
                            </w:r>
                            <w:r>
                              <w:rPr>
                                <w:rFonts w:ascii="Arial" w:eastAsia="Arial" w:hAnsi="Arial" w:cs="Arial"/>
                                <w:b/>
                                <w:color w:val="FFFFFF"/>
                                <w:u w:val="single"/>
                              </w:rPr>
                              <w:t>The Launchpad</w:t>
                            </w:r>
                            <w:r>
                              <w:rPr>
                                <w:rFonts w:ascii="Arial" w:eastAsia="Arial" w:hAnsi="Arial" w:cs="Arial"/>
                                <w:b/>
                                <w:color w:val="FFFFFF"/>
                              </w:rPr>
                              <w:t>: An Introduction to ESEA Programs</w:t>
                            </w:r>
                          </w:p>
                          <w:p w14:paraId="63ACACBA" w14:textId="77777777" w:rsidR="00A270A2" w:rsidRDefault="00000000">
                            <w:pPr>
                              <w:spacing w:after="160" w:line="258" w:lineRule="auto"/>
                              <w:ind w:right="3600"/>
                              <w:textDirection w:val="btLr"/>
                            </w:pPr>
                            <w:r>
                              <w:rPr>
                                <w:rFonts w:ascii="Arial" w:eastAsia="Arial" w:hAnsi="Arial" w:cs="Arial"/>
                                <w:b/>
                                <w:color w:val="FFFFFF"/>
                              </w:rPr>
                              <w:t xml:space="preserve"> HYPERLINK "https://www.cde.state.co.us/fedprograms/ov/tvb" </w:t>
                            </w:r>
                            <w:r>
                              <w:rPr>
                                <w:rFonts w:ascii="Arial" w:eastAsia="Arial" w:hAnsi="Arial" w:cs="Arial"/>
                                <w:b/>
                                <w:color w:val="FFFFFF"/>
                                <w:u w:val="single"/>
                              </w:rPr>
                              <w:t>Title V, Part B</w:t>
                            </w:r>
                            <w:r>
                              <w:rPr>
                                <w:rFonts w:ascii="Arial" w:eastAsia="Arial" w:hAnsi="Arial" w:cs="Arial"/>
                                <w:b/>
                                <w:color w:val="FFFFFF"/>
                              </w:rPr>
                              <w:t>: Rural Education Achievement Program (REAP)</w:t>
                            </w:r>
                          </w:p>
                          <w:p w14:paraId="726B4CC9" w14:textId="77777777" w:rsidR="00A270A2" w:rsidRDefault="00A270A2">
                            <w:pPr>
                              <w:spacing w:after="160" w:line="258" w:lineRule="auto"/>
                              <w:ind w:right="3600"/>
                              <w:textDirection w:val="btLr"/>
                            </w:pPr>
                          </w:p>
                          <w:p w14:paraId="196DA678" w14:textId="77777777" w:rsidR="00A270A2" w:rsidRDefault="00A270A2">
                            <w:pPr>
                              <w:spacing w:after="160" w:line="258" w:lineRule="auto"/>
                              <w:ind w:right="3600"/>
                              <w:textDirection w:val="btLr"/>
                            </w:pPr>
                          </w:p>
                          <w:p w14:paraId="1E980F5B" w14:textId="77777777" w:rsidR="00A270A2" w:rsidRDefault="00A270A2">
                            <w:pPr>
                              <w:spacing w:after="160" w:line="258" w:lineRule="auto"/>
                              <w:ind w:right="3600"/>
                              <w:textDirection w:val="btLr"/>
                            </w:pPr>
                          </w:p>
                        </w:txbxContent>
                      </wps:txbx>
                      <wps:bodyPr spcFirstLastPara="1" wrap="square" lIns="91425" tIns="45700" rIns="91425" bIns="45700" anchor="t" anchorCtr="0">
                        <a:noAutofit/>
                      </wps:bodyPr>
                    </wps:wsp>
                  </a:graphicData>
                </a:graphic>
              </wp:inline>
            </w:drawing>
          </mc:Choice>
          <mc:Fallback>
            <w:pict>
              <v:rect w14:anchorId="5DD6CA52" id="Rectangle 2" o:spid="_x0000_s1026" style="width:676.7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" fillcolor="#232c67" stroked="f">
                <v:textbox inset="2.53958mm,1.2694mm,2.53958mm,1.2694mm">
                  <w:txbxContent>
                    <w:p w14:paraId="477BF9CE" w14:textId="77777777" w:rsidR="00A270A2" w:rsidRDefault="00000000">
                      <w:pPr>
                        <w:spacing w:before="40" w:after="120" w:line="258" w:lineRule="auto"/>
                        <w:ind w:right="3600"/>
                        <w:textDirection w:val="btLr"/>
                      </w:pPr>
                      <w:r>
                        <w:rPr>
                          <w:b/>
                          <w:color w:val="FFFFFF"/>
                          <w:sz w:val="28"/>
                        </w:rPr>
                        <w:t>WHERE CAN I LEARN MORE?</w:t>
                      </w:r>
                    </w:p>
                    <w:p w14:paraId="7A2B2162" w14:textId="77777777" w:rsidR="00A270A2" w:rsidRDefault="00000000">
                      <w:pPr>
                        <w:spacing w:after="160" w:line="258" w:lineRule="auto"/>
                        <w:ind w:right="3600"/>
                        <w:textDirection w:val="btLr"/>
                      </w:pPr>
                      <w:r>
                        <w:rPr>
                          <w:rFonts w:ascii="Arial" w:eastAsia="Arial" w:hAnsi="Arial" w:cs="Arial"/>
                          <w:b/>
                          <w:color w:val="FFFFFF"/>
                        </w:rPr>
                        <w:t xml:space="preserve"> HYPERLINK "https://www.cde.state.co.us/fedprograms/ESEALaunchpad" </w:t>
                      </w:r>
                      <w:r>
                        <w:rPr>
                          <w:rFonts w:ascii="Arial" w:eastAsia="Arial" w:hAnsi="Arial" w:cs="Arial"/>
                          <w:b/>
                          <w:color w:val="FFFFFF"/>
                          <w:u w:val="single"/>
                        </w:rPr>
                        <w:t>The Launchpad</w:t>
                      </w:r>
                      <w:r>
                        <w:rPr>
                          <w:rFonts w:ascii="Arial" w:eastAsia="Arial" w:hAnsi="Arial" w:cs="Arial"/>
                          <w:b/>
                          <w:color w:val="FFFFFF"/>
                        </w:rPr>
                        <w:t>: An Introduction to ESEA Programs</w:t>
                      </w:r>
                    </w:p>
                    <w:p w14:paraId="63ACACBA" w14:textId="77777777" w:rsidR="00A270A2" w:rsidRDefault="00000000">
                      <w:pPr>
                        <w:spacing w:after="160" w:line="258" w:lineRule="auto"/>
                        <w:ind w:right="3600"/>
                        <w:textDirection w:val="btLr"/>
                      </w:pPr>
                      <w:r>
                        <w:rPr>
                          <w:rFonts w:ascii="Arial" w:eastAsia="Arial" w:hAnsi="Arial" w:cs="Arial"/>
                          <w:b/>
                          <w:color w:val="FFFFFF"/>
                        </w:rPr>
                        <w:t xml:space="preserve"> HYPERLINK "https://www.cde.state.co.us/fedprograms/ov/tvb" </w:t>
                      </w:r>
                      <w:r>
                        <w:rPr>
                          <w:rFonts w:ascii="Arial" w:eastAsia="Arial" w:hAnsi="Arial" w:cs="Arial"/>
                          <w:b/>
                          <w:color w:val="FFFFFF"/>
                          <w:u w:val="single"/>
                        </w:rPr>
                        <w:t>Title V, Part B</w:t>
                      </w:r>
                      <w:r>
                        <w:rPr>
                          <w:rFonts w:ascii="Arial" w:eastAsia="Arial" w:hAnsi="Arial" w:cs="Arial"/>
                          <w:b/>
                          <w:color w:val="FFFFFF"/>
                        </w:rPr>
                        <w:t>: Rural Education Achievement Program (REAP)</w:t>
                      </w:r>
                    </w:p>
                    <w:p w14:paraId="726B4CC9" w14:textId="77777777" w:rsidR="00A270A2" w:rsidRDefault="00A270A2">
                      <w:pPr>
                        <w:spacing w:after="160" w:line="258" w:lineRule="auto"/>
                        <w:ind w:right="3600"/>
                        <w:textDirection w:val="btLr"/>
                      </w:pPr>
                    </w:p>
                    <w:p w14:paraId="196DA678" w14:textId="77777777" w:rsidR="00A270A2" w:rsidRDefault="00A270A2">
                      <w:pPr>
                        <w:spacing w:after="160" w:line="258" w:lineRule="auto"/>
                        <w:ind w:right="3600"/>
                        <w:textDirection w:val="btLr"/>
                      </w:pPr>
                    </w:p>
                    <w:p w14:paraId="1E980F5B" w14:textId="77777777" w:rsidR="00A270A2" w:rsidRDefault="00A270A2">
                      <w:pPr>
                        <w:spacing w:after="160" w:line="258" w:lineRule="auto"/>
                        <w:ind w:right="3600"/>
                        <w:textDirection w:val="btLr"/>
                      </w:pPr>
                    </w:p>
                  </w:txbxContent>
                </v:textbox>
                <w10:anchorlock/>
              </v:rect>
            </w:pict>
          </mc:Fallback>
        </mc:AlternateContent>
      </w:r>
    </w:p>
    <w:sectPr w:rsidR="00A270A2">
      <w:headerReference w:type="default" r:id="rId10"/>
      <w:headerReference w:type="first" r:id="rId11"/>
      <w:pgSz w:w="12240" w:h="15840"/>
      <w:pgMar w:top="720" w:right="720" w:bottom="720" w:left="720" w:header="0" w:footer="11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BBA1D" w14:textId="77777777" w:rsidR="006546F1" w:rsidRDefault="006546F1">
      <w:r>
        <w:separator/>
      </w:r>
    </w:p>
  </w:endnote>
  <w:endnote w:type="continuationSeparator" w:id="0">
    <w:p w14:paraId="4F73EB22" w14:textId="77777777" w:rsidR="006546F1" w:rsidRDefault="0065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useo Slab 500">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61D7E" w14:textId="77777777" w:rsidR="006546F1" w:rsidRDefault="006546F1">
      <w:r>
        <w:separator/>
      </w:r>
    </w:p>
  </w:footnote>
  <w:footnote w:type="continuationSeparator" w:id="0">
    <w:p w14:paraId="5DDA372E" w14:textId="77777777" w:rsidR="006546F1" w:rsidRDefault="0065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AC6DD" w14:textId="77777777" w:rsidR="00A270A2" w:rsidRDefault="00A270A2">
    <w:pPr>
      <w:pBdr>
        <w:top w:val="nil"/>
        <w:left w:val="nil"/>
        <w:bottom w:val="nil"/>
        <w:right w:val="nil"/>
        <w:between w:val="nil"/>
      </w:pBdr>
      <w:ind w:right="3600"/>
      <w:rPr>
        <w:color w:val="000000"/>
        <w:sz w:val="22"/>
        <w:szCs w:val="22"/>
      </w:rPr>
    </w:pPr>
  </w:p>
  <w:p w14:paraId="282BE1DB" w14:textId="77777777" w:rsidR="00A270A2" w:rsidRDefault="00000000">
    <w:pPr>
      <w:pBdr>
        <w:top w:val="nil"/>
        <w:left w:val="nil"/>
        <w:bottom w:val="nil"/>
        <w:right w:val="nil"/>
        <w:between w:val="nil"/>
      </w:pBdr>
      <w:ind w:right="3600"/>
      <w:rPr>
        <w:color w:val="000000"/>
        <w:sz w:val="22"/>
        <w:szCs w:val="22"/>
      </w:rPr>
    </w:pPr>
    <w:r>
      <w:rPr>
        <w:noProof/>
      </w:rPr>
      <w:drawing>
        <wp:inline distT="0" distB="0" distL="0" distR="0" wp14:anchorId="2B134D49" wp14:editId="2A5B6B7E">
          <wp:extent cx="979805" cy="415925"/>
          <wp:effectExtent l="0" t="0" r="0" b="3175"/>
          <wp:docPr id="4" name="image2.png" descr="Title states ESEA Flexibilities for Districts Less Than 1,000"/>
          <wp:cNvGraphicFramePr/>
          <a:graphic xmlns:a="http://schemas.openxmlformats.org/drawingml/2006/main">
            <a:graphicData uri="http://schemas.openxmlformats.org/drawingml/2006/picture">
              <pic:pic xmlns:pic="http://schemas.openxmlformats.org/drawingml/2006/picture">
                <pic:nvPicPr>
                  <pic:cNvPr id="4" name="image2.png" descr="Title states ESEA Flexibilities for Districts Less Than 1,00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79805" cy="415925"/>
                  </a:xfrm>
                  <a:prstGeom prst="rect">
                    <a:avLst/>
                  </a:prstGeom>
                  <a:ln/>
                </pic:spPr>
              </pic:pic>
            </a:graphicData>
          </a:graphic>
        </wp:inline>
      </w:drawing>
    </w:r>
  </w:p>
  <w:p w14:paraId="368452AB" w14:textId="77777777" w:rsidR="00A270A2" w:rsidRDefault="00000000">
    <w:pPr>
      <w:pBdr>
        <w:top w:val="nil"/>
        <w:left w:val="nil"/>
        <w:bottom w:val="nil"/>
        <w:right w:val="nil"/>
        <w:between w:val="nil"/>
      </w:pBdr>
      <w:ind w:right="3600"/>
      <w:rPr>
        <w:rFonts w:ascii="Museo Slab 500" w:eastAsia="Museo Slab 500" w:hAnsi="Museo Slab 500" w:cs="Museo Slab 500"/>
        <w:color w:val="000000"/>
        <w:sz w:val="36"/>
        <w:szCs w:val="36"/>
      </w:rPr>
    </w:pPr>
    <w:r>
      <w:rPr>
        <w:rFonts w:ascii="Museo Slab 500" w:eastAsia="Museo Slab 500" w:hAnsi="Museo Slab 500" w:cs="Museo Slab 500"/>
        <w:color w:val="000000"/>
        <w:sz w:val="36"/>
        <w:szCs w:val="36"/>
      </w:rPr>
      <w:t>ESEA Flexibilities for Districts Less Than 1,000</w:t>
    </w:r>
  </w:p>
  <w:p w14:paraId="0D64483C" w14:textId="77777777" w:rsidR="00A270A2" w:rsidRDefault="00000000">
    <w:pPr>
      <w:pBdr>
        <w:top w:val="nil"/>
        <w:left w:val="nil"/>
        <w:bottom w:val="nil"/>
        <w:right w:val="nil"/>
        <w:between w:val="nil"/>
      </w:pBdr>
      <w:ind w:right="3600"/>
      <w:rPr>
        <w:color w:val="000000"/>
        <w:sz w:val="22"/>
        <w:szCs w:val="22"/>
      </w:rPr>
    </w:pPr>
    <w:r>
      <w:rPr>
        <w:noProof/>
      </w:rPr>
      <mc:AlternateContent>
        <mc:Choice Requires="wps">
          <w:drawing>
            <wp:anchor distT="0" distB="0" distL="114300" distR="114300" simplePos="0" relativeHeight="251659264" behindDoc="0" locked="0" layoutInCell="1" hidden="0" allowOverlap="1" wp14:anchorId="7EEC7B67" wp14:editId="14697E48">
              <wp:simplePos x="0" y="0"/>
              <wp:positionH relativeFrom="column">
                <wp:posOffset>1</wp:posOffset>
              </wp:positionH>
              <wp:positionV relativeFrom="paragraph">
                <wp:posOffset>25400</wp:posOffset>
              </wp:positionV>
              <wp:extent cx="0" cy="127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1901125" y="3780000"/>
                        <a:ext cx="6889750"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type w14:anchorId="3D06433F" id="_x0000_t32" coordsize="21600,21600" o:spt="32" o:oned="t" path="m,l21600,21600e" filled="f">
              <v:path arrowok="t" fillok="f" o:connecttype="none"/>
              <o:lock v:ext="edit" shapetype="t"/>
            </v:shapetype>
            <v:shape id="Straight Arrow Connector 1" o:spid="_x0000_s1026" type="#_x0000_t32" alt="&quot;&quot;" style="position:absolute;margin-left:0;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" strokecolor="#5b9bd5">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21ACA" w14:textId="77777777" w:rsidR="00A270A2" w:rsidRDefault="00000000">
    <w:pPr>
      <w:pBdr>
        <w:top w:val="nil"/>
        <w:left w:val="nil"/>
        <w:bottom w:val="nil"/>
        <w:right w:val="nil"/>
        <w:between w:val="nil"/>
      </w:pBdr>
      <w:ind w:right="3600"/>
      <w:rPr>
        <w:color w:val="000000"/>
        <w:sz w:val="22"/>
        <w:szCs w:val="22"/>
      </w:rPr>
    </w:pPr>
    <w:r>
      <w:rPr>
        <w:noProof/>
      </w:rPr>
      <w:drawing>
        <wp:anchor distT="0" distB="0" distL="0" distR="0" simplePos="0" relativeHeight="251660288" behindDoc="1" locked="0" layoutInCell="1" hidden="0" allowOverlap="1" wp14:anchorId="2ED65DE0" wp14:editId="1101139A">
          <wp:simplePos x="0" y="0"/>
          <wp:positionH relativeFrom="column">
            <wp:posOffset>-469264</wp:posOffset>
          </wp:positionH>
          <wp:positionV relativeFrom="paragraph">
            <wp:posOffset>0</wp:posOffset>
          </wp:positionV>
          <wp:extent cx="7809230" cy="1610360"/>
          <wp:effectExtent l="0" t="0" r="0" b="0"/>
          <wp:wrapNone/>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809230" cy="16103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A2"/>
    <w:rsid w:val="006546F1"/>
    <w:rsid w:val="00A270A2"/>
    <w:rsid w:val="00CD3E49"/>
    <w:rsid w:val="00E00148"/>
    <w:rsid w:val="00E678F1"/>
    <w:rsid w:val="00E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6E6D"/>
  <w15:docId w15:val="{34784332-F9B8-4822-BE5E-A3FD5012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after="0"/>
      <w:ind w:right="1440"/>
    </w:pPr>
    <w:rPr>
      <w:rFonts w:ascii="Museo Slab 500" w:eastAsia="Times New Roman" w:hAnsi="Museo Slab 500" w:cs="Times New Roman"/>
      <w:color w:val="FFFFFF"/>
      <w:sz w:val="48"/>
      <w:szCs w:val="32"/>
    </w:rPr>
  </w:style>
  <w:style w:type="paragraph" w:styleId="Heading2">
    <w:name w:val="heading 2"/>
    <w:basedOn w:val="Normal1"/>
    <w:next w:val="Normal1"/>
    <w:uiPriority w:val="9"/>
    <w:unhideWhenUsed/>
    <w:qFormat/>
    <w:pPr>
      <w:keepNext/>
      <w:keepLines/>
      <w:spacing w:before="40" w:after="840"/>
      <w:outlineLvl w:val="1"/>
    </w:pPr>
    <w:rPr>
      <w:rFonts w:eastAsia="Times New Roman" w:cs="Times New Roman"/>
      <w:b/>
      <w:color w:val="FFFFFF"/>
      <w:sz w:val="32"/>
      <w:szCs w:val="26"/>
    </w:rPr>
  </w:style>
  <w:style w:type="paragraph" w:styleId="Heading3">
    <w:name w:val="heading 3"/>
    <w:basedOn w:val="Normal1"/>
    <w:next w:val="Normal1"/>
    <w:uiPriority w:val="9"/>
    <w:unhideWhenUsed/>
    <w:qFormat/>
    <w:pPr>
      <w:keepNext/>
      <w:keepLines/>
      <w:spacing w:before="40" w:after="120"/>
      <w:outlineLvl w:val="2"/>
    </w:pPr>
    <w:rPr>
      <w:rFonts w:eastAsia="Times New Roman" w:cs="Times New Roman"/>
      <w:b/>
      <w:color w:val="000000"/>
      <w:sz w:val="28"/>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aliases w:val="Page01- body with right indent-black"/>
    <w:pPr>
      <w:suppressAutoHyphens/>
      <w:spacing w:after="160" w:line="259" w:lineRule="auto"/>
      <w:ind w:leftChars="-1" w:left="-1" w:right="3600" w:hangingChars="1" w:hanging="1"/>
      <w:textDirection w:val="btLr"/>
      <w:textAlignment w:val="top"/>
      <w:outlineLvl w:val="0"/>
    </w:pPr>
    <w:rPr>
      <w:position w:val="-1"/>
      <w:sz w:val="22"/>
      <w:szCs w:val="22"/>
    </w:rPr>
  </w:style>
  <w:style w:type="paragraph" w:styleId="Header">
    <w:name w:val="header"/>
    <w:basedOn w:val="Normal1"/>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1"/>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Museo Slab 500" w:eastAsia="Times New Roman" w:hAnsi="Museo Slab 500" w:cs="Times New Roman"/>
      <w:color w:val="FFFFFF"/>
      <w:w w:val="100"/>
      <w:position w:val="-1"/>
      <w:sz w:val="48"/>
      <w:szCs w:val="32"/>
      <w:effect w:val="none"/>
      <w:vertAlign w:val="baseline"/>
      <w:cs w:val="0"/>
      <w:em w:val="none"/>
    </w:rPr>
  </w:style>
  <w:style w:type="character" w:customStyle="1" w:styleId="Heading2Char">
    <w:name w:val="Heading 2 Char"/>
    <w:rPr>
      <w:rFonts w:ascii="Calibri" w:eastAsia="Times New Roman" w:hAnsi="Calibri" w:cs="Times New Roman"/>
      <w:b/>
      <w:color w:val="FFFFFF"/>
      <w:w w:val="100"/>
      <w:position w:val="-1"/>
      <w:sz w:val="32"/>
      <w:szCs w:val="26"/>
      <w:effect w:val="none"/>
      <w:vertAlign w:val="baseline"/>
      <w:cs w:val="0"/>
      <w:em w:val="none"/>
    </w:rPr>
  </w:style>
  <w:style w:type="character" w:customStyle="1" w:styleId="Heading3Char">
    <w:name w:val="Heading 3 Char"/>
    <w:rPr>
      <w:rFonts w:ascii="Calibri" w:eastAsia="Times New Roman" w:hAnsi="Calibri" w:cs="Times New Roman"/>
      <w:b/>
      <w:color w:val="000000"/>
      <w:w w:val="100"/>
      <w:position w:val="-1"/>
      <w:sz w:val="28"/>
      <w:szCs w:val="24"/>
      <w:effect w:val="none"/>
      <w:vertAlign w:val="baseline"/>
      <w:cs w:val="0"/>
      <w:em w:val="none"/>
    </w:rPr>
  </w:style>
  <w:style w:type="paragraph" w:customStyle="1" w:styleId="Page01-Side-bar-navy">
    <w:name w:val="Page 01-Side-bar-navy"/>
    <w:basedOn w:val="Normal1"/>
    <w:pPr>
      <w:ind w:right="0"/>
    </w:pPr>
    <w:rPr>
      <w:color w:val="232C67"/>
      <w:sz w:val="20"/>
    </w:rPr>
  </w:style>
  <w:style w:type="paragraph" w:styleId="NormalWeb">
    <w:name w:val="Normal (Web)"/>
    <w:basedOn w:val="Normal1"/>
    <w:qFormat/>
    <w:pPr>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Page01-Side-bar-navyChar">
    <w:name w:val="Page 01-Side-bar-navy Char"/>
    <w:rPr>
      <w:color w:val="232C67"/>
      <w:w w:val="100"/>
      <w:position w:val="-1"/>
      <w:sz w:val="20"/>
      <w:effect w:val="none"/>
      <w:vertAlign w:val="baseline"/>
      <w:cs w:val="0"/>
      <w:em w:val="none"/>
    </w:rPr>
  </w:style>
  <w:style w:type="paragraph" w:customStyle="1" w:styleId="Text">
    <w:name w:val="Text"/>
    <w:basedOn w:val="Normal1"/>
    <w:pPr>
      <w:ind w:right="0"/>
    </w:pPr>
  </w:style>
  <w:style w:type="character" w:customStyle="1" w:styleId="TextChar">
    <w:name w:val="Text Char"/>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ese.ed.gov/files/2022/02/Within-district-allocations-FIN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e.state.co.us/fedprograms/titleirankord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e.state.co.us/fedprograms/titleirankor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S4J5x7vWCca2qVuus28cmhTprQ==">CgMxLjA4AHIhMTdQV3JpQzBCYmMzWmpZeDNPM3ZmZGgyY3o4eUNXR29P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cp:lastModifiedBy>Owen, Emily</cp:lastModifiedBy>
  <cp:revision>2</cp:revision>
  <dcterms:created xsi:type="dcterms:W3CDTF">2024-05-28T16:14:00Z</dcterms:created>
  <dcterms:modified xsi:type="dcterms:W3CDTF">2024-05-28T16:14:00Z</dcterms:modified>
</cp:coreProperties>
</file>