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EASI 2023 Prioritization</w:t>
      </w:r>
    </w:p>
    <w:p w:rsidR="00000000" w:rsidDel="00000000" w:rsidP="00000000" w:rsidRDefault="00000000" w:rsidRPr="00000000" w14:paraId="00000002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3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50"/>
        <w:gridCol w:w="3645"/>
        <w:tblGridChange w:id="0">
          <w:tblGrid>
            <w:gridCol w:w="9750"/>
            <w:gridCol w:w="3645"/>
          </w:tblGrid>
        </w:tblGridChange>
      </w:tblGrid>
      <w:tr>
        <w:trPr>
          <w:cantSplit w:val="0"/>
          <w:trHeight w:val="350" w:hRule="atLeast"/>
          <w:tblHeader w:val="0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If the school has a Federal AND a State identification, the school receives the point value for whichever identification has higher points (State or Federal), then receives 1 bonus point as per the information below.</w:t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Criteria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Prioritization Points</w:t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00b05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Federal (ESSA) School Identifications</w:t>
            </w:r>
          </w:p>
        </w:tc>
      </w:tr>
      <w:tr>
        <w:trPr>
          <w:cantSplit w:val="0"/>
          <w:trHeight w:val="238.554687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Comprehensive Support (CS) Lowest 5% or Low Graduation Year 4+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</w:tr>
      <w:tr>
        <w:trPr>
          <w:cantSplit w:val="0"/>
          <w:trHeight w:val="25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Comprehensive Support (CS) Lowest 5%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Comprehensive Support (CS) Low Graduation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Comprehensive Support (CS)  - Persistently ATS (more than 3 years ATS for same student group)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Additional Targeted Support &amp; Improvement (ATS)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Comprehensive Support (CS) Lowest 5% - on Watch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Comprehensive Support (CS) Low Graduation - on Watch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Targeted Support &amp; Improvement (TS)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Targeted Support &amp; Improvement or Additional Targeted Support &amp; Improvement - Not Exited by District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Any Federal identification – identified for Participation Only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ffc000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State (Accountability Clock/Performance Watch) School Identifications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 4+ of Priority Improvement or Turnaround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 4+ on Watch (Performance/Improvement Year 4+)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 3 of Priority Improvement or Turnaround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 2 of Priority Improvement or Turnaround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 1 of Priority Improvement or Turnaround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trike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Year 2 -3 On Watch (Performance/Improvement Year 2 or 3)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Insufficient state data on HOLD (Prior to ISD was Years 1+ on Performance Watch)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</w:tr>
    </w:tbl>
    <w:p w:rsidR="00000000" w:rsidDel="00000000" w:rsidP="00000000" w:rsidRDefault="00000000" w:rsidRPr="00000000" w14:paraId="0000002D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39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35"/>
        <w:gridCol w:w="3660"/>
        <w:tblGridChange w:id="0">
          <w:tblGrid>
            <w:gridCol w:w="9735"/>
            <w:gridCol w:w="3660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00b0f0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Bonus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Points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has not been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awarded an EASI grant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School has both a Federal identification AND a State identification of Turnaround or Priority Improvement (exception: LEAs that did not exit ATS or TS schools)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High schools and other schools that serve grade 12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</w:tr>
    </w:tbl>
    <w:p w:rsidR="00000000" w:rsidDel="00000000" w:rsidP="00000000" w:rsidRDefault="00000000" w:rsidRPr="00000000" w14:paraId="00000036">
      <w:pPr>
        <w:spacing w:after="120" w:before="12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Notes: </w:t>
      </w:r>
    </w:p>
    <w:p w:rsidR="00000000" w:rsidDel="00000000" w:rsidP="00000000" w:rsidRDefault="00000000" w:rsidRPr="00000000" w14:paraId="00000037">
      <w:pPr>
        <w:numPr>
          <w:ilvl w:val="0"/>
          <w:numId w:val="1"/>
        </w:numPr>
        <w:spacing w:after="0" w:afterAutospacing="0" w:before="12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In the event that CDE receives more grant requests than available funding, CDE may take into consideration: a) The status of current and previous EASI grant awards, unspent funds, and fulfillment of prior EASI/program requirements; and b) State school identifications of Priority Improvement or Turnaround as a result of decreased due to participation.</w:t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spacing w:after="120" w:before="0" w:beforeAutospacing="0" w:line="240" w:lineRule="auto"/>
        <w:ind w:left="720" w:hanging="360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The list of eligible schools and awarded prioritization points may change following updates to state and federal identifications that occur through December. Updates that may change prioritization points for a school may include ESSA identification of K-2 schools and successful Request to Reconsider applications that change the state school identifications.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  <w:i w:val="1"/>
          <w:color w:val="1f497d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1f497d"/>
          <w:rtl w:val="0"/>
        </w:rPr>
        <w:t xml:space="preserve">District Prioritization</w:t>
      </w:r>
      <w:r w:rsidDel="00000000" w:rsidR="00000000" w:rsidRPr="00000000">
        <w:rPr>
          <w:rFonts w:ascii="Calibri" w:cs="Calibri" w:eastAsia="Calibri" w:hAnsi="Calibri"/>
          <w:i w:val="1"/>
          <w:color w:val="1f497d"/>
          <w:rtl w:val="0"/>
        </w:rPr>
        <w:t xml:space="preserve"> 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There are several EASI routes that are awarded at the district, rather than the school level for example District Designed and Led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and Exploration Services-District Strategic Planning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. Similar to school level, districts eligible for Accountability Pathways funding will be considered first in the allocation of state funds. Other than Accountability Pathways, when evaluating district-level requests that are fundable, CDE will consider the prioritization scores of the schools that will be served by the supports, and/or the concentration of identified schools in the district. Any LEA that has more than three (3) or 10% of their schools identified under ESSA will be prioritized for district level grants. </w:t>
      </w:r>
    </w:p>
    <w:p w:rsidR="00000000" w:rsidDel="00000000" w:rsidP="00000000" w:rsidRDefault="00000000" w:rsidRPr="00000000" w14:paraId="0000003B">
      <w:pPr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  <w:highlight w:val="yellow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2240" w:w="15840" w:orient="landscape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rPr>
        <w:b w:val="1"/>
        <w:highlight w:val="yellow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TWel2E+6t4WmZ/F2B+rNAamHqHg==">CgMxLjA4AGovChRzdWdnZXN0LmV1eWJnZGNpNWpnaBIXTmF6YW5pbiBNb2hhamVyaS1OZWxzb25qIwoUc3VnZ2VzdC4zenZ4YmNpN29hcG8SC0xpbmRzYXkgQ294ai4KE3N1Z2dlc3QuZzg2aHkwczY5ZjYSF05hemFuaW4gTW9oYWplcmktTmVsc29uaiIKE3N1Z2dlc3Qub2RlMTcxNjRrenISC0xpbmRzYXkgQ294ai8KFHN1Z2dlc3QudGV5ZXQxOXR4NDV5EhdOYXphbmluIE1vaGFqZXJpLU5lbHNvbmovChRzdWdnZXN0LmJvbHl4ejJhaW83eBIXTmF6YW5pbiBNb2hhamVyaS1OZWxzb25yITFocnlyaXhDNGJFWGlwU2ljTWJlRlpEdnhLZm02Y2FKa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2023-07-19T14:47:00Z</dcterms:created>
  <dc:creator>Mehesy, Carol</dc:creator>
</cp:coreProperties>
</file>