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14" w:rsidRDefault="00401814" w:rsidP="00401814">
      <w:pPr>
        <w:jc w:val="both"/>
        <w:rPr>
          <w:rFonts w:ascii="Museo Slab 500" w:hAnsi="Museo Slab 500"/>
          <w:sz w:val="28"/>
          <w:szCs w:val="28"/>
          <w:u w:val="single"/>
        </w:rPr>
      </w:pPr>
      <w:r w:rsidRPr="00401814">
        <w:rPr>
          <w:rFonts w:ascii="Museo Slab 500" w:hAnsi="Museo Slab 500"/>
          <w:sz w:val="28"/>
          <w:szCs w:val="28"/>
          <w:u w:val="single"/>
        </w:rPr>
        <w:t>Meeting Logistics &amp; Desired Outcomes</w:t>
      </w:r>
    </w:p>
    <w:p w:rsidR="00401814" w:rsidRPr="00FF4AB6" w:rsidRDefault="00401814" w:rsidP="00401814">
      <w:pPr>
        <w:contextualSpacing/>
      </w:pPr>
      <w:r w:rsidRPr="00FF4AB6">
        <w:t xml:space="preserve">Meeting:  </w:t>
      </w:r>
      <w:r w:rsidRPr="00FF4AB6">
        <w:tab/>
        <w:t xml:space="preserve">ESSA Committee of Practitioners </w:t>
      </w:r>
    </w:p>
    <w:p w:rsidR="00401814" w:rsidRPr="00FF4AB6" w:rsidRDefault="00401814" w:rsidP="00401814">
      <w:pPr>
        <w:contextualSpacing/>
      </w:pPr>
      <w:r w:rsidRPr="00FF4AB6">
        <w:t>Date &amp; Time:</w:t>
      </w:r>
      <w:r w:rsidRPr="00FF4AB6">
        <w:tab/>
      </w:r>
      <w:r w:rsidR="00063A2B">
        <w:t>February 21, 2019</w:t>
      </w:r>
      <w:r w:rsidR="00AF1780">
        <w:t xml:space="preserve">; </w:t>
      </w:r>
      <w:r w:rsidR="00063A2B">
        <w:t>10:00 am</w:t>
      </w:r>
      <w:r>
        <w:t>– 3:00</w:t>
      </w:r>
      <w:r w:rsidR="00063A2B">
        <w:t xml:space="preserve"> pm </w:t>
      </w:r>
    </w:p>
    <w:p w:rsidR="00401814" w:rsidRDefault="00401814" w:rsidP="00401814">
      <w:pPr>
        <w:contextualSpacing/>
      </w:pPr>
      <w:r w:rsidRPr="00FF4AB6">
        <w:t>Location:</w:t>
      </w:r>
      <w:r w:rsidRPr="00FF4AB6">
        <w:tab/>
      </w:r>
      <w:r w:rsidR="00C40A60">
        <w:t>1560 Broadway, Suite 1900</w:t>
      </w:r>
      <w:r w:rsidR="005D1A27">
        <w:t xml:space="preserve"> </w:t>
      </w:r>
      <w:hyperlink r:id="rId8" w:history="1">
        <w:r w:rsidR="006C46FE">
          <w:rPr>
            <w:rStyle w:val="Hyperlink"/>
          </w:rPr>
          <w:t>February 21, 2019 Webinar Link</w:t>
        </w:r>
      </w:hyperlink>
    </w:p>
    <w:p w:rsidR="00401814" w:rsidRPr="00FF4AB6" w:rsidRDefault="00401814" w:rsidP="00401814">
      <w:pPr>
        <w:contextualSpacing/>
      </w:pPr>
      <w:r w:rsidRPr="00FF4AB6">
        <w:t>Meeting Lead</w:t>
      </w:r>
      <w:r>
        <w:t xml:space="preserve">s: Clint Allison, </w:t>
      </w:r>
      <w:r w:rsidR="00B32330">
        <w:t xml:space="preserve">Laura Gorman, </w:t>
      </w:r>
      <w:r>
        <w:t>Brad Bylsma</w:t>
      </w:r>
    </w:p>
    <w:p w:rsidR="00401814" w:rsidRDefault="00401814" w:rsidP="00401814">
      <w:pPr>
        <w:ind w:left="1440" w:hanging="1440"/>
        <w:contextualSpacing/>
      </w:pPr>
      <w:r>
        <w:t>Objectives:</w:t>
      </w:r>
      <w:r>
        <w:tab/>
        <w:t>To allow the Colorado Department of Education the opportunity to provide updates to and elicit recommendations from the Colorado Committee of Practitioners regarding relevant and timely issues related to CDE’s responsibilities under the Elementary and Secondary Education Act, including:</w:t>
      </w:r>
    </w:p>
    <w:p w:rsidR="00401814" w:rsidRDefault="00401814" w:rsidP="00401814">
      <w:pPr>
        <w:ind w:left="1440" w:hanging="1440"/>
        <w:contextualSpacing/>
        <w:rPr>
          <w:b/>
          <w:u w:val="single"/>
        </w:rPr>
      </w:pPr>
      <w:r>
        <w:rPr>
          <w:b/>
          <w:u w:val="single"/>
        </w:rPr>
        <w:t xml:space="preserve">Attendees: </w:t>
      </w:r>
    </w:p>
    <w:p w:rsidR="00401814" w:rsidRDefault="00401814" w:rsidP="00401814">
      <w:pPr>
        <w:ind w:left="1440" w:hanging="1440"/>
        <w:contextualSpacing/>
        <w:rPr>
          <w:b/>
          <w:u w:val="single"/>
        </w:rPr>
      </w:pPr>
    </w:p>
    <w:p w:rsidR="00401814" w:rsidRPr="00401814" w:rsidRDefault="00401814" w:rsidP="00401814">
      <w:pPr>
        <w:ind w:left="1440" w:hanging="1440"/>
        <w:contextualSpacing/>
        <w:rPr>
          <w:rFonts w:ascii="Museo Slab 500" w:hAnsi="Museo Slab 500"/>
          <w:sz w:val="28"/>
          <w:szCs w:val="28"/>
          <w:u w:val="single"/>
        </w:rPr>
      </w:pPr>
      <w:r w:rsidRPr="00401814">
        <w:rPr>
          <w:rFonts w:ascii="Museo Slab 500" w:hAnsi="Museo Slab 500"/>
          <w:sz w:val="28"/>
          <w:szCs w:val="28"/>
          <w:u w:val="single"/>
        </w:rPr>
        <w:t>Agenda Items and Next Steps</w:t>
      </w:r>
    </w:p>
    <w:tbl>
      <w:tblPr>
        <w:tblStyle w:val="TableGrid"/>
        <w:tblW w:w="0" w:type="auto"/>
        <w:tblLook w:val="04A0" w:firstRow="1" w:lastRow="0" w:firstColumn="1" w:lastColumn="0" w:noHBand="0" w:noVBand="1"/>
        <w:tblCaption w:val="CoP Notes and Agenda Items"/>
        <w:tblDescription w:val="CoP Notes and Agenda Items "/>
      </w:tblPr>
      <w:tblGrid>
        <w:gridCol w:w="2125"/>
        <w:gridCol w:w="1649"/>
        <w:gridCol w:w="2471"/>
        <w:gridCol w:w="1894"/>
        <w:gridCol w:w="2651"/>
      </w:tblGrid>
      <w:tr w:rsidR="00974AF6" w:rsidRPr="00974AF6" w:rsidTr="003542C3">
        <w:trPr>
          <w:tblHeader/>
        </w:trPr>
        <w:tc>
          <w:tcPr>
            <w:tcW w:w="2131" w:type="dxa"/>
            <w:shd w:val="clear" w:color="auto" w:fill="DEEAF6" w:themeFill="accent1" w:themeFillTint="33"/>
          </w:tcPr>
          <w:p w:rsidR="00974AF6" w:rsidRPr="00974AF6" w:rsidRDefault="00974AF6" w:rsidP="007E599A">
            <w:pPr>
              <w:tabs>
                <w:tab w:val="center" w:pos="971"/>
                <w:tab w:val="right" w:pos="1942"/>
              </w:tabs>
              <w:jc w:val="center"/>
              <w:rPr>
                <w:rFonts w:cstheme="minorHAnsi"/>
                <w:b/>
              </w:rPr>
            </w:pPr>
            <w:r w:rsidRPr="00974AF6">
              <w:rPr>
                <w:rFonts w:cstheme="minorHAnsi"/>
                <w:b/>
              </w:rPr>
              <w:t>Headline</w:t>
            </w:r>
          </w:p>
          <w:p w:rsidR="00974AF6" w:rsidRPr="00974AF6" w:rsidRDefault="00974AF6" w:rsidP="007E599A">
            <w:pPr>
              <w:jc w:val="center"/>
              <w:rPr>
                <w:rFonts w:cstheme="minorHAnsi"/>
                <w:b/>
              </w:rPr>
            </w:pPr>
            <w:r w:rsidRPr="00974AF6">
              <w:rPr>
                <w:rFonts w:cstheme="minorHAnsi"/>
                <w:b/>
              </w:rPr>
              <w:t>Time</w:t>
            </w:r>
          </w:p>
          <w:p w:rsidR="00974AF6" w:rsidRPr="00974AF6" w:rsidRDefault="00974AF6" w:rsidP="007E599A">
            <w:pPr>
              <w:jc w:val="center"/>
              <w:rPr>
                <w:rFonts w:cstheme="minorHAnsi"/>
              </w:rPr>
            </w:pPr>
            <w:r w:rsidRPr="00974AF6">
              <w:rPr>
                <w:rFonts w:cstheme="minorHAnsi"/>
                <w:b/>
              </w:rPr>
              <w:t>Presenters</w:t>
            </w:r>
          </w:p>
        </w:tc>
        <w:tc>
          <w:tcPr>
            <w:tcW w:w="1649" w:type="dxa"/>
            <w:shd w:val="clear" w:color="auto" w:fill="DEEAF6" w:themeFill="accent1" w:themeFillTint="33"/>
          </w:tcPr>
          <w:p w:rsidR="00974AF6" w:rsidRPr="00974AF6" w:rsidRDefault="00974AF6" w:rsidP="00974AF6">
            <w:pPr>
              <w:jc w:val="center"/>
              <w:rPr>
                <w:rFonts w:cstheme="minorHAnsi"/>
                <w:b/>
              </w:rPr>
            </w:pPr>
            <w:r w:rsidRPr="00974AF6">
              <w:rPr>
                <w:rFonts w:cstheme="minorHAnsi"/>
                <w:b/>
              </w:rPr>
              <w:t>Topic</w:t>
            </w:r>
          </w:p>
        </w:tc>
        <w:tc>
          <w:tcPr>
            <w:tcW w:w="2479" w:type="dxa"/>
            <w:shd w:val="clear" w:color="auto" w:fill="DEEAF6" w:themeFill="accent1" w:themeFillTint="33"/>
          </w:tcPr>
          <w:p w:rsidR="00974AF6" w:rsidRPr="00974AF6" w:rsidRDefault="00974AF6" w:rsidP="00974AF6">
            <w:pPr>
              <w:jc w:val="center"/>
              <w:rPr>
                <w:rFonts w:cstheme="minorHAnsi"/>
                <w:b/>
              </w:rPr>
            </w:pPr>
            <w:r w:rsidRPr="00974AF6">
              <w:rPr>
                <w:rFonts w:cstheme="minorHAnsi"/>
                <w:b/>
              </w:rPr>
              <w:t>Presentation and Process</w:t>
            </w:r>
          </w:p>
        </w:tc>
        <w:tc>
          <w:tcPr>
            <w:tcW w:w="1872" w:type="dxa"/>
            <w:shd w:val="clear" w:color="auto" w:fill="DEEAF6" w:themeFill="accent1" w:themeFillTint="33"/>
          </w:tcPr>
          <w:p w:rsidR="00974AF6" w:rsidRPr="00974AF6" w:rsidRDefault="00974AF6" w:rsidP="00974AF6">
            <w:pPr>
              <w:jc w:val="center"/>
              <w:rPr>
                <w:rFonts w:cstheme="minorHAnsi"/>
                <w:b/>
              </w:rPr>
            </w:pPr>
            <w:r w:rsidRPr="00974AF6">
              <w:rPr>
                <w:rFonts w:cstheme="minorHAnsi"/>
                <w:b/>
              </w:rPr>
              <w:t>Expected Outcome</w:t>
            </w:r>
          </w:p>
        </w:tc>
        <w:tc>
          <w:tcPr>
            <w:tcW w:w="2659" w:type="dxa"/>
            <w:shd w:val="clear" w:color="auto" w:fill="DEEAF6" w:themeFill="accent1" w:themeFillTint="33"/>
          </w:tcPr>
          <w:p w:rsidR="00974AF6" w:rsidRPr="00974AF6" w:rsidRDefault="00974AF6" w:rsidP="00401814">
            <w:pPr>
              <w:jc w:val="both"/>
              <w:rPr>
                <w:rFonts w:cstheme="minorHAnsi"/>
                <w:b/>
              </w:rPr>
            </w:pPr>
            <w:r w:rsidRPr="00974AF6">
              <w:rPr>
                <w:rFonts w:cstheme="minorHAnsi"/>
                <w:b/>
              </w:rPr>
              <w:t>Summary/Notes</w:t>
            </w:r>
          </w:p>
        </w:tc>
      </w:tr>
      <w:tr w:rsidR="00974AF6" w:rsidRPr="00974AF6" w:rsidTr="003542C3">
        <w:trPr>
          <w:trHeight w:val="1862"/>
        </w:trPr>
        <w:tc>
          <w:tcPr>
            <w:tcW w:w="2131" w:type="dxa"/>
          </w:tcPr>
          <w:p w:rsidR="00974AF6" w:rsidRPr="00974AF6" w:rsidRDefault="00974AF6" w:rsidP="007E599A">
            <w:pPr>
              <w:rPr>
                <w:rFonts w:cstheme="minorHAnsi"/>
                <w:b/>
              </w:rPr>
            </w:pPr>
            <w:r w:rsidRPr="00974AF6">
              <w:rPr>
                <w:rFonts w:cstheme="minorHAnsi"/>
                <w:b/>
              </w:rPr>
              <w:t>Committee Business</w:t>
            </w:r>
          </w:p>
          <w:p w:rsidR="00974AF6" w:rsidRPr="00974AF6" w:rsidRDefault="007E599A" w:rsidP="007E599A">
            <w:pPr>
              <w:rPr>
                <w:rFonts w:cstheme="minorHAnsi"/>
                <w:b/>
              </w:rPr>
            </w:pPr>
            <w:r>
              <w:rPr>
                <w:rFonts w:cstheme="minorHAnsi"/>
                <w:b/>
              </w:rPr>
              <w:t>10:00-10:15</w:t>
            </w:r>
          </w:p>
          <w:p w:rsidR="007E599A" w:rsidRDefault="007E599A" w:rsidP="007E599A">
            <w:pPr>
              <w:rPr>
                <w:rFonts w:cstheme="minorHAnsi"/>
                <w:i/>
              </w:rPr>
            </w:pPr>
          </w:p>
          <w:p w:rsidR="00974AF6" w:rsidRPr="00974AF6" w:rsidRDefault="00974AF6" w:rsidP="007E599A">
            <w:pPr>
              <w:rPr>
                <w:rFonts w:cstheme="minorHAnsi"/>
                <w:i/>
              </w:rPr>
            </w:pPr>
            <w:r w:rsidRPr="00974AF6">
              <w:rPr>
                <w:rFonts w:cstheme="minorHAnsi"/>
                <w:i/>
              </w:rPr>
              <w:t>Clint, Laura, Brad</w:t>
            </w:r>
          </w:p>
        </w:tc>
        <w:tc>
          <w:tcPr>
            <w:tcW w:w="1649" w:type="dxa"/>
          </w:tcPr>
          <w:p w:rsidR="00974AF6" w:rsidRPr="00974AF6" w:rsidRDefault="007E599A" w:rsidP="00974AF6">
            <w:pPr>
              <w:jc w:val="center"/>
              <w:rPr>
                <w:rFonts w:cstheme="minorHAnsi"/>
              </w:rPr>
            </w:pPr>
            <w:r>
              <w:rPr>
                <w:rFonts w:cstheme="minorHAnsi"/>
              </w:rPr>
              <w:t>Approval of Nov. 8, 2018 Notes</w:t>
            </w:r>
          </w:p>
        </w:tc>
        <w:tc>
          <w:tcPr>
            <w:tcW w:w="2479" w:type="dxa"/>
          </w:tcPr>
          <w:p w:rsidR="00974AF6" w:rsidRPr="00974AF6" w:rsidRDefault="00FF330D" w:rsidP="007E599A">
            <w:pPr>
              <w:rPr>
                <w:rFonts w:cstheme="minorHAnsi"/>
              </w:rPr>
            </w:pPr>
            <w:proofErr w:type="spellStart"/>
            <w:r>
              <w:rPr>
                <w:rFonts w:cstheme="minorHAnsi"/>
              </w:rPr>
              <w:t>CoP</w:t>
            </w:r>
            <w:proofErr w:type="spellEnd"/>
            <w:r>
              <w:rPr>
                <w:rFonts w:cstheme="minorHAnsi"/>
              </w:rPr>
              <w:t xml:space="preserve"> </w:t>
            </w:r>
            <w:r w:rsidR="00974AF6">
              <w:rPr>
                <w:rFonts w:cstheme="minorHAnsi"/>
              </w:rPr>
              <w:t xml:space="preserve">Prep: </w:t>
            </w:r>
            <w:r w:rsidR="009A6A64">
              <w:rPr>
                <w:rFonts w:cstheme="minorHAnsi"/>
              </w:rPr>
              <w:t xml:space="preserve"> Read Nov. 8 Meeting Minutes prior to Feb. 21, 2019 meeting.</w:t>
            </w:r>
          </w:p>
        </w:tc>
        <w:tc>
          <w:tcPr>
            <w:tcW w:w="1872" w:type="dxa"/>
          </w:tcPr>
          <w:p w:rsidR="00974AF6" w:rsidRPr="00974AF6" w:rsidRDefault="009A6A64" w:rsidP="009A6A64">
            <w:pPr>
              <w:rPr>
                <w:rFonts w:cstheme="minorHAnsi"/>
              </w:rPr>
            </w:pPr>
            <w:proofErr w:type="spellStart"/>
            <w:r>
              <w:rPr>
                <w:rFonts w:cstheme="minorHAnsi"/>
              </w:rPr>
              <w:t>CoP</w:t>
            </w:r>
            <w:proofErr w:type="spellEnd"/>
            <w:r>
              <w:rPr>
                <w:rFonts w:cstheme="minorHAnsi"/>
              </w:rPr>
              <w:t xml:space="preserve"> members will have an opportunity to review Nov. 8 meeting minutes, amend if needed, and approve.</w:t>
            </w:r>
          </w:p>
        </w:tc>
        <w:tc>
          <w:tcPr>
            <w:tcW w:w="2659" w:type="dxa"/>
          </w:tcPr>
          <w:p w:rsidR="00974AF6" w:rsidRPr="00974AF6" w:rsidRDefault="00974AF6" w:rsidP="00974AF6">
            <w:pPr>
              <w:jc w:val="center"/>
              <w:rPr>
                <w:rFonts w:cstheme="minorHAnsi"/>
              </w:rPr>
            </w:pPr>
          </w:p>
        </w:tc>
      </w:tr>
      <w:tr w:rsidR="003542C3" w:rsidRPr="00974AF6" w:rsidTr="003542C3">
        <w:trPr>
          <w:trHeight w:val="1610"/>
        </w:trPr>
        <w:tc>
          <w:tcPr>
            <w:tcW w:w="2131" w:type="dxa"/>
          </w:tcPr>
          <w:p w:rsidR="003542C3" w:rsidRPr="007E599A" w:rsidRDefault="003542C3" w:rsidP="003542C3">
            <w:pPr>
              <w:rPr>
                <w:rFonts w:cstheme="minorHAnsi"/>
                <w:b/>
              </w:rPr>
            </w:pPr>
            <w:r w:rsidRPr="007E599A">
              <w:rPr>
                <w:rFonts w:cstheme="minorHAnsi"/>
                <w:b/>
              </w:rPr>
              <w:t>Equitable Distribution of Teachers</w:t>
            </w:r>
          </w:p>
          <w:p w:rsidR="003542C3" w:rsidRPr="007E599A" w:rsidRDefault="003542C3" w:rsidP="003542C3">
            <w:pPr>
              <w:rPr>
                <w:rFonts w:cstheme="minorHAnsi"/>
                <w:b/>
              </w:rPr>
            </w:pPr>
            <w:r w:rsidRPr="007E599A">
              <w:rPr>
                <w:rFonts w:cstheme="minorHAnsi"/>
                <w:b/>
              </w:rPr>
              <w:t>10:15 – 11:15</w:t>
            </w:r>
          </w:p>
          <w:p w:rsidR="003542C3" w:rsidRPr="00974AF6" w:rsidRDefault="003542C3" w:rsidP="003542C3">
            <w:pPr>
              <w:rPr>
                <w:rFonts w:cstheme="minorHAnsi"/>
              </w:rPr>
            </w:pPr>
            <w:r>
              <w:rPr>
                <w:rFonts w:cstheme="minorHAnsi"/>
              </w:rPr>
              <w:t xml:space="preserve">Jeremy Meredith, </w:t>
            </w:r>
            <w:proofErr w:type="spellStart"/>
            <w:r>
              <w:rPr>
                <w:rFonts w:cstheme="minorHAnsi"/>
              </w:rPr>
              <w:t>Nazie</w:t>
            </w:r>
            <w:proofErr w:type="spellEnd"/>
            <w:r>
              <w:rPr>
                <w:rFonts w:cstheme="minorHAnsi"/>
              </w:rPr>
              <w:t xml:space="preserve"> Mohajeri-Nelson</w:t>
            </w:r>
          </w:p>
        </w:tc>
        <w:tc>
          <w:tcPr>
            <w:tcW w:w="1649" w:type="dxa"/>
            <w:tcBorders>
              <w:top w:val="single" w:sz="8" w:space="0" w:color="auto"/>
              <w:left w:val="nil"/>
              <w:bottom w:val="single" w:sz="8" w:space="0" w:color="auto"/>
              <w:right w:val="single" w:sz="8" w:space="0" w:color="auto"/>
            </w:tcBorders>
            <w:shd w:val="clear" w:color="auto" w:fill="auto"/>
          </w:tcPr>
          <w:p w:rsidR="003542C3" w:rsidRDefault="003542C3" w:rsidP="003542C3">
            <w:pPr>
              <w:rPr>
                <w:b/>
                <w:bCs/>
              </w:rPr>
            </w:pPr>
            <w:r>
              <w:rPr>
                <w:b/>
                <w:bCs/>
              </w:rPr>
              <w:t>Topic</w:t>
            </w:r>
          </w:p>
          <w:p w:rsidR="003542C3" w:rsidRDefault="003542C3" w:rsidP="00C45C7D">
            <w:pPr>
              <w:jc w:val="center"/>
            </w:pPr>
            <w:r>
              <w:t>Towards EDT Gap Sizes</w:t>
            </w:r>
          </w:p>
        </w:tc>
        <w:tc>
          <w:tcPr>
            <w:tcW w:w="2479" w:type="dxa"/>
            <w:tcBorders>
              <w:top w:val="single" w:sz="8" w:space="0" w:color="auto"/>
              <w:left w:val="nil"/>
              <w:bottom w:val="single" w:sz="8" w:space="0" w:color="auto"/>
              <w:right w:val="single" w:sz="8" w:space="0" w:color="auto"/>
            </w:tcBorders>
            <w:shd w:val="clear" w:color="auto" w:fill="auto"/>
          </w:tcPr>
          <w:p w:rsidR="003542C3" w:rsidRDefault="003542C3" w:rsidP="003542C3">
            <w:pPr>
              <w:rPr>
                <w:b/>
                <w:bCs/>
              </w:rPr>
            </w:pPr>
            <w:proofErr w:type="spellStart"/>
            <w:r>
              <w:rPr>
                <w:b/>
                <w:bCs/>
              </w:rPr>
              <w:t>CoP</w:t>
            </w:r>
            <w:proofErr w:type="spellEnd"/>
            <w:r>
              <w:rPr>
                <w:b/>
                <w:bCs/>
              </w:rPr>
              <w:t xml:space="preserve"> Prep:</w:t>
            </w:r>
          </w:p>
          <w:p w:rsidR="003542C3" w:rsidRDefault="003542C3" w:rsidP="003542C3">
            <w:r>
              <w:t>Review E</w:t>
            </w:r>
            <w:r w:rsidR="00C45C7D">
              <w:t>DT gap size proposal in adv</w:t>
            </w:r>
            <w:bookmarkStart w:id="0" w:name="_GoBack"/>
            <w:bookmarkEnd w:id="0"/>
            <w:r w:rsidR="00C45C7D">
              <w:t xml:space="preserve">ance. </w:t>
            </w:r>
          </w:p>
        </w:tc>
        <w:tc>
          <w:tcPr>
            <w:tcW w:w="1872" w:type="dxa"/>
            <w:tcBorders>
              <w:top w:val="single" w:sz="8" w:space="0" w:color="auto"/>
              <w:left w:val="nil"/>
              <w:bottom w:val="single" w:sz="8" w:space="0" w:color="auto"/>
              <w:right w:val="single" w:sz="8" w:space="0" w:color="auto"/>
            </w:tcBorders>
            <w:shd w:val="clear" w:color="auto" w:fill="auto"/>
          </w:tcPr>
          <w:p w:rsidR="003542C3" w:rsidRDefault="003542C3" w:rsidP="003542C3">
            <w:pPr>
              <w:rPr>
                <w:b/>
                <w:bCs/>
              </w:rPr>
            </w:pPr>
            <w:proofErr w:type="spellStart"/>
            <w:r>
              <w:rPr>
                <w:b/>
                <w:bCs/>
              </w:rPr>
              <w:t>CoP</w:t>
            </w:r>
            <w:proofErr w:type="spellEnd"/>
            <w:r>
              <w:rPr>
                <w:b/>
                <w:bCs/>
              </w:rPr>
              <w:t xml:space="preserve"> will…</w:t>
            </w:r>
          </w:p>
          <w:p w:rsidR="003542C3" w:rsidRDefault="003542C3" w:rsidP="006A3D1A">
            <w:pPr>
              <w:spacing w:line="252" w:lineRule="auto"/>
            </w:pPr>
            <w:r>
              <w:t>Review justification for using gap size analyses</w:t>
            </w:r>
            <w:r w:rsidR="006A3D1A">
              <w:t xml:space="preserve">. </w:t>
            </w:r>
            <w:r>
              <w:t>Discuss two models to define gap size</w:t>
            </w:r>
            <w:r w:rsidR="006A3D1A">
              <w:t xml:space="preserve">. </w:t>
            </w:r>
            <w:r>
              <w:t xml:space="preserve">Discuss possible LEA actions and </w:t>
            </w:r>
            <w:r>
              <w:lastRenderedPageBreak/>
              <w:t>CDE supports according to gap size</w:t>
            </w:r>
            <w:r w:rsidR="006A3D1A">
              <w:t xml:space="preserve">. </w:t>
            </w:r>
          </w:p>
        </w:tc>
        <w:tc>
          <w:tcPr>
            <w:tcW w:w="2659" w:type="dxa"/>
          </w:tcPr>
          <w:p w:rsidR="003542C3" w:rsidRPr="00974AF6" w:rsidRDefault="003542C3" w:rsidP="003542C3">
            <w:pPr>
              <w:jc w:val="center"/>
              <w:rPr>
                <w:rFonts w:cstheme="minorHAnsi"/>
              </w:rPr>
            </w:pPr>
          </w:p>
        </w:tc>
      </w:tr>
      <w:tr w:rsidR="003542C3" w:rsidRPr="00974AF6" w:rsidTr="003542C3">
        <w:trPr>
          <w:trHeight w:val="1610"/>
        </w:trPr>
        <w:tc>
          <w:tcPr>
            <w:tcW w:w="2131" w:type="dxa"/>
          </w:tcPr>
          <w:p w:rsidR="003542C3" w:rsidRPr="009B3EF2" w:rsidRDefault="003542C3" w:rsidP="003542C3">
            <w:pPr>
              <w:rPr>
                <w:rFonts w:cstheme="minorHAnsi"/>
                <w:b/>
              </w:rPr>
            </w:pPr>
            <w:r w:rsidRPr="009B3EF2">
              <w:rPr>
                <w:rFonts w:cstheme="minorHAnsi"/>
                <w:b/>
              </w:rPr>
              <w:t>1% Alternative Assessment</w:t>
            </w:r>
          </w:p>
          <w:p w:rsidR="003542C3" w:rsidRPr="009B3EF2" w:rsidRDefault="003542C3" w:rsidP="003542C3">
            <w:pPr>
              <w:rPr>
                <w:rFonts w:cstheme="minorHAnsi"/>
                <w:b/>
              </w:rPr>
            </w:pPr>
            <w:r w:rsidRPr="009B3EF2">
              <w:rPr>
                <w:rFonts w:cstheme="minorHAnsi"/>
                <w:b/>
              </w:rPr>
              <w:t>11:15 – 11:30</w:t>
            </w:r>
          </w:p>
          <w:p w:rsidR="003542C3" w:rsidRPr="00974AF6" w:rsidRDefault="003542C3" w:rsidP="003542C3">
            <w:pPr>
              <w:rPr>
                <w:rFonts w:cstheme="minorHAnsi"/>
              </w:rPr>
            </w:pPr>
            <w:r>
              <w:rPr>
                <w:rFonts w:cstheme="minorHAnsi"/>
              </w:rPr>
              <w:t>Paul Foster, Gina Herrera</w:t>
            </w:r>
          </w:p>
        </w:tc>
        <w:tc>
          <w:tcPr>
            <w:tcW w:w="1649" w:type="dxa"/>
          </w:tcPr>
          <w:p w:rsidR="003542C3" w:rsidRPr="00974AF6" w:rsidRDefault="003E260B" w:rsidP="003542C3">
            <w:pPr>
              <w:jc w:val="center"/>
              <w:rPr>
                <w:rFonts w:cstheme="minorHAnsi"/>
              </w:rPr>
            </w:pPr>
            <w:r>
              <w:rPr>
                <w:rFonts w:cstheme="minorHAnsi"/>
              </w:rPr>
              <w:t>Update on 1% Alternative Assessment</w:t>
            </w:r>
          </w:p>
        </w:tc>
        <w:tc>
          <w:tcPr>
            <w:tcW w:w="2479" w:type="dxa"/>
          </w:tcPr>
          <w:p w:rsidR="003542C3" w:rsidRPr="00974AF6" w:rsidRDefault="003542C3" w:rsidP="003542C3">
            <w:pPr>
              <w:rPr>
                <w:rFonts w:cstheme="minorHAnsi"/>
              </w:rPr>
            </w:pPr>
            <w:proofErr w:type="spellStart"/>
            <w:r>
              <w:rPr>
                <w:rFonts w:cstheme="minorHAnsi"/>
              </w:rPr>
              <w:t>CoP</w:t>
            </w:r>
            <w:proofErr w:type="spellEnd"/>
            <w:r>
              <w:rPr>
                <w:rFonts w:cstheme="minorHAnsi"/>
              </w:rPr>
              <w:t xml:space="preserve"> Prep:</w:t>
            </w:r>
            <w:r w:rsidR="003E260B">
              <w:rPr>
                <w:rFonts w:cstheme="minorHAnsi"/>
              </w:rPr>
              <w:t xml:space="preserve"> None</w:t>
            </w:r>
          </w:p>
        </w:tc>
        <w:tc>
          <w:tcPr>
            <w:tcW w:w="1872" w:type="dxa"/>
          </w:tcPr>
          <w:p w:rsidR="003542C3" w:rsidRPr="00974AF6" w:rsidRDefault="003E260B" w:rsidP="003E260B">
            <w:pPr>
              <w:jc w:val="center"/>
              <w:rPr>
                <w:rFonts w:cstheme="minorHAnsi"/>
              </w:rPr>
            </w:pPr>
            <w:r>
              <w:t> Members will have an opportunity to respond to the Alternate Assessment Update</w:t>
            </w:r>
            <w:r w:rsidR="006A3D1A">
              <w:t xml:space="preserve">. </w:t>
            </w:r>
          </w:p>
        </w:tc>
        <w:tc>
          <w:tcPr>
            <w:tcW w:w="2659" w:type="dxa"/>
          </w:tcPr>
          <w:p w:rsidR="003542C3" w:rsidRPr="00974AF6" w:rsidRDefault="003542C3" w:rsidP="003542C3">
            <w:pPr>
              <w:jc w:val="center"/>
              <w:rPr>
                <w:rFonts w:cstheme="minorHAnsi"/>
              </w:rPr>
            </w:pPr>
          </w:p>
        </w:tc>
      </w:tr>
      <w:tr w:rsidR="003542C3" w:rsidRPr="00974AF6" w:rsidTr="003542C3">
        <w:trPr>
          <w:trHeight w:val="1610"/>
        </w:trPr>
        <w:tc>
          <w:tcPr>
            <w:tcW w:w="2131" w:type="dxa"/>
          </w:tcPr>
          <w:p w:rsidR="003542C3" w:rsidRPr="009B3EF2" w:rsidRDefault="003542C3" w:rsidP="003542C3">
            <w:pPr>
              <w:rPr>
                <w:rFonts w:cstheme="minorHAnsi"/>
                <w:b/>
              </w:rPr>
            </w:pPr>
            <w:r w:rsidRPr="009B3EF2">
              <w:rPr>
                <w:rFonts w:cstheme="minorHAnsi"/>
                <w:b/>
              </w:rPr>
              <w:t>Alternative Diploma</w:t>
            </w:r>
          </w:p>
          <w:p w:rsidR="003542C3" w:rsidRPr="009B3EF2" w:rsidRDefault="003542C3" w:rsidP="003542C3">
            <w:pPr>
              <w:rPr>
                <w:rFonts w:cstheme="minorHAnsi"/>
                <w:b/>
              </w:rPr>
            </w:pPr>
            <w:r w:rsidRPr="009B3EF2">
              <w:rPr>
                <w:rFonts w:cstheme="minorHAnsi"/>
                <w:b/>
              </w:rPr>
              <w:t>11:30 – 12:00</w:t>
            </w:r>
          </w:p>
          <w:p w:rsidR="003542C3" w:rsidRPr="00974AF6" w:rsidRDefault="003542C3" w:rsidP="003542C3">
            <w:pPr>
              <w:rPr>
                <w:rFonts w:cstheme="minorHAnsi"/>
              </w:rPr>
            </w:pPr>
            <w:r>
              <w:rPr>
                <w:rFonts w:cstheme="minorHAnsi"/>
              </w:rPr>
              <w:t>Paul Foster, Gina Herrera</w:t>
            </w:r>
          </w:p>
        </w:tc>
        <w:tc>
          <w:tcPr>
            <w:tcW w:w="1649" w:type="dxa"/>
            <w:tcBorders>
              <w:top w:val="nil"/>
              <w:left w:val="nil"/>
              <w:bottom w:val="single" w:sz="8" w:space="0" w:color="auto"/>
              <w:right w:val="single" w:sz="8" w:space="0" w:color="auto"/>
            </w:tcBorders>
            <w:shd w:val="clear" w:color="auto" w:fill="auto"/>
          </w:tcPr>
          <w:p w:rsidR="003542C3" w:rsidRDefault="003542C3" w:rsidP="003542C3">
            <w:pPr>
              <w:jc w:val="center"/>
            </w:pPr>
            <w:r>
              <w:t> Update on Alternate Diploma </w:t>
            </w:r>
          </w:p>
        </w:tc>
        <w:tc>
          <w:tcPr>
            <w:tcW w:w="2479" w:type="dxa"/>
            <w:tcBorders>
              <w:top w:val="nil"/>
              <w:left w:val="nil"/>
              <w:bottom w:val="single" w:sz="8" w:space="0" w:color="auto"/>
              <w:right w:val="single" w:sz="8" w:space="0" w:color="auto"/>
            </w:tcBorders>
            <w:shd w:val="clear" w:color="auto" w:fill="auto"/>
          </w:tcPr>
          <w:p w:rsidR="003542C3" w:rsidRDefault="003542C3" w:rsidP="003542C3">
            <w:proofErr w:type="spellStart"/>
            <w:r>
              <w:t>CoP</w:t>
            </w:r>
            <w:proofErr w:type="spellEnd"/>
            <w:r>
              <w:t xml:space="preserve"> Prep: None</w:t>
            </w:r>
          </w:p>
        </w:tc>
        <w:tc>
          <w:tcPr>
            <w:tcW w:w="1872" w:type="dxa"/>
            <w:tcBorders>
              <w:top w:val="nil"/>
              <w:left w:val="nil"/>
              <w:bottom w:val="single" w:sz="8" w:space="0" w:color="auto"/>
              <w:right w:val="single" w:sz="8" w:space="0" w:color="auto"/>
            </w:tcBorders>
            <w:shd w:val="clear" w:color="auto" w:fill="auto"/>
          </w:tcPr>
          <w:p w:rsidR="003542C3" w:rsidRDefault="003542C3" w:rsidP="003542C3">
            <w:pPr>
              <w:jc w:val="center"/>
            </w:pPr>
            <w:r>
              <w:t> Members will have an opportunity to respond and provide feedback related to Alternate Diploma.</w:t>
            </w:r>
          </w:p>
        </w:tc>
        <w:tc>
          <w:tcPr>
            <w:tcW w:w="2659" w:type="dxa"/>
          </w:tcPr>
          <w:p w:rsidR="003542C3" w:rsidRPr="00974AF6" w:rsidRDefault="003542C3" w:rsidP="003542C3">
            <w:pPr>
              <w:jc w:val="center"/>
              <w:rPr>
                <w:rFonts w:cstheme="minorHAnsi"/>
              </w:rPr>
            </w:pPr>
          </w:p>
        </w:tc>
      </w:tr>
      <w:tr w:rsidR="003542C3" w:rsidRPr="00974AF6" w:rsidTr="009B3EF2">
        <w:trPr>
          <w:trHeight w:val="710"/>
        </w:trPr>
        <w:tc>
          <w:tcPr>
            <w:tcW w:w="10790" w:type="dxa"/>
            <w:gridSpan w:val="5"/>
          </w:tcPr>
          <w:p w:rsidR="003542C3" w:rsidRPr="00E33A42" w:rsidRDefault="003542C3" w:rsidP="003542C3">
            <w:pPr>
              <w:rPr>
                <w:rFonts w:cstheme="minorHAnsi"/>
                <w:b/>
              </w:rPr>
            </w:pPr>
            <w:r w:rsidRPr="00E33A42">
              <w:rPr>
                <w:rFonts w:cstheme="minorHAnsi"/>
                <w:b/>
              </w:rPr>
              <w:t>Lunch:</w:t>
            </w:r>
          </w:p>
          <w:p w:rsidR="003542C3" w:rsidRPr="00974AF6" w:rsidRDefault="003542C3" w:rsidP="003542C3">
            <w:pPr>
              <w:jc w:val="center"/>
              <w:rPr>
                <w:rFonts w:cstheme="minorHAnsi"/>
              </w:rPr>
            </w:pPr>
            <w:r w:rsidRPr="00E33A42">
              <w:rPr>
                <w:rFonts w:cstheme="minorHAnsi"/>
                <w:b/>
              </w:rPr>
              <w:t>12:00 – 12:30</w:t>
            </w:r>
          </w:p>
        </w:tc>
      </w:tr>
      <w:tr w:rsidR="003542C3" w:rsidRPr="00974AF6" w:rsidTr="003542C3">
        <w:trPr>
          <w:trHeight w:val="1610"/>
        </w:trPr>
        <w:tc>
          <w:tcPr>
            <w:tcW w:w="2131" w:type="dxa"/>
          </w:tcPr>
          <w:p w:rsidR="003542C3" w:rsidRPr="00E33A42" w:rsidRDefault="003542C3" w:rsidP="003542C3">
            <w:pPr>
              <w:rPr>
                <w:rFonts w:cstheme="minorHAnsi"/>
                <w:b/>
              </w:rPr>
            </w:pPr>
            <w:r w:rsidRPr="00E33A42">
              <w:rPr>
                <w:rFonts w:cstheme="minorHAnsi"/>
                <w:b/>
              </w:rPr>
              <w:t xml:space="preserve">ESSA “Other Indicator” </w:t>
            </w:r>
          </w:p>
          <w:p w:rsidR="003542C3" w:rsidRPr="00E33A42" w:rsidRDefault="003542C3" w:rsidP="003542C3">
            <w:pPr>
              <w:rPr>
                <w:rFonts w:cstheme="minorHAnsi"/>
                <w:b/>
              </w:rPr>
            </w:pPr>
            <w:r w:rsidRPr="00E33A42">
              <w:rPr>
                <w:rFonts w:cstheme="minorHAnsi"/>
                <w:b/>
              </w:rPr>
              <w:t>12:30 – 1:00</w:t>
            </w:r>
          </w:p>
          <w:p w:rsidR="003542C3" w:rsidRDefault="003542C3" w:rsidP="003542C3">
            <w:pPr>
              <w:rPr>
                <w:rFonts w:cstheme="minorHAnsi"/>
              </w:rPr>
            </w:pPr>
            <w:proofErr w:type="spellStart"/>
            <w:r>
              <w:rPr>
                <w:rFonts w:cstheme="minorHAnsi"/>
              </w:rPr>
              <w:t>Nazie</w:t>
            </w:r>
            <w:proofErr w:type="spellEnd"/>
            <w:r>
              <w:rPr>
                <w:rFonts w:cstheme="minorHAnsi"/>
              </w:rPr>
              <w:t xml:space="preserve"> Mohajeri-Nelson</w:t>
            </w:r>
          </w:p>
          <w:p w:rsidR="003542C3" w:rsidRPr="00974AF6" w:rsidRDefault="003542C3" w:rsidP="003542C3">
            <w:pPr>
              <w:jc w:val="center"/>
              <w:rPr>
                <w:rFonts w:cstheme="minorHAnsi"/>
              </w:rPr>
            </w:pPr>
          </w:p>
        </w:tc>
        <w:tc>
          <w:tcPr>
            <w:tcW w:w="1649" w:type="dxa"/>
          </w:tcPr>
          <w:p w:rsidR="003542C3" w:rsidRPr="006A3D1A" w:rsidRDefault="00836E2D" w:rsidP="00836E2D">
            <w:pPr>
              <w:rPr>
                <w:rFonts w:cstheme="minorHAnsi"/>
              </w:rPr>
            </w:pPr>
            <w:r w:rsidRPr="006A3D1A">
              <w:t xml:space="preserve">Update on Other indicator. LEAs that have schools identified for Targeted </w:t>
            </w:r>
            <w:r w:rsidRPr="006A3D1A">
              <w:lastRenderedPageBreak/>
              <w:t>Support and Improvement have to establish the criteria and timeline for exiting schools</w:t>
            </w:r>
          </w:p>
        </w:tc>
        <w:tc>
          <w:tcPr>
            <w:tcW w:w="2479" w:type="dxa"/>
          </w:tcPr>
          <w:p w:rsidR="003542C3" w:rsidRPr="006A3D1A" w:rsidRDefault="003542C3" w:rsidP="003542C3">
            <w:pPr>
              <w:rPr>
                <w:rFonts w:cstheme="minorHAnsi"/>
              </w:rPr>
            </w:pPr>
            <w:proofErr w:type="spellStart"/>
            <w:r w:rsidRPr="006A3D1A">
              <w:rPr>
                <w:rFonts w:cstheme="minorHAnsi"/>
              </w:rPr>
              <w:lastRenderedPageBreak/>
              <w:t>CoP</w:t>
            </w:r>
            <w:proofErr w:type="spellEnd"/>
            <w:r w:rsidRPr="006A3D1A">
              <w:rPr>
                <w:rFonts w:cstheme="minorHAnsi"/>
              </w:rPr>
              <w:t xml:space="preserve"> Prep:</w:t>
            </w:r>
          </w:p>
          <w:p w:rsidR="00B92683" w:rsidRPr="006A3D1A" w:rsidRDefault="00B92683" w:rsidP="003542C3">
            <w:pPr>
              <w:rPr>
                <w:rFonts w:cstheme="minorHAnsi"/>
              </w:rPr>
            </w:pPr>
            <w:r w:rsidRPr="006A3D1A">
              <w:t>Review §1111(d)(2)</w:t>
            </w:r>
          </w:p>
        </w:tc>
        <w:tc>
          <w:tcPr>
            <w:tcW w:w="1872" w:type="dxa"/>
          </w:tcPr>
          <w:p w:rsidR="00B92683" w:rsidRPr="006A3D1A" w:rsidRDefault="00B92683" w:rsidP="00B92683">
            <w:r w:rsidRPr="006A3D1A">
              <w:t xml:space="preserve">Recommendations on: </w:t>
            </w:r>
          </w:p>
          <w:p w:rsidR="00B92683" w:rsidRPr="006A3D1A" w:rsidRDefault="00F8280A" w:rsidP="00F8280A">
            <w:pPr>
              <w:spacing w:line="252" w:lineRule="auto"/>
            </w:pPr>
            <w:r w:rsidRPr="006A3D1A">
              <w:t xml:space="preserve">1. </w:t>
            </w:r>
            <w:r w:rsidR="00B92683" w:rsidRPr="006A3D1A">
              <w:t xml:space="preserve">How to improve quality of absenteeism data. </w:t>
            </w:r>
          </w:p>
          <w:p w:rsidR="00B92683" w:rsidRPr="006A3D1A" w:rsidRDefault="00F8280A" w:rsidP="00F8280A">
            <w:pPr>
              <w:spacing w:line="252" w:lineRule="auto"/>
            </w:pPr>
            <w:r w:rsidRPr="006A3D1A">
              <w:lastRenderedPageBreak/>
              <w:t xml:space="preserve">2. </w:t>
            </w:r>
            <w:r w:rsidR="00B92683" w:rsidRPr="006A3D1A">
              <w:t xml:space="preserve">How to collect input from LEAs regarding TS exit criteria and timeline. </w:t>
            </w:r>
          </w:p>
          <w:p w:rsidR="003542C3" w:rsidRPr="006A3D1A" w:rsidRDefault="00B92683" w:rsidP="00B92683">
            <w:pPr>
              <w:rPr>
                <w:rFonts w:cstheme="minorHAnsi"/>
              </w:rPr>
            </w:pPr>
            <w:r w:rsidRPr="006A3D1A">
              <w:t>Recommended exit criteria and timeline to which LEAs could just refer (instead of establishing own</w:t>
            </w:r>
          </w:p>
        </w:tc>
        <w:tc>
          <w:tcPr>
            <w:tcW w:w="2659" w:type="dxa"/>
          </w:tcPr>
          <w:p w:rsidR="003542C3" w:rsidRPr="00974AF6" w:rsidRDefault="003542C3" w:rsidP="003542C3">
            <w:pPr>
              <w:jc w:val="center"/>
              <w:rPr>
                <w:rFonts w:cstheme="minorHAnsi"/>
              </w:rPr>
            </w:pPr>
          </w:p>
        </w:tc>
      </w:tr>
      <w:tr w:rsidR="003542C3" w:rsidRPr="00974AF6" w:rsidTr="003542C3">
        <w:trPr>
          <w:trHeight w:val="1610"/>
        </w:trPr>
        <w:tc>
          <w:tcPr>
            <w:tcW w:w="2131" w:type="dxa"/>
          </w:tcPr>
          <w:p w:rsidR="003542C3" w:rsidRPr="009833C5" w:rsidRDefault="003542C3" w:rsidP="003542C3">
            <w:pPr>
              <w:rPr>
                <w:rFonts w:cstheme="minorHAnsi"/>
                <w:b/>
              </w:rPr>
            </w:pPr>
            <w:r w:rsidRPr="009833C5">
              <w:rPr>
                <w:rFonts w:cstheme="minorHAnsi"/>
                <w:b/>
              </w:rPr>
              <w:t>Migrant Education</w:t>
            </w:r>
          </w:p>
          <w:p w:rsidR="003542C3" w:rsidRPr="009833C5" w:rsidRDefault="000201FB" w:rsidP="003542C3">
            <w:pPr>
              <w:rPr>
                <w:rFonts w:cstheme="minorHAnsi"/>
                <w:b/>
              </w:rPr>
            </w:pPr>
            <w:r>
              <w:rPr>
                <w:rFonts w:cstheme="minorHAnsi"/>
                <w:b/>
              </w:rPr>
              <w:t>1:00 – 1:40</w:t>
            </w:r>
          </w:p>
          <w:p w:rsidR="003542C3" w:rsidRPr="00974AF6" w:rsidRDefault="003542C3" w:rsidP="003542C3">
            <w:pPr>
              <w:rPr>
                <w:rFonts w:cstheme="minorHAnsi"/>
              </w:rPr>
            </w:pPr>
            <w:r>
              <w:rPr>
                <w:rFonts w:cstheme="minorHAnsi"/>
              </w:rPr>
              <w:t xml:space="preserve">Tomas Mejia </w:t>
            </w:r>
          </w:p>
        </w:tc>
        <w:tc>
          <w:tcPr>
            <w:tcW w:w="1649" w:type="dxa"/>
          </w:tcPr>
          <w:p w:rsidR="003542C3" w:rsidRPr="00974AF6" w:rsidRDefault="003542C3" w:rsidP="00527EE5">
            <w:pPr>
              <w:rPr>
                <w:rFonts w:cstheme="minorHAnsi"/>
              </w:rPr>
            </w:pPr>
            <w:r>
              <w:rPr>
                <w:rFonts w:cstheme="minorHAnsi"/>
              </w:rPr>
              <w:t xml:space="preserve">Migrant </w:t>
            </w:r>
            <w:r w:rsidR="00527EE5">
              <w:rPr>
                <w:rFonts w:cstheme="minorHAnsi"/>
              </w:rPr>
              <w:t xml:space="preserve">Education  Program </w:t>
            </w:r>
          </w:p>
        </w:tc>
        <w:tc>
          <w:tcPr>
            <w:tcW w:w="2479" w:type="dxa"/>
          </w:tcPr>
          <w:p w:rsidR="003542C3" w:rsidRDefault="003542C3" w:rsidP="00836E2D">
            <w:pPr>
              <w:rPr>
                <w:rFonts w:cstheme="minorHAnsi"/>
              </w:rPr>
            </w:pPr>
            <w:proofErr w:type="spellStart"/>
            <w:r w:rsidRPr="00527EE5">
              <w:rPr>
                <w:rFonts w:cstheme="minorHAnsi"/>
              </w:rPr>
              <w:t>CoP</w:t>
            </w:r>
            <w:proofErr w:type="spellEnd"/>
            <w:r w:rsidRPr="00527EE5">
              <w:rPr>
                <w:rFonts w:cstheme="minorHAnsi"/>
              </w:rPr>
              <w:t xml:space="preserve"> Prep:</w:t>
            </w:r>
            <w:r w:rsidR="00CD26B9">
              <w:rPr>
                <w:rFonts w:cstheme="minorHAnsi"/>
              </w:rPr>
              <w:t xml:space="preserve"> </w:t>
            </w:r>
          </w:p>
          <w:p w:rsidR="008E339D" w:rsidRDefault="008E339D" w:rsidP="008E339D">
            <w:pPr>
              <w:shd w:val="clear" w:color="auto" w:fill="FFFFFF"/>
            </w:pPr>
            <w:r>
              <w:rPr>
                <w:b/>
                <w:bCs/>
              </w:rPr>
              <w:t>Statutory Requirement:</w:t>
            </w:r>
            <w:r>
              <w:t xml:space="preserve"> 1309 of Title I, Part C</w:t>
            </w:r>
          </w:p>
          <w:p w:rsidR="008E339D" w:rsidRPr="00527EE5" w:rsidRDefault="008E339D" w:rsidP="008E339D">
            <w:pPr>
              <w:rPr>
                <w:rFonts w:cstheme="minorHAnsi"/>
              </w:rPr>
            </w:pPr>
            <w:r>
              <w:rPr>
                <w:b/>
                <w:bCs/>
                <w:color w:val="262626"/>
              </w:rPr>
              <w:t>Regulatory Requirements:</w:t>
            </w:r>
            <w:r>
              <w:rPr>
                <w:color w:val="262626"/>
              </w:rPr>
              <w:t xml:space="preserve"> Title I: C-CFR 200.81 and 200.103</w:t>
            </w:r>
          </w:p>
          <w:p w:rsidR="00836E2D" w:rsidRPr="00450638" w:rsidRDefault="00836E2D" w:rsidP="00836E2D">
            <w:pPr>
              <w:rPr>
                <w:rFonts w:cstheme="minorHAnsi"/>
                <w:highlight w:val="yellow"/>
              </w:rPr>
            </w:pPr>
          </w:p>
        </w:tc>
        <w:tc>
          <w:tcPr>
            <w:tcW w:w="1872" w:type="dxa"/>
          </w:tcPr>
          <w:p w:rsidR="008E339D" w:rsidRPr="006A3D1A" w:rsidRDefault="008E339D" w:rsidP="008E339D">
            <w:pPr>
              <w:spacing w:line="252" w:lineRule="auto"/>
            </w:pPr>
            <w:r w:rsidRPr="006A3D1A">
              <w:t xml:space="preserve">1. </w:t>
            </w:r>
            <w:r w:rsidRPr="006A3D1A">
              <w:t>COP will have an understanding of current district notification processes of eligible migrant students.</w:t>
            </w:r>
          </w:p>
          <w:p w:rsidR="003542C3" w:rsidRPr="006A3D1A" w:rsidRDefault="008E339D" w:rsidP="008E339D">
            <w:pPr>
              <w:rPr>
                <w:rFonts w:cstheme="minorHAnsi"/>
                <w:highlight w:val="yellow"/>
              </w:rPr>
            </w:pPr>
            <w:r w:rsidRPr="006A3D1A">
              <w:t xml:space="preserve">2. </w:t>
            </w:r>
            <w:proofErr w:type="spellStart"/>
            <w:r w:rsidRPr="006A3D1A">
              <w:t>CoP</w:t>
            </w:r>
            <w:proofErr w:type="spellEnd"/>
            <w:r w:rsidRPr="006A3D1A">
              <w:t xml:space="preserve"> will have an opportunity to provide input on how they receive notifications of eligible migrant students.</w:t>
            </w:r>
          </w:p>
        </w:tc>
        <w:tc>
          <w:tcPr>
            <w:tcW w:w="2659" w:type="dxa"/>
          </w:tcPr>
          <w:p w:rsidR="003542C3" w:rsidRPr="006A3D1A" w:rsidRDefault="003542C3" w:rsidP="003542C3">
            <w:pPr>
              <w:jc w:val="center"/>
              <w:rPr>
                <w:rFonts w:cstheme="minorHAnsi"/>
                <w:highlight w:val="yellow"/>
              </w:rPr>
            </w:pPr>
          </w:p>
        </w:tc>
      </w:tr>
      <w:tr w:rsidR="003542C3" w:rsidRPr="00974AF6" w:rsidTr="003542C3">
        <w:trPr>
          <w:trHeight w:val="1610"/>
        </w:trPr>
        <w:tc>
          <w:tcPr>
            <w:tcW w:w="2131" w:type="dxa"/>
          </w:tcPr>
          <w:p w:rsidR="003542C3" w:rsidRPr="009833C5" w:rsidRDefault="003542C3" w:rsidP="003542C3">
            <w:pPr>
              <w:rPr>
                <w:rFonts w:cstheme="minorHAnsi"/>
                <w:b/>
              </w:rPr>
            </w:pPr>
            <w:r w:rsidRPr="009833C5">
              <w:rPr>
                <w:rFonts w:cstheme="minorHAnsi"/>
                <w:b/>
              </w:rPr>
              <w:lastRenderedPageBreak/>
              <w:t>ESEA Fall Director’s Meeting</w:t>
            </w:r>
          </w:p>
          <w:p w:rsidR="003542C3" w:rsidRPr="009833C5" w:rsidRDefault="000201FB" w:rsidP="003542C3">
            <w:pPr>
              <w:rPr>
                <w:rFonts w:cstheme="minorHAnsi"/>
                <w:b/>
              </w:rPr>
            </w:pPr>
            <w:r>
              <w:rPr>
                <w:rFonts w:cstheme="minorHAnsi"/>
                <w:b/>
              </w:rPr>
              <w:t>1:40 – 2:15</w:t>
            </w:r>
          </w:p>
          <w:p w:rsidR="003542C3" w:rsidRPr="00974AF6" w:rsidRDefault="003542C3" w:rsidP="003542C3">
            <w:pPr>
              <w:rPr>
                <w:rFonts w:cstheme="minorHAnsi"/>
              </w:rPr>
            </w:pPr>
            <w:proofErr w:type="spellStart"/>
            <w:r>
              <w:rPr>
                <w:rFonts w:cstheme="minorHAnsi"/>
              </w:rPr>
              <w:t>Nazie</w:t>
            </w:r>
            <w:proofErr w:type="spellEnd"/>
            <w:r>
              <w:rPr>
                <w:rFonts w:cstheme="minorHAnsi"/>
              </w:rPr>
              <w:t xml:space="preserve"> Mohajeri-Nelson, DeLilah Collins</w:t>
            </w:r>
          </w:p>
        </w:tc>
        <w:tc>
          <w:tcPr>
            <w:tcW w:w="1649" w:type="dxa"/>
          </w:tcPr>
          <w:p w:rsidR="003542C3" w:rsidRPr="00974AF6" w:rsidRDefault="003542C3" w:rsidP="003542C3">
            <w:pPr>
              <w:rPr>
                <w:rFonts w:cstheme="minorHAnsi"/>
              </w:rPr>
            </w:pPr>
            <w:r>
              <w:rPr>
                <w:rFonts w:cstheme="minorHAnsi"/>
              </w:rPr>
              <w:t>ESEA Fall Director’s Meeting: Theme, Content, Timing, Location</w:t>
            </w:r>
          </w:p>
        </w:tc>
        <w:tc>
          <w:tcPr>
            <w:tcW w:w="2479" w:type="dxa"/>
          </w:tcPr>
          <w:p w:rsidR="00D22D6F" w:rsidRPr="00974AF6" w:rsidRDefault="003542C3" w:rsidP="005762E1">
            <w:pPr>
              <w:rPr>
                <w:rFonts w:cstheme="minorHAnsi"/>
              </w:rPr>
            </w:pPr>
            <w:proofErr w:type="spellStart"/>
            <w:r w:rsidRPr="00D22D6F">
              <w:rPr>
                <w:rFonts w:cstheme="minorHAnsi"/>
              </w:rPr>
              <w:t>CoP</w:t>
            </w:r>
            <w:proofErr w:type="spellEnd"/>
            <w:r w:rsidRPr="00D22D6F">
              <w:rPr>
                <w:rFonts w:cstheme="minorHAnsi"/>
              </w:rPr>
              <w:t xml:space="preserve"> Prep:</w:t>
            </w:r>
            <w:r w:rsidR="005762E1">
              <w:rPr>
                <w:rFonts w:cstheme="minorHAnsi"/>
              </w:rPr>
              <w:t xml:space="preserve"> </w:t>
            </w:r>
            <w:r w:rsidR="00D22D6F">
              <w:rPr>
                <w:rFonts w:cstheme="minorHAnsi"/>
              </w:rPr>
              <w:t>None</w:t>
            </w:r>
          </w:p>
        </w:tc>
        <w:tc>
          <w:tcPr>
            <w:tcW w:w="1872" w:type="dxa"/>
          </w:tcPr>
          <w:p w:rsidR="003542C3" w:rsidRPr="00974AF6" w:rsidRDefault="003542C3" w:rsidP="006A3D1A">
            <w:pPr>
              <w:rPr>
                <w:rFonts w:cstheme="minorHAnsi"/>
              </w:rPr>
            </w:pPr>
            <w:proofErr w:type="spellStart"/>
            <w:r>
              <w:rPr>
                <w:rFonts w:cstheme="minorHAnsi"/>
              </w:rPr>
              <w:t>CoP</w:t>
            </w:r>
            <w:proofErr w:type="spellEnd"/>
            <w:r>
              <w:rPr>
                <w:rFonts w:cstheme="minorHAnsi"/>
              </w:rPr>
              <w:t xml:space="preserve"> will provide input regarding content and timing of an ESEA Fall Director’s meeting sponsored by the CDE ESEA Programs Team</w:t>
            </w:r>
            <w:r w:rsidR="006A3D1A">
              <w:rPr>
                <w:rFonts w:cstheme="minorHAnsi"/>
              </w:rPr>
              <w:t xml:space="preserve">. </w:t>
            </w:r>
          </w:p>
        </w:tc>
        <w:tc>
          <w:tcPr>
            <w:tcW w:w="2659" w:type="dxa"/>
          </w:tcPr>
          <w:p w:rsidR="003542C3" w:rsidRPr="00974AF6" w:rsidRDefault="003542C3" w:rsidP="003542C3">
            <w:pPr>
              <w:jc w:val="center"/>
              <w:rPr>
                <w:rFonts w:cstheme="minorHAnsi"/>
              </w:rPr>
            </w:pPr>
          </w:p>
        </w:tc>
      </w:tr>
      <w:tr w:rsidR="00D10C96" w:rsidRPr="00974AF6" w:rsidTr="00D10C96">
        <w:trPr>
          <w:trHeight w:val="1610"/>
        </w:trPr>
        <w:tc>
          <w:tcPr>
            <w:tcW w:w="2131" w:type="dxa"/>
          </w:tcPr>
          <w:p w:rsidR="00D10C96" w:rsidRPr="009833C5" w:rsidRDefault="00D10C96" w:rsidP="00D10C96">
            <w:pPr>
              <w:rPr>
                <w:rFonts w:cstheme="minorHAnsi"/>
                <w:b/>
              </w:rPr>
            </w:pPr>
            <w:r w:rsidRPr="009833C5">
              <w:rPr>
                <w:rFonts w:cstheme="minorHAnsi"/>
                <w:b/>
              </w:rPr>
              <w:t>Consolidated Application</w:t>
            </w:r>
          </w:p>
          <w:p w:rsidR="00D10C96" w:rsidRPr="009833C5" w:rsidRDefault="00D10C96" w:rsidP="00D10C96">
            <w:pPr>
              <w:rPr>
                <w:rFonts w:cstheme="minorHAnsi"/>
                <w:b/>
              </w:rPr>
            </w:pPr>
            <w:r>
              <w:rPr>
                <w:rFonts w:cstheme="minorHAnsi"/>
                <w:b/>
              </w:rPr>
              <w:t>2:15</w:t>
            </w:r>
            <w:r w:rsidRPr="009833C5">
              <w:rPr>
                <w:rFonts w:cstheme="minorHAnsi"/>
                <w:b/>
              </w:rPr>
              <w:t xml:space="preserve"> – 3:00</w:t>
            </w:r>
          </w:p>
          <w:p w:rsidR="00D10C96" w:rsidRPr="00974AF6" w:rsidRDefault="00D10C96" w:rsidP="00D10C96">
            <w:pPr>
              <w:rPr>
                <w:rFonts w:cstheme="minorHAnsi"/>
              </w:rPr>
            </w:pPr>
            <w:r>
              <w:rPr>
                <w:rFonts w:cstheme="minorHAnsi"/>
              </w:rPr>
              <w:t xml:space="preserve">DeLilah Collins, </w:t>
            </w:r>
          </w:p>
        </w:tc>
        <w:tc>
          <w:tcPr>
            <w:tcW w:w="1649" w:type="dxa"/>
            <w:tcBorders>
              <w:top w:val="nil"/>
              <w:left w:val="nil"/>
              <w:bottom w:val="single" w:sz="8" w:space="0" w:color="auto"/>
              <w:right w:val="single" w:sz="8" w:space="0" w:color="auto"/>
            </w:tcBorders>
          </w:tcPr>
          <w:p w:rsidR="00D10C96" w:rsidRDefault="00D10C96" w:rsidP="00D10C96">
            <w:pPr>
              <w:pStyle w:val="ListParagraph"/>
              <w:numPr>
                <w:ilvl w:val="0"/>
                <w:numId w:val="3"/>
              </w:numPr>
            </w:pPr>
            <w:r>
              <w:t>Title II Question Clarification</w:t>
            </w:r>
          </w:p>
          <w:p w:rsidR="00D10C96" w:rsidRDefault="00D10C96" w:rsidP="00D10C96">
            <w:pPr>
              <w:pStyle w:val="ListParagraph"/>
              <w:numPr>
                <w:ilvl w:val="0"/>
                <w:numId w:val="3"/>
              </w:numPr>
            </w:pPr>
            <w:r w:rsidRPr="00D10C96">
              <w:t>Phased in Approach to Submission</w:t>
            </w:r>
          </w:p>
        </w:tc>
        <w:tc>
          <w:tcPr>
            <w:tcW w:w="2479" w:type="dxa"/>
            <w:tcBorders>
              <w:top w:val="nil"/>
              <w:left w:val="nil"/>
              <w:bottom w:val="single" w:sz="8" w:space="0" w:color="auto"/>
              <w:right w:val="single" w:sz="8" w:space="0" w:color="auto"/>
            </w:tcBorders>
            <w:shd w:val="clear" w:color="auto" w:fill="auto"/>
          </w:tcPr>
          <w:p w:rsidR="00D10C96" w:rsidRPr="00D10C96" w:rsidRDefault="00D10C96" w:rsidP="00D10C96">
            <w:proofErr w:type="spellStart"/>
            <w:r w:rsidRPr="00D10C96">
              <w:t>CoP</w:t>
            </w:r>
            <w:proofErr w:type="spellEnd"/>
            <w:r w:rsidRPr="00D10C96">
              <w:t xml:space="preserve"> Prep: Review the proposed Title II revised question. Provide edits and input on the type of response that will be provided based on the questions asked. </w:t>
            </w:r>
          </w:p>
          <w:p w:rsidR="00D10C96" w:rsidRPr="00D10C96" w:rsidRDefault="00D10C96" w:rsidP="00D10C96"/>
          <w:p w:rsidR="00D10C96" w:rsidRPr="00D10C96" w:rsidRDefault="00D10C96" w:rsidP="00D10C96">
            <w:r w:rsidRPr="00D10C96">
              <w:t xml:space="preserve">Do the updates help clarify what response is needed? </w:t>
            </w:r>
          </w:p>
          <w:p w:rsidR="00D10C96" w:rsidRPr="00D10C96" w:rsidRDefault="00D10C96" w:rsidP="00D10C96"/>
          <w:p w:rsidR="00D10C96" w:rsidRPr="00D10C96" w:rsidRDefault="00D10C96" w:rsidP="00D10C96">
            <w:r w:rsidRPr="00D10C96">
              <w:t>Are additional edits needed?</w:t>
            </w:r>
          </w:p>
        </w:tc>
        <w:tc>
          <w:tcPr>
            <w:tcW w:w="1872" w:type="dxa"/>
            <w:tcBorders>
              <w:top w:val="nil"/>
              <w:left w:val="nil"/>
              <w:bottom w:val="single" w:sz="8" w:space="0" w:color="auto"/>
              <w:right w:val="single" w:sz="8" w:space="0" w:color="auto"/>
            </w:tcBorders>
          </w:tcPr>
          <w:p w:rsidR="00D10C96" w:rsidRPr="00D10C96" w:rsidRDefault="00D10C96" w:rsidP="00D10C96">
            <w:r w:rsidRPr="00D10C96">
              <w:t xml:space="preserve">CDE staff will clarify expectations of the Title II </w:t>
            </w:r>
            <w:proofErr w:type="spellStart"/>
            <w:r w:rsidRPr="00D10C96">
              <w:t>Consap</w:t>
            </w:r>
            <w:proofErr w:type="spellEnd"/>
            <w:r w:rsidRPr="00D10C96">
              <w:t xml:space="preserve"> Question with </w:t>
            </w:r>
            <w:proofErr w:type="spellStart"/>
            <w:r w:rsidRPr="00D10C96">
              <w:t>CoP</w:t>
            </w:r>
            <w:proofErr w:type="spellEnd"/>
            <w:r w:rsidRPr="00D10C96">
              <w:t xml:space="preserve"> input.</w:t>
            </w:r>
          </w:p>
          <w:p w:rsidR="00D10C96" w:rsidRPr="00D10C96" w:rsidRDefault="00D10C96" w:rsidP="00D10C96"/>
          <w:p w:rsidR="00D10C96" w:rsidRPr="00D10C96" w:rsidRDefault="00D10C96" w:rsidP="00D10C96">
            <w:r w:rsidRPr="00D10C96">
              <w:t xml:space="preserve">CDE staff will ask for </w:t>
            </w:r>
            <w:proofErr w:type="spellStart"/>
            <w:r w:rsidRPr="00D10C96">
              <w:t>CoP</w:t>
            </w:r>
            <w:proofErr w:type="spellEnd"/>
            <w:r w:rsidRPr="00D10C96">
              <w:t xml:space="preserve"> input regarding a phased-in approach to the completion of the Consolidated Application</w:t>
            </w:r>
          </w:p>
        </w:tc>
        <w:tc>
          <w:tcPr>
            <w:tcW w:w="2659" w:type="dxa"/>
          </w:tcPr>
          <w:p w:rsidR="00D10C96" w:rsidRPr="00974AF6" w:rsidRDefault="00D10C96" w:rsidP="00D10C96">
            <w:pPr>
              <w:jc w:val="center"/>
              <w:rPr>
                <w:rFonts w:cstheme="minorHAnsi"/>
              </w:rPr>
            </w:pPr>
          </w:p>
        </w:tc>
      </w:tr>
    </w:tbl>
    <w:p w:rsidR="00401814" w:rsidRPr="00974AF6" w:rsidRDefault="00401814" w:rsidP="00974AF6">
      <w:pPr>
        <w:jc w:val="center"/>
        <w:rPr>
          <w:rFonts w:cstheme="minorHAnsi"/>
        </w:rPr>
      </w:pPr>
    </w:p>
    <w:sectPr w:rsidR="00401814" w:rsidRPr="00974AF6" w:rsidSect="0040181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14" w:rsidRDefault="00401814" w:rsidP="00401814">
      <w:pPr>
        <w:spacing w:after="0" w:line="240" w:lineRule="auto"/>
      </w:pPr>
      <w:r>
        <w:separator/>
      </w:r>
    </w:p>
  </w:endnote>
  <w:endnote w:type="continuationSeparator" w:id="0">
    <w:p w:rsidR="00401814" w:rsidRDefault="00401814" w:rsidP="0040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149448"/>
      <w:docPartObj>
        <w:docPartGallery w:val="Page Numbers (Bottom of Page)"/>
        <w:docPartUnique/>
      </w:docPartObj>
    </w:sdtPr>
    <w:sdtEndPr>
      <w:rPr>
        <w:noProof/>
      </w:rPr>
    </w:sdtEndPr>
    <w:sdtContent>
      <w:p w:rsidR="006A3D1A" w:rsidRDefault="006A3D1A">
        <w:pPr>
          <w:pStyle w:val="Footer"/>
          <w:jc w:val="right"/>
        </w:pPr>
        <w:r>
          <w:fldChar w:fldCharType="begin"/>
        </w:r>
        <w:r>
          <w:instrText xml:space="preserve"> PAGE   \* MERGEFORMAT </w:instrText>
        </w:r>
        <w:r>
          <w:fldChar w:fldCharType="separate"/>
        </w:r>
        <w:r w:rsidR="00C45C7D">
          <w:rPr>
            <w:noProof/>
          </w:rPr>
          <w:t>4</w:t>
        </w:r>
        <w:r>
          <w:rPr>
            <w:noProof/>
          </w:rPr>
          <w:fldChar w:fldCharType="end"/>
        </w:r>
      </w:p>
    </w:sdtContent>
  </w:sdt>
  <w:p w:rsidR="006A3D1A" w:rsidRDefault="006A3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14" w:rsidRDefault="00401814" w:rsidP="00401814">
      <w:pPr>
        <w:spacing w:after="0" w:line="240" w:lineRule="auto"/>
      </w:pPr>
      <w:r>
        <w:separator/>
      </w:r>
    </w:p>
  </w:footnote>
  <w:footnote w:type="continuationSeparator" w:id="0">
    <w:p w:rsidR="00401814" w:rsidRDefault="00401814" w:rsidP="00401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14" w:rsidRDefault="00401814">
    <w:pPr>
      <w:pStyle w:val="Header"/>
    </w:pPr>
    <w:r>
      <w:rPr>
        <w:noProof/>
      </w:rPr>
      <w:drawing>
        <wp:inline distT="0" distB="0" distL="0" distR="0">
          <wp:extent cx="6744739" cy="3079750"/>
          <wp:effectExtent l="0" t="0" r="0" b="6350"/>
          <wp:docPr id="10" name="Picture 10" descr="Includes CDE's Vision and Goals " title="CDE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358" cy="30823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5E14"/>
    <w:multiLevelType w:val="hybridMultilevel"/>
    <w:tmpl w:val="44B08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111B6E"/>
    <w:multiLevelType w:val="hybridMultilevel"/>
    <w:tmpl w:val="F968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A353C5"/>
    <w:multiLevelType w:val="hybridMultilevel"/>
    <w:tmpl w:val="AD80B11A"/>
    <w:lvl w:ilvl="0" w:tplc="90AEE4D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4755F3"/>
    <w:multiLevelType w:val="hybridMultilevel"/>
    <w:tmpl w:val="286C2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4"/>
    <w:rsid w:val="000201FB"/>
    <w:rsid w:val="00024746"/>
    <w:rsid w:val="00063A2B"/>
    <w:rsid w:val="00094ECA"/>
    <w:rsid w:val="000B50EF"/>
    <w:rsid w:val="002505FA"/>
    <w:rsid w:val="003542C3"/>
    <w:rsid w:val="003E260B"/>
    <w:rsid w:val="00401814"/>
    <w:rsid w:val="0044787E"/>
    <w:rsid w:val="00450638"/>
    <w:rsid w:val="00527EE5"/>
    <w:rsid w:val="005762E1"/>
    <w:rsid w:val="005A6930"/>
    <w:rsid w:val="005D1A27"/>
    <w:rsid w:val="00661C64"/>
    <w:rsid w:val="006A3D1A"/>
    <w:rsid w:val="006C46FE"/>
    <w:rsid w:val="006E3CF1"/>
    <w:rsid w:val="00761378"/>
    <w:rsid w:val="00790634"/>
    <w:rsid w:val="007E599A"/>
    <w:rsid w:val="00821DD5"/>
    <w:rsid w:val="00836E2D"/>
    <w:rsid w:val="008E339D"/>
    <w:rsid w:val="00974AF6"/>
    <w:rsid w:val="009833C5"/>
    <w:rsid w:val="00997BA3"/>
    <w:rsid w:val="009A6A64"/>
    <w:rsid w:val="009B3EF2"/>
    <w:rsid w:val="009D2908"/>
    <w:rsid w:val="00A4183D"/>
    <w:rsid w:val="00AF1780"/>
    <w:rsid w:val="00B32330"/>
    <w:rsid w:val="00B92683"/>
    <w:rsid w:val="00C40A60"/>
    <w:rsid w:val="00C45C7D"/>
    <w:rsid w:val="00C90BE3"/>
    <w:rsid w:val="00CD26B9"/>
    <w:rsid w:val="00D10C96"/>
    <w:rsid w:val="00D22D6F"/>
    <w:rsid w:val="00E33A42"/>
    <w:rsid w:val="00F8280A"/>
    <w:rsid w:val="00FF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A208599-6CF8-492B-957B-F6E3D13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14"/>
  </w:style>
  <w:style w:type="character" w:styleId="Hyperlink">
    <w:name w:val="Hyperlink"/>
    <w:basedOn w:val="DefaultParagraphFont"/>
    <w:uiPriority w:val="99"/>
    <w:unhideWhenUsed/>
    <w:rsid w:val="00401814"/>
    <w:rPr>
      <w:color w:val="0563C1" w:themeColor="hyperlink"/>
      <w:u w:val="single"/>
    </w:rPr>
  </w:style>
  <w:style w:type="table" w:styleId="TableGrid">
    <w:name w:val="Table Grid"/>
    <w:basedOn w:val="TableNormal"/>
    <w:uiPriority w:val="39"/>
    <w:rsid w:val="0040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3C5"/>
    <w:pPr>
      <w:ind w:left="720"/>
      <w:contextualSpacing/>
    </w:pPr>
  </w:style>
  <w:style w:type="character" w:styleId="FollowedHyperlink">
    <w:name w:val="FollowedHyperlink"/>
    <w:basedOn w:val="DefaultParagraphFont"/>
    <w:uiPriority w:val="99"/>
    <w:semiHidden/>
    <w:unhideWhenUsed/>
    <w:rsid w:val="006C46FE"/>
    <w:rPr>
      <w:color w:val="954F72" w:themeColor="followedHyperlink"/>
      <w:u w:val="single"/>
    </w:rPr>
  </w:style>
  <w:style w:type="paragraph" w:styleId="BalloonText">
    <w:name w:val="Balloon Text"/>
    <w:basedOn w:val="Normal"/>
    <w:link w:val="BalloonTextChar"/>
    <w:uiPriority w:val="99"/>
    <w:semiHidden/>
    <w:unhideWhenUsed/>
    <w:rsid w:val="00997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11481">
      <w:bodyDiv w:val="1"/>
      <w:marLeft w:val="0"/>
      <w:marRight w:val="0"/>
      <w:marTop w:val="0"/>
      <w:marBottom w:val="0"/>
      <w:divBdr>
        <w:top w:val="none" w:sz="0" w:space="0" w:color="auto"/>
        <w:left w:val="none" w:sz="0" w:space="0" w:color="auto"/>
        <w:bottom w:val="none" w:sz="0" w:space="0" w:color="auto"/>
        <w:right w:val="none" w:sz="0" w:space="0" w:color="auto"/>
      </w:divBdr>
    </w:div>
    <w:div w:id="1453550133">
      <w:bodyDiv w:val="1"/>
      <w:marLeft w:val="0"/>
      <w:marRight w:val="0"/>
      <w:marTop w:val="0"/>
      <w:marBottom w:val="0"/>
      <w:divBdr>
        <w:top w:val="none" w:sz="0" w:space="0" w:color="auto"/>
        <w:left w:val="none" w:sz="0" w:space="0" w:color="auto"/>
        <w:bottom w:val="none" w:sz="0" w:space="0" w:color="auto"/>
        <w:right w:val="none" w:sz="0" w:space="0" w:color="auto"/>
      </w:divBdr>
    </w:div>
    <w:div w:id="16948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essa-committee-of-practitioners-meeting-february-21-2019-tickets-55646373802?aff=erelexp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AF94B-6EA7-4DF7-92DE-84A37F78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Rachel</dc:creator>
  <cp:keywords/>
  <dc:description/>
  <cp:lastModifiedBy>Smith, Rachel</cp:lastModifiedBy>
  <cp:revision>45</cp:revision>
  <cp:lastPrinted>2019-02-12T17:44:00Z</cp:lastPrinted>
  <dcterms:created xsi:type="dcterms:W3CDTF">2019-02-01T15:30:00Z</dcterms:created>
  <dcterms:modified xsi:type="dcterms:W3CDTF">2019-02-15T22:11:00Z</dcterms:modified>
</cp:coreProperties>
</file>