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D32B9" w14:textId="77777777" w:rsidR="009562EF" w:rsidRDefault="009562EF" w:rsidP="002A5D4C">
      <w:pPr>
        <w:pStyle w:val="Heading1"/>
        <w:rPr>
          <w:rFonts w:ascii="Museo 500" w:hAnsi="Museo 500"/>
          <w:sz w:val="36"/>
        </w:rPr>
      </w:pPr>
      <w:r>
        <w:t>Workstation Hardening Policy</w:t>
      </w:r>
    </w:p>
    <w:p w14:paraId="241FC2E5" w14:textId="3F05A079" w:rsidR="003E192C" w:rsidRPr="003E192C" w:rsidRDefault="003E192C" w:rsidP="002A5D4C">
      <w:pPr>
        <w:pStyle w:val="Heading2"/>
      </w:pPr>
      <w:r w:rsidRPr="003E192C">
        <w:t>Overview</w:t>
      </w:r>
    </w:p>
    <w:p w14:paraId="718493F2" w14:textId="140C9A43" w:rsidR="000A69EF" w:rsidRPr="002F69C9" w:rsidRDefault="00F959C3" w:rsidP="002A5D4C">
      <w:pPr>
        <w:pStyle w:val="PolicyText1"/>
      </w:pPr>
      <w:proofErr w:type="gramStart"/>
      <w:r>
        <w:t>Workstations, including both desktop and laptops,</w:t>
      </w:r>
      <w:r w:rsidR="000A69EF">
        <w:t xml:space="preserve"> are used by staff to accomplish their day-to-day duties</w:t>
      </w:r>
      <w:proofErr w:type="gramEnd"/>
      <w:r w:rsidR="000A69EF">
        <w:t>.  These assets must be protected from both s</w:t>
      </w:r>
      <w:r w:rsidR="000A69EF" w:rsidRPr="00493586">
        <w:t xml:space="preserve">ecurity and performance </w:t>
      </w:r>
      <w:r w:rsidR="000A69EF">
        <w:t>related risks</w:t>
      </w:r>
      <w:r w:rsidR="000A69EF" w:rsidRPr="00493586">
        <w:t xml:space="preserve">.  One of the required steps to attain this </w:t>
      </w:r>
      <w:r w:rsidR="000A69EF">
        <w:t>goal</w:t>
      </w:r>
      <w:r w:rsidR="000A69EF" w:rsidRPr="00493586">
        <w:t xml:space="preserve"> is to ensure that </w:t>
      </w:r>
      <w:r w:rsidR="000A69EF">
        <w:t xml:space="preserve">hardware </w:t>
      </w:r>
      <w:proofErr w:type="gramStart"/>
      <w:r w:rsidR="000A69EF">
        <w:t>is</w:t>
      </w:r>
      <w:r w:rsidR="000A69EF" w:rsidRPr="00493586">
        <w:t xml:space="preserve"> installed and maintained in a manner that prevents unauthorized access, unauthorized use, </w:t>
      </w:r>
      <w:r w:rsidR="000A69EF">
        <w:t xml:space="preserve">consistent configuration, </w:t>
      </w:r>
      <w:r w:rsidR="000A69EF" w:rsidRPr="00493586">
        <w:t xml:space="preserve">and </w:t>
      </w:r>
      <w:r w:rsidR="000A69EF">
        <w:t xml:space="preserve">minimal service </w:t>
      </w:r>
      <w:r w:rsidR="000A69EF" w:rsidRPr="00493586">
        <w:t>disruptions</w:t>
      </w:r>
      <w:proofErr w:type="gramEnd"/>
      <w:r w:rsidR="000A69EF" w:rsidRPr="00DD7A74">
        <w:t>.</w:t>
      </w:r>
    </w:p>
    <w:p w14:paraId="062C9311" w14:textId="595820C6" w:rsidR="003E192C" w:rsidRPr="003E192C" w:rsidRDefault="003E192C" w:rsidP="002A5D4C">
      <w:pPr>
        <w:pStyle w:val="Heading2"/>
      </w:pPr>
      <w:r w:rsidRPr="003E192C">
        <w:t>Purpose</w:t>
      </w:r>
    </w:p>
    <w:p w14:paraId="7712B93B" w14:textId="27B78339" w:rsidR="000A69EF" w:rsidRPr="00B302A5" w:rsidRDefault="00D814B3" w:rsidP="002A5D4C">
      <w:pPr>
        <w:pStyle w:val="PolicyText1"/>
      </w:pPr>
      <w:r w:rsidRPr="00B302A5">
        <w:t xml:space="preserve">Appropriate measures </w:t>
      </w:r>
      <w:proofErr w:type="gramStart"/>
      <w:r w:rsidRPr="00B302A5">
        <w:t>must be taken</w:t>
      </w:r>
      <w:proofErr w:type="gramEnd"/>
      <w:r w:rsidRPr="00B302A5">
        <w:t xml:space="preserve"> when using workstations to ensure the confidentiality, </w:t>
      </w:r>
      <w:r w:rsidR="00F959C3" w:rsidRPr="00B302A5">
        <w:t>integrity,</w:t>
      </w:r>
      <w:r w:rsidRPr="00B302A5">
        <w:t xml:space="preserve"> and availability of information. T</w:t>
      </w:r>
      <w:r w:rsidR="000A69EF" w:rsidRPr="00B302A5">
        <w:t>his policy provide</w:t>
      </w:r>
      <w:r w:rsidRPr="00B302A5">
        <w:t>s</w:t>
      </w:r>
      <w:r w:rsidR="000A69EF" w:rsidRPr="00B302A5">
        <w:t xml:space="preserve"> </w:t>
      </w:r>
      <w:r w:rsidRPr="00B302A5">
        <w:t>procedure</w:t>
      </w:r>
      <w:r w:rsidR="00B302A5" w:rsidRPr="00B302A5">
        <w:t>s</w:t>
      </w:r>
      <w:r w:rsidRPr="00B302A5">
        <w:t xml:space="preserve"> </w:t>
      </w:r>
      <w:r w:rsidR="000A69EF" w:rsidRPr="00B302A5">
        <w:t xml:space="preserve">and requirements for installing a new workstation in a secure manner and maintaining the security integrity of the </w:t>
      </w:r>
      <w:r w:rsidRPr="00B302A5">
        <w:t xml:space="preserve">hardware </w:t>
      </w:r>
      <w:r w:rsidR="000A69EF" w:rsidRPr="00B302A5">
        <w:t>and application software.</w:t>
      </w:r>
    </w:p>
    <w:p w14:paraId="24590645" w14:textId="34C9CEC9" w:rsidR="003E192C" w:rsidRPr="003E192C" w:rsidRDefault="003E192C" w:rsidP="002A5D4C">
      <w:pPr>
        <w:pStyle w:val="Heading2"/>
      </w:pPr>
      <w:r w:rsidRPr="003E192C">
        <w:t>Scope</w:t>
      </w:r>
    </w:p>
    <w:p w14:paraId="06524608" w14:textId="77777777" w:rsidR="003E192C" w:rsidRPr="003E192C" w:rsidRDefault="009562EF" w:rsidP="002A5D4C">
      <w:pPr>
        <w:pStyle w:val="PolicyText1"/>
      </w:pPr>
      <w:r>
        <w:t xml:space="preserve">This policy applies to all [LEP] </w:t>
      </w:r>
      <w:r w:rsidR="003E192C" w:rsidRPr="003E192C">
        <w:t xml:space="preserve">staff that </w:t>
      </w:r>
      <w:r w:rsidR="000A69EF">
        <w:t>use</w:t>
      </w:r>
      <w:r w:rsidR="003E192C" w:rsidRPr="003E192C">
        <w:t xml:space="preserve">, deploy, or support </w:t>
      </w:r>
      <w:r w:rsidR="000A69EF">
        <w:t>desktop computing hardware</w:t>
      </w:r>
      <w:r w:rsidR="003E192C" w:rsidRPr="003E192C">
        <w:t>.</w:t>
      </w:r>
    </w:p>
    <w:p w14:paraId="1D5566E4" w14:textId="567DEC67" w:rsidR="000A69EF" w:rsidRDefault="003E192C" w:rsidP="002A5D4C">
      <w:pPr>
        <w:pStyle w:val="Heading2"/>
      </w:pPr>
      <w:r w:rsidRPr="003E192C">
        <w:t>Policy</w:t>
      </w:r>
    </w:p>
    <w:p w14:paraId="70590554" w14:textId="77777777" w:rsidR="00986354" w:rsidRPr="00986354" w:rsidRDefault="00FF60B3" w:rsidP="002A5D4C">
      <w:pPr>
        <w:pStyle w:val="Heading3"/>
      </w:pPr>
      <w:r>
        <w:t>GENERAL</w:t>
      </w:r>
    </w:p>
    <w:p w14:paraId="222E52D1" w14:textId="77777777" w:rsidR="000A69EF" w:rsidRPr="00493586" w:rsidRDefault="000A69EF" w:rsidP="002A5D4C">
      <w:pPr>
        <w:pStyle w:val="PolicyText2"/>
      </w:pPr>
      <w:r>
        <w:t>A</w:t>
      </w:r>
      <w:r w:rsidRPr="00493586">
        <w:t xml:space="preserve"> </w:t>
      </w:r>
      <w:r w:rsidR="00C35EA5">
        <w:t>w</w:t>
      </w:r>
      <w:r>
        <w:t>orkstation</w:t>
      </w:r>
      <w:r w:rsidRPr="00493586">
        <w:t xml:space="preserve"> </w:t>
      </w:r>
      <w:r w:rsidR="00C35EA5">
        <w:t>h</w:t>
      </w:r>
      <w:r w:rsidRPr="00493586">
        <w:t xml:space="preserve">ardening </w:t>
      </w:r>
      <w:r w:rsidR="00C35EA5">
        <w:t>p</w:t>
      </w:r>
      <w:r w:rsidRPr="00493586">
        <w:t xml:space="preserve">rocedure </w:t>
      </w:r>
      <w:proofErr w:type="gramStart"/>
      <w:r>
        <w:t xml:space="preserve">shall </w:t>
      </w:r>
      <w:r w:rsidR="00C35EA5">
        <w:t xml:space="preserve">be created and maintained that </w:t>
      </w:r>
      <w:r>
        <w:t>provide</w:t>
      </w:r>
      <w:r w:rsidR="00C35EA5">
        <w:t>s</w:t>
      </w:r>
      <w:r w:rsidRPr="00493586">
        <w:t xml:space="preserve"> detailed i</w:t>
      </w:r>
      <w:r>
        <w:t xml:space="preserve">nformation required to </w:t>
      </w:r>
      <w:r w:rsidR="00C35EA5">
        <w:t xml:space="preserve">configure and </w:t>
      </w:r>
      <w:r>
        <w:t xml:space="preserve">harden </w:t>
      </w:r>
      <w:r w:rsidR="009562EF">
        <w:t xml:space="preserve">[LEP] </w:t>
      </w:r>
      <w:r>
        <w:t>workstations</w:t>
      </w:r>
      <w:r w:rsidR="009562EF">
        <w:t xml:space="preserve"> whether remote or local</w:t>
      </w:r>
      <w:proofErr w:type="gramEnd"/>
      <w:r w:rsidRPr="00493586">
        <w:t xml:space="preserve">.  </w:t>
      </w:r>
      <w:r w:rsidR="00C35EA5">
        <w:t>T</w:t>
      </w:r>
      <w:r>
        <w:t xml:space="preserve">he </w:t>
      </w:r>
      <w:r w:rsidR="00986354">
        <w:t>procedure</w:t>
      </w:r>
      <w:r>
        <w:t xml:space="preserve"> shall include:</w:t>
      </w:r>
    </w:p>
    <w:p w14:paraId="662BD398" w14:textId="4631F5ED" w:rsidR="000A69EF" w:rsidRPr="00493586" w:rsidRDefault="000A69EF" w:rsidP="002A5D4C">
      <w:pPr>
        <w:pStyle w:val="PolicyText2"/>
        <w:numPr>
          <w:ilvl w:val="0"/>
          <w:numId w:val="35"/>
        </w:numPr>
      </w:pPr>
      <w:r w:rsidRPr="00493586">
        <w:t xml:space="preserve">Installing the operating system from an </w:t>
      </w:r>
      <w:r w:rsidR="009562EF">
        <w:t xml:space="preserve">[Insert Appropriate Department] </w:t>
      </w:r>
      <w:r w:rsidRPr="00493586">
        <w:t>approved source</w:t>
      </w:r>
    </w:p>
    <w:p w14:paraId="3A616CD9" w14:textId="5FB0C457" w:rsidR="000A69EF" w:rsidRPr="00493586" w:rsidRDefault="000A69EF" w:rsidP="002A5D4C">
      <w:pPr>
        <w:pStyle w:val="PolicyText2"/>
        <w:numPr>
          <w:ilvl w:val="0"/>
          <w:numId w:val="35"/>
        </w:numPr>
      </w:pPr>
      <w:r w:rsidRPr="00493586">
        <w:t xml:space="preserve">Applying </w:t>
      </w:r>
      <w:r w:rsidR="00986354">
        <w:t xml:space="preserve">all appropriate </w:t>
      </w:r>
      <w:r w:rsidRPr="00493586">
        <w:t xml:space="preserve">vendor supplied </w:t>
      </w:r>
      <w:r w:rsidR="00986354">
        <w:t xml:space="preserve">security </w:t>
      </w:r>
      <w:r w:rsidRPr="00493586">
        <w:t>patches</w:t>
      </w:r>
      <w:r w:rsidR="00986354">
        <w:t xml:space="preserve"> and firmware updates</w:t>
      </w:r>
    </w:p>
    <w:p w14:paraId="4699999F" w14:textId="2992C3A4" w:rsidR="000A69EF" w:rsidRPr="00493586" w:rsidRDefault="000A69EF" w:rsidP="002A5D4C">
      <w:pPr>
        <w:pStyle w:val="PolicyText2"/>
        <w:numPr>
          <w:ilvl w:val="0"/>
          <w:numId w:val="35"/>
        </w:numPr>
      </w:pPr>
      <w:r w:rsidRPr="00493586">
        <w:t>Removing unnecessary software, system services, and drivers</w:t>
      </w:r>
    </w:p>
    <w:p w14:paraId="0DA74BF8" w14:textId="7E6828B1" w:rsidR="000A69EF" w:rsidRDefault="000A69EF" w:rsidP="002A5D4C">
      <w:pPr>
        <w:pStyle w:val="PolicyText2"/>
        <w:numPr>
          <w:ilvl w:val="0"/>
          <w:numId w:val="35"/>
        </w:numPr>
      </w:pPr>
      <w:r w:rsidRPr="00493586">
        <w:t xml:space="preserve">Setting security </w:t>
      </w:r>
      <w:r w:rsidR="00986354">
        <w:t xml:space="preserve">and operational </w:t>
      </w:r>
      <w:r w:rsidRPr="00493586">
        <w:t>parameters</w:t>
      </w:r>
      <w:r>
        <w:t xml:space="preserve"> including </w:t>
      </w:r>
      <w:r w:rsidR="00986354">
        <w:t xml:space="preserve">configuring system services, </w:t>
      </w:r>
      <w:r>
        <w:t>workstation firewall</w:t>
      </w:r>
      <w:r w:rsidR="00986354">
        <w:t>, anti-virus, anti-malware,</w:t>
      </w:r>
      <w:r w:rsidRPr="00493586">
        <w:t xml:space="preserve"> </w:t>
      </w:r>
      <w:r w:rsidR="00986354">
        <w:t>and passwords</w:t>
      </w:r>
    </w:p>
    <w:p w14:paraId="159B3E20" w14:textId="51453857" w:rsidR="00986354" w:rsidRDefault="00986354" w:rsidP="002A5D4C">
      <w:pPr>
        <w:pStyle w:val="PolicyText2"/>
        <w:numPr>
          <w:ilvl w:val="0"/>
          <w:numId w:val="35"/>
        </w:numPr>
      </w:pPr>
      <w:r>
        <w:t xml:space="preserve">Applying </w:t>
      </w:r>
      <w:r w:rsidR="009562EF">
        <w:t xml:space="preserve">[LEP] </w:t>
      </w:r>
      <w:commentRangeStart w:id="0"/>
      <w:r>
        <w:t xml:space="preserve">Domain-based Active Directory </w:t>
      </w:r>
      <w:commentRangeEnd w:id="0"/>
      <w:r w:rsidR="009562EF">
        <w:rPr>
          <w:rStyle w:val="CommentReference"/>
        </w:rPr>
        <w:commentReference w:id="0"/>
      </w:r>
      <w:r w:rsidR="00FF60B3">
        <w:t>w</w:t>
      </w:r>
      <w:r>
        <w:t xml:space="preserve">orkstation </w:t>
      </w:r>
      <w:r w:rsidR="00FF60B3">
        <w:t>g</w:t>
      </w:r>
      <w:r>
        <w:t xml:space="preserve">roup </w:t>
      </w:r>
      <w:r w:rsidR="00FF60B3">
        <w:t>p</w:t>
      </w:r>
      <w:r>
        <w:t>olicy</w:t>
      </w:r>
    </w:p>
    <w:p w14:paraId="7FAB01F3" w14:textId="77777777" w:rsidR="00986354" w:rsidRPr="00986354" w:rsidRDefault="00FF60B3" w:rsidP="002A5D4C">
      <w:pPr>
        <w:pStyle w:val="Heading3"/>
      </w:pPr>
      <w:r>
        <w:t>OPERATIONS AND MAINTENANCE</w:t>
      </w:r>
    </w:p>
    <w:p w14:paraId="5E76CD8C" w14:textId="77777777" w:rsidR="00986354" w:rsidRDefault="009562EF" w:rsidP="002A5D4C">
      <w:pPr>
        <w:pStyle w:val="PolicyText2"/>
      </w:pPr>
      <w:r>
        <w:t>[Insert Appropriate Department]</w:t>
      </w:r>
      <w:r w:rsidR="00FF60B3">
        <w:t xml:space="preserve"> </w:t>
      </w:r>
      <w:r w:rsidR="00986354">
        <w:t xml:space="preserve">support </w:t>
      </w:r>
      <w:r w:rsidR="00FF60B3">
        <w:t xml:space="preserve">staff </w:t>
      </w:r>
      <w:r w:rsidR="00986354">
        <w:t xml:space="preserve">shall perform the following procedures and processes to ensure hardening compliance after the initial system </w:t>
      </w:r>
      <w:proofErr w:type="gramStart"/>
      <w:r w:rsidR="00986354">
        <w:t>is delivered</w:t>
      </w:r>
      <w:proofErr w:type="gramEnd"/>
      <w:r w:rsidR="00986354">
        <w:t>:</w:t>
      </w:r>
    </w:p>
    <w:p w14:paraId="0EB860E2" w14:textId="678F3EBD" w:rsidR="000A69EF" w:rsidRPr="002534E3" w:rsidRDefault="00986354" w:rsidP="002A5D4C">
      <w:pPr>
        <w:pStyle w:val="PolicyText2"/>
        <w:numPr>
          <w:ilvl w:val="0"/>
          <w:numId w:val="36"/>
        </w:numPr>
      </w:pPr>
      <w:r w:rsidRPr="002534E3">
        <w:t xml:space="preserve">Post-Install operating system, utility, and application security patches shall be </w:t>
      </w:r>
      <w:r w:rsidR="002534E3">
        <w:t>pre-</w:t>
      </w:r>
      <w:r w:rsidRPr="002534E3">
        <w:t xml:space="preserve">tested and deployed on a regular basis </w:t>
      </w:r>
      <w:r w:rsidR="000A69EF" w:rsidRPr="002534E3">
        <w:t xml:space="preserve">against </w:t>
      </w:r>
      <w:r w:rsidRPr="002534E3">
        <w:t xml:space="preserve">similar systems </w:t>
      </w:r>
      <w:r w:rsidR="000A69EF" w:rsidRPr="002534E3">
        <w:t xml:space="preserve">before rolling out to </w:t>
      </w:r>
      <w:r w:rsidR="002534E3">
        <w:t xml:space="preserve">the </w:t>
      </w:r>
      <w:r w:rsidR="000A69EF" w:rsidRPr="002534E3">
        <w:t xml:space="preserve">user </w:t>
      </w:r>
      <w:r w:rsidR="002534E3">
        <w:t>community</w:t>
      </w:r>
    </w:p>
    <w:p w14:paraId="7D66D064" w14:textId="481698F3" w:rsidR="00F959C3" w:rsidRDefault="000A69EF" w:rsidP="002A5D4C">
      <w:pPr>
        <w:pStyle w:val="PolicyText2"/>
        <w:numPr>
          <w:ilvl w:val="0"/>
          <w:numId w:val="36"/>
        </w:numPr>
      </w:pPr>
      <w:r w:rsidRPr="002534E3">
        <w:t xml:space="preserve">In the case of </w:t>
      </w:r>
      <w:r w:rsidR="00986354" w:rsidRPr="002534E3">
        <w:t xml:space="preserve">custom </w:t>
      </w:r>
      <w:r w:rsidRPr="002534E3">
        <w:t>applications</w:t>
      </w:r>
      <w:r w:rsidR="00986354" w:rsidRPr="002534E3">
        <w:t xml:space="preserve"> or enterprise software</w:t>
      </w:r>
      <w:r w:rsidRPr="002534E3">
        <w:t xml:space="preserve">, </w:t>
      </w:r>
      <w:r w:rsidR="009562EF">
        <w:t xml:space="preserve">[LEP] </w:t>
      </w:r>
      <w:r w:rsidR="00986354" w:rsidRPr="002534E3">
        <w:t>desktop support shall take appropriate precautions to ensure patch c</w:t>
      </w:r>
      <w:r w:rsidR="00F959C3">
        <w:t>ompatibility prior to install</w:t>
      </w:r>
    </w:p>
    <w:p w14:paraId="52697C97" w14:textId="7C7A3744" w:rsidR="000A69EF" w:rsidRPr="002534E3" w:rsidRDefault="00986354" w:rsidP="002A5D4C">
      <w:pPr>
        <w:pStyle w:val="PolicyText2"/>
        <w:numPr>
          <w:ilvl w:val="0"/>
          <w:numId w:val="36"/>
        </w:numPr>
      </w:pPr>
      <w:r w:rsidRPr="002534E3">
        <w:lastRenderedPageBreak/>
        <w:t>Should a patch be incompatible with a specialized software package, exception</w:t>
      </w:r>
      <w:r w:rsidR="002534E3">
        <w:t>s</w:t>
      </w:r>
      <w:r w:rsidRPr="002534E3">
        <w:t xml:space="preserve"> must be</w:t>
      </w:r>
      <w:r w:rsidR="009562EF">
        <w:t xml:space="preserve"> approved in writing by the [Insert Appropriate Role] </w:t>
      </w:r>
      <w:r w:rsidR="00F959C3">
        <w:t>or their designee</w:t>
      </w:r>
    </w:p>
    <w:p w14:paraId="77A71BF1" w14:textId="75074F97" w:rsidR="00F959C3" w:rsidRDefault="00FF60B3" w:rsidP="002A5D4C">
      <w:pPr>
        <w:pStyle w:val="PolicyText2"/>
        <w:numPr>
          <w:ilvl w:val="0"/>
          <w:numId w:val="36"/>
        </w:numPr>
      </w:pPr>
      <w:r>
        <w:t>Ensure that a</w:t>
      </w:r>
      <w:r w:rsidR="000A69EF" w:rsidRPr="002534E3">
        <w:t>ll sensitive</w:t>
      </w:r>
      <w:r w:rsidR="009562EF">
        <w:t xml:space="preserve"> information </w:t>
      </w:r>
      <w:r>
        <w:t xml:space="preserve">is </w:t>
      </w:r>
      <w:r w:rsidR="000A69EF" w:rsidRPr="002534E3">
        <w:t xml:space="preserve">stored on </w:t>
      </w:r>
      <w:r w:rsidR="002534E3" w:rsidRPr="002534E3">
        <w:t xml:space="preserve">secured </w:t>
      </w:r>
      <w:r w:rsidR="009562EF">
        <w:t xml:space="preserve">[LEP] </w:t>
      </w:r>
      <w:r w:rsidR="00F959C3">
        <w:t>network servers</w:t>
      </w:r>
      <w:r w:rsidR="000A69EF" w:rsidRPr="002534E3">
        <w:t xml:space="preserve">  </w:t>
      </w:r>
    </w:p>
    <w:p w14:paraId="33DD996D" w14:textId="348557CE" w:rsidR="002534E3" w:rsidRPr="002534E3" w:rsidRDefault="002534E3" w:rsidP="002A5D4C">
      <w:pPr>
        <w:pStyle w:val="PolicyText2"/>
        <w:numPr>
          <w:ilvl w:val="0"/>
          <w:numId w:val="36"/>
        </w:numPr>
      </w:pPr>
      <w:r w:rsidRPr="002534E3">
        <w:t xml:space="preserve">All server based </w:t>
      </w:r>
      <w:r w:rsidR="000A69EF" w:rsidRPr="002534E3">
        <w:t xml:space="preserve">information shall be encrypted and comply with </w:t>
      </w:r>
      <w:r w:rsidR="00FF60B3">
        <w:t>applicable p</w:t>
      </w:r>
      <w:r w:rsidR="000A69EF" w:rsidRPr="002534E3">
        <w:t>olicy</w:t>
      </w:r>
      <w:r w:rsidR="00FF60B3">
        <w:t xml:space="preserve"> and procedure</w:t>
      </w:r>
      <w:bookmarkStart w:id="1" w:name="_GoBack"/>
      <w:bookmarkEnd w:id="1"/>
    </w:p>
    <w:p w14:paraId="5753CC01" w14:textId="0D872E0F" w:rsidR="000A69EF" w:rsidRPr="002534E3" w:rsidRDefault="000A69EF" w:rsidP="002A5D4C">
      <w:pPr>
        <w:pStyle w:val="PolicyText2"/>
        <w:numPr>
          <w:ilvl w:val="0"/>
          <w:numId w:val="36"/>
        </w:numPr>
      </w:pPr>
      <w:r w:rsidRPr="002534E3">
        <w:t xml:space="preserve">Laptops </w:t>
      </w:r>
      <w:r w:rsidR="002534E3" w:rsidRPr="002534E3">
        <w:t xml:space="preserve">(and other remote computing devices) </w:t>
      </w:r>
      <w:r w:rsidRPr="002534E3">
        <w:t>containing sensitive</w:t>
      </w:r>
      <w:r w:rsidR="009562EF">
        <w:t xml:space="preserve"> information </w:t>
      </w:r>
      <w:r w:rsidRPr="002534E3">
        <w:t xml:space="preserve">shall have </w:t>
      </w:r>
      <w:r w:rsidR="002534E3" w:rsidRPr="002534E3">
        <w:t xml:space="preserve">their </w:t>
      </w:r>
      <w:r w:rsidRPr="002534E3">
        <w:t xml:space="preserve">hard drives encrypted and shall </w:t>
      </w:r>
      <w:r w:rsidR="002534E3" w:rsidRPr="002534E3">
        <w:t>have additional physical security components installed to protec</w:t>
      </w:r>
      <w:r w:rsidR="009562EF">
        <w:t>t the assets and the data</w:t>
      </w:r>
      <w:r w:rsidR="00F959C3">
        <w:t xml:space="preserve"> they store</w:t>
      </w:r>
    </w:p>
    <w:p w14:paraId="44C6214C" w14:textId="4BC6AA20" w:rsidR="003E192C" w:rsidRPr="003E192C" w:rsidRDefault="003E192C" w:rsidP="002A5D4C">
      <w:pPr>
        <w:pStyle w:val="Heading2"/>
      </w:pPr>
      <w:r w:rsidRPr="003E192C">
        <w:t>Audit Controls and Management</w:t>
      </w:r>
    </w:p>
    <w:p w14:paraId="7FF83FC4" w14:textId="77777777" w:rsidR="003E192C" w:rsidRDefault="003E192C" w:rsidP="002A5D4C">
      <w:pPr>
        <w:pStyle w:val="PolicyText1"/>
      </w:pPr>
      <w:r w:rsidRPr="003E192C">
        <w:t>On-demand documented procedures and evidence of practice should be in place for this operational policy as part of the</w:t>
      </w:r>
      <w:r w:rsidR="009562EF">
        <w:t xml:space="preserve"> [LEP] </w:t>
      </w:r>
      <w:r w:rsidRPr="003E192C">
        <w:t xml:space="preserve">internal </w:t>
      </w:r>
      <w:r w:rsidR="002534E3">
        <w:t>processes and procedures</w:t>
      </w:r>
      <w:r w:rsidRPr="003E192C">
        <w:t>.</w:t>
      </w:r>
      <w:r w:rsidR="002534E3">
        <w:t xml:space="preserve">  Examples of appropriate controls and documentation are:</w:t>
      </w:r>
    </w:p>
    <w:p w14:paraId="71B33644" w14:textId="302D8608" w:rsidR="002534E3" w:rsidRPr="002534E3" w:rsidRDefault="002534E3" w:rsidP="002A5D4C">
      <w:pPr>
        <w:pStyle w:val="PolicyText1"/>
        <w:numPr>
          <w:ilvl w:val="0"/>
          <w:numId w:val="37"/>
        </w:numPr>
      </w:pPr>
      <w:r w:rsidRPr="002534E3">
        <w:t>Documented desktop build processes and images</w:t>
      </w:r>
    </w:p>
    <w:p w14:paraId="0335B67C" w14:textId="109145C0" w:rsidR="002534E3" w:rsidRPr="002534E3" w:rsidRDefault="002534E3" w:rsidP="002A5D4C">
      <w:pPr>
        <w:pStyle w:val="PolicyText1"/>
        <w:numPr>
          <w:ilvl w:val="0"/>
          <w:numId w:val="37"/>
        </w:numPr>
      </w:pPr>
      <w:r w:rsidRPr="002534E3">
        <w:t>Internal configuration and asset management protocols and procedures</w:t>
      </w:r>
    </w:p>
    <w:p w14:paraId="3EA65630" w14:textId="1F796E82" w:rsidR="002534E3" w:rsidRPr="002534E3" w:rsidRDefault="002534E3" w:rsidP="002A5D4C">
      <w:pPr>
        <w:pStyle w:val="PolicyText1"/>
        <w:numPr>
          <w:ilvl w:val="0"/>
          <w:numId w:val="37"/>
        </w:numPr>
      </w:pPr>
      <w:r w:rsidRPr="002534E3">
        <w:t>Patch logs containing workstation name, patch installed, and date</w:t>
      </w:r>
    </w:p>
    <w:p w14:paraId="0E45508D" w14:textId="77777777" w:rsidR="002534E3" w:rsidRPr="002534E3" w:rsidRDefault="002534E3" w:rsidP="002A5D4C">
      <w:pPr>
        <w:pStyle w:val="PolicyText1"/>
        <w:numPr>
          <w:ilvl w:val="0"/>
          <w:numId w:val="37"/>
        </w:numPr>
      </w:pPr>
      <w:r w:rsidRPr="002534E3">
        <w:t>GPO documentation showing hardening and security measures employed across the enterprise</w:t>
      </w:r>
    </w:p>
    <w:p w14:paraId="142FE4ED" w14:textId="56E69678" w:rsidR="003E192C" w:rsidRPr="003E192C" w:rsidRDefault="003E192C" w:rsidP="002A5D4C">
      <w:pPr>
        <w:pStyle w:val="Heading2"/>
      </w:pPr>
      <w:r w:rsidRPr="003E192C">
        <w:t xml:space="preserve">Enforcement  </w:t>
      </w:r>
    </w:p>
    <w:p w14:paraId="0C6E1851" w14:textId="77777777" w:rsidR="003E192C" w:rsidRPr="003E192C" w:rsidRDefault="003E192C" w:rsidP="002A5D4C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76A78216" w14:textId="4A47C32F" w:rsidR="003E192C" w:rsidRPr="003E192C" w:rsidRDefault="002534E3" w:rsidP="002A5D4C">
      <w:pPr>
        <w:pStyle w:val="Heading2"/>
      </w:pPr>
      <w:r>
        <w:t>Distribution</w:t>
      </w:r>
    </w:p>
    <w:p w14:paraId="13367BB5" w14:textId="77777777" w:rsidR="003E192C" w:rsidRPr="003E192C" w:rsidRDefault="003E192C" w:rsidP="002A5D4C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9562EF">
        <w:t xml:space="preserve">[LEP] </w:t>
      </w:r>
      <w:r w:rsidR="002534E3">
        <w:t>staff</w:t>
      </w:r>
      <w:r w:rsidRPr="003E192C">
        <w:t>.</w:t>
      </w:r>
    </w:p>
    <w:p w14:paraId="2C349005" w14:textId="77777777" w:rsidR="003E192C" w:rsidRPr="003E192C" w:rsidRDefault="003E192C" w:rsidP="002A5D4C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507C5A4D" w14:textId="77777777" w:rsidTr="00986354">
        <w:tc>
          <w:tcPr>
            <w:tcW w:w="1137" w:type="dxa"/>
            <w:shd w:val="clear" w:color="auto" w:fill="C0C0C0"/>
          </w:tcPr>
          <w:p w14:paraId="7785CB4E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Version</w:t>
            </w:r>
          </w:p>
        </w:tc>
        <w:tc>
          <w:tcPr>
            <w:tcW w:w="1401" w:type="dxa"/>
            <w:shd w:val="clear" w:color="auto" w:fill="C0C0C0"/>
          </w:tcPr>
          <w:p w14:paraId="62D57814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Date</w:t>
            </w:r>
          </w:p>
        </w:tc>
        <w:tc>
          <w:tcPr>
            <w:tcW w:w="4104" w:type="dxa"/>
            <w:shd w:val="clear" w:color="auto" w:fill="C0C0C0"/>
          </w:tcPr>
          <w:p w14:paraId="326C8423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081609A3" w14:textId="77777777" w:rsidR="003E192C" w:rsidRPr="003E192C" w:rsidRDefault="003E192C" w:rsidP="003E192C">
            <w:pPr>
              <w:jc w:val="center"/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Approved By</w:t>
            </w:r>
          </w:p>
        </w:tc>
      </w:tr>
      <w:tr w:rsidR="003E192C" w:rsidRPr="003E192C" w14:paraId="4DCA5C17" w14:textId="77777777" w:rsidTr="00986354">
        <w:tc>
          <w:tcPr>
            <w:tcW w:w="1137" w:type="dxa"/>
            <w:shd w:val="clear" w:color="auto" w:fill="auto"/>
          </w:tcPr>
          <w:p w14:paraId="4DA11CA1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1.0</w:t>
            </w:r>
          </w:p>
        </w:tc>
        <w:tc>
          <w:tcPr>
            <w:tcW w:w="1401" w:type="dxa"/>
            <w:shd w:val="clear" w:color="auto" w:fill="auto"/>
          </w:tcPr>
          <w:p w14:paraId="38D43277" w14:textId="77777777" w:rsidR="003E192C" w:rsidRPr="003E192C" w:rsidRDefault="00A14B4D" w:rsidP="003E1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E192C" w:rsidRPr="003E192C">
              <w:rPr>
                <w:rFonts w:ascii="Arial" w:hAnsi="Arial" w:cs="Arial"/>
              </w:rPr>
              <w:t>/30/2016</w:t>
            </w:r>
          </w:p>
        </w:tc>
        <w:tc>
          <w:tcPr>
            <w:tcW w:w="4104" w:type="dxa"/>
            <w:shd w:val="clear" w:color="auto" w:fill="auto"/>
          </w:tcPr>
          <w:p w14:paraId="3FA0E13D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19EDAB1E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</w:tr>
      <w:tr w:rsidR="003E192C" w:rsidRPr="003E192C" w14:paraId="15CE0A60" w14:textId="77777777" w:rsidTr="00986354">
        <w:tc>
          <w:tcPr>
            <w:tcW w:w="1137" w:type="dxa"/>
            <w:shd w:val="clear" w:color="auto" w:fill="auto"/>
          </w:tcPr>
          <w:p w14:paraId="673BAF0D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77B7779C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54749F78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1916ABEB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</w:tr>
      <w:tr w:rsidR="003E192C" w:rsidRPr="003E192C" w14:paraId="21A0433F" w14:textId="77777777" w:rsidTr="00986354">
        <w:tc>
          <w:tcPr>
            <w:tcW w:w="1137" w:type="dxa"/>
            <w:shd w:val="clear" w:color="auto" w:fill="auto"/>
          </w:tcPr>
          <w:p w14:paraId="1C70BA9A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2BB3627D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1BD62643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01868B72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</w:tr>
    </w:tbl>
    <w:p w14:paraId="392EA312" w14:textId="77777777" w:rsidR="003E192C" w:rsidRPr="003E192C" w:rsidRDefault="003E192C" w:rsidP="003E192C">
      <w:pPr>
        <w:rPr>
          <w:rFonts w:ascii="Arial" w:hAnsi="Arial" w:cs="Arial"/>
        </w:rPr>
      </w:pPr>
    </w:p>
    <w:p w14:paraId="4D32C27A" w14:textId="77777777" w:rsidR="003E192C" w:rsidRPr="003E192C" w:rsidRDefault="003E192C" w:rsidP="003E192C"/>
    <w:p w14:paraId="2F5BB377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8T21:09:00Z" w:initials="SJ">
    <w:p w14:paraId="0AE9B7E9" w14:textId="77777777" w:rsidR="009562EF" w:rsidRDefault="009562EF">
      <w:pPr>
        <w:pStyle w:val="CommentText"/>
      </w:pPr>
      <w:r>
        <w:rPr>
          <w:rStyle w:val="CommentReference"/>
        </w:rPr>
        <w:annotationRef/>
      </w:r>
      <w:r>
        <w:t>Guidance Note: Update as necessary.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E9B7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1077C" w14:textId="77777777" w:rsidR="00803FE3" w:rsidRDefault="00803FE3" w:rsidP="00333141">
      <w:pPr>
        <w:spacing w:after="0" w:line="240" w:lineRule="auto"/>
      </w:pPr>
      <w:r>
        <w:separator/>
      </w:r>
    </w:p>
  </w:endnote>
  <w:endnote w:type="continuationSeparator" w:id="0">
    <w:p w14:paraId="1CB72A08" w14:textId="77777777" w:rsidR="00803FE3" w:rsidRDefault="00803FE3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B49FB" w14:textId="0941BA09" w:rsidR="00986354" w:rsidRPr="00333141" w:rsidRDefault="009562EF" w:rsidP="00333141">
    <w:pPr>
      <w:pStyle w:val="Footer"/>
    </w:pPr>
    <w:r>
      <w:tab/>
    </w:r>
    <w:r>
      <w:tab/>
    </w:r>
    <w:r w:rsidR="002A5D4C">
      <w:t xml:space="preserve">Sample </w:t>
    </w:r>
    <w:r w:rsidR="00986354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55410" w14:textId="77777777" w:rsidR="00803FE3" w:rsidRDefault="00803FE3" w:rsidP="00333141">
      <w:pPr>
        <w:spacing w:after="0" w:line="240" w:lineRule="auto"/>
      </w:pPr>
      <w:r>
        <w:separator/>
      </w:r>
    </w:p>
  </w:footnote>
  <w:footnote w:type="continuationSeparator" w:id="0">
    <w:p w14:paraId="02E3AE4F" w14:textId="77777777" w:rsidR="00803FE3" w:rsidRDefault="00803FE3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42C41" w14:textId="4929C292" w:rsidR="000A49ED" w:rsidRDefault="00803FE3">
    <w:pPr>
      <w:pStyle w:val="Header"/>
    </w:pPr>
    <w:r>
      <w:rPr>
        <w:noProof/>
      </w:rPr>
      <w:pict w14:anchorId="21DA2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6685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986354" w:rsidRPr="0025191F" w14:paraId="0557C9C6" w14:textId="77777777" w:rsidTr="00F959C3">
      <w:tc>
        <w:tcPr>
          <w:tcW w:w="4701" w:type="pct"/>
        </w:tcPr>
        <w:p w14:paraId="2FDE9305" w14:textId="40C1CBB5" w:rsidR="00986354" w:rsidRPr="0030192B" w:rsidRDefault="00803FE3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A5D4C">
                <w:t>Workstation Hardening Policy</w:t>
              </w:r>
            </w:sdtContent>
          </w:sdt>
        </w:p>
      </w:tc>
      <w:tc>
        <w:tcPr>
          <w:tcW w:w="299" w:type="pct"/>
        </w:tcPr>
        <w:p w14:paraId="08BAE7B5" w14:textId="77777777" w:rsidR="00986354" w:rsidRPr="0030192B" w:rsidRDefault="00986354" w:rsidP="00986354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F959C3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13E45B31" w14:textId="15FEABED" w:rsidR="00986354" w:rsidRDefault="00803FE3">
    <w:pPr>
      <w:pStyle w:val="Header"/>
    </w:pPr>
    <w:r>
      <w:rPr>
        <w:noProof/>
      </w:rPr>
      <w:pict w14:anchorId="3396A3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6686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55F9D" w14:textId="4CC05DB2" w:rsidR="000A49ED" w:rsidRDefault="00803FE3">
    <w:pPr>
      <w:pStyle w:val="Header"/>
    </w:pPr>
    <w:r>
      <w:rPr>
        <w:noProof/>
      </w:rPr>
      <w:pict w14:anchorId="5D0610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6684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A07"/>
    <w:multiLevelType w:val="hybridMultilevel"/>
    <w:tmpl w:val="5A64488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2AC001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017"/>
    <w:multiLevelType w:val="hybridMultilevel"/>
    <w:tmpl w:val="F5AED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372567"/>
    <w:multiLevelType w:val="hybridMultilevel"/>
    <w:tmpl w:val="1C26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AD8"/>
    <w:multiLevelType w:val="hybridMultilevel"/>
    <w:tmpl w:val="2B46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D54BE"/>
    <w:multiLevelType w:val="hybridMultilevel"/>
    <w:tmpl w:val="7E482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C1ED8"/>
    <w:multiLevelType w:val="hybridMultilevel"/>
    <w:tmpl w:val="6624C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0480"/>
    <w:multiLevelType w:val="multilevel"/>
    <w:tmpl w:val="C96477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21380"/>
    <w:multiLevelType w:val="hybridMultilevel"/>
    <w:tmpl w:val="B92E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EB0823"/>
    <w:multiLevelType w:val="multilevel"/>
    <w:tmpl w:val="CBF4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D7A6C80"/>
    <w:multiLevelType w:val="hybridMultilevel"/>
    <w:tmpl w:val="9054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F4406"/>
    <w:multiLevelType w:val="hybridMultilevel"/>
    <w:tmpl w:val="4BC2C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32423"/>
    <w:multiLevelType w:val="hybridMultilevel"/>
    <w:tmpl w:val="C88A0B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30"/>
  </w:num>
  <w:num w:numId="5">
    <w:abstractNumId w:val="6"/>
  </w:num>
  <w:num w:numId="6">
    <w:abstractNumId w:val="22"/>
  </w:num>
  <w:num w:numId="7">
    <w:abstractNumId w:val="5"/>
  </w:num>
  <w:num w:numId="8">
    <w:abstractNumId w:val="17"/>
  </w:num>
  <w:num w:numId="9">
    <w:abstractNumId w:val="15"/>
  </w:num>
  <w:num w:numId="10">
    <w:abstractNumId w:val="12"/>
  </w:num>
  <w:num w:numId="11">
    <w:abstractNumId w:val="19"/>
  </w:num>
  <w:num w:numId="12">
    <w:abstractNumId w:val="37"/>
  </w:num>
  <w:num w:numId="13">
    <w:abstractNumId w:val="31"/>
  </w:num>
  <w:num w:numId="14">
    <w:abstractNumId w:val="9"/>
  </w:num>
  <w:num w:numId="15">
    <w:abstractNumId w:val="18"/>
  </w:num>
  <w:num w:numId="16">
    <w:abstractNumId w:val="23"/>
  </w:num>
  <w:num w:numId="17">
    <w:abstractNumId w:val="35"/>
  </w:num>
  <w:num w:numId="18">
    <w:abstractNumId w:val="13"/>
  </w:num>
  <w:num w:numId="19">
    <w:abstractNumId w:val="3"/>
  </w:num>
  <w:num w:numId="20">
    <w:abstractNumId w:val="7"/>
  </w:num>
  <w:num w:numId="21">
    <w:abstractNumId w:val="21"/>
  </w:num>
  <w:num w:numId="22">
    <w:abstractNumId w:val="25"/>
  </w:num>
  <w:num w:numId="23">
    <w:abstractNumId w:val="24"/>
  </w:num>
  <w:num w:numId="24">
    <w:abstractNumId w:val="28"/>
  </w:num>
  <w:num w:numId="25">
    <w:abstractNumId w:val="4"/>
  </w:num>
  <w:num w:numId="26">
    <w:abstractNumId w:val="20"/>
  </w:num>
  <w:num w:numId="27">
    <w:abstractNumId w:val="10"/>
  </w:num>
  <w:num w:numId="28">
    <w:abstractNumId w:val="33"/>
  </w:num>
  <w:num w:numId="29">
    <w:abstractNumId w:val="34"/>
  </w:num>
  <w:num w:numId="30">
    <w:abstractNumId w:val="36"/>
  </w:num>
  <w:num w:numId="31">
    <w:abstractNumId w:val="32"/>
  </w:num>
  <w:num w:numId="32">
    <w:abstractNumId w:val="1"/>
  </w:num>
  <w:num w:numId="33">
    <w:abstractNumId w:val="8"/>
  </w:num>
  <w:num w:numId="34">
    <w:abstractNumId w:val="26"/>
  </w:num>
  <w:num w:numId="35">
    <w:abstractNumId w:val="2"/>
  </w:num>
  <w:num w:numId="36">
    <w:abstractNumId w:val="11"/>
  </w:num>
  <w:num w:numId="37">
    <w:abstractNumId w:val="27"/>
  </w:num>
  <w:num w:numId="3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A49ED"/>
    <w:rsid w:val="000A69EF"/>
    <w:rsid w:val="00140385"/>
    <w:rsid w:val="002534E3"/>
    <w:rsid w:val="002A5D4C"/>
    <w:rsid w:val="00333141"/>
    <w:rsid w:val="00347EBF"/>
    <w:rsid w:val="003E192C"/>
    <w:rsid w:val="00803FE3"/>
    <w:rsid w:val="00904A82"/>
    <w:rsid w:val="009562EF"/>
    <w:rsid w:val="00986354"/>
    <w:rsid w:val="00A14B4D"/>
    <w:rsid w:val="00A33B13"/>
    <w:rsid w:val="00A755FE"/>
    <w:rsid w:val="00AF3C6F"/>
    <w:rsid w:val="00B302A5"/>
    <w:rsid w:val="00B50C2A"/>
    <w:rsid w:val="00C35EA5"/>
    <w:rsid w:val="00C52923"/>
    <w:rsid w:val="00D814B3"/>
    <w:rsid w:val="00EB3CE4"/>
    <w:rsid w:val="00EE5A64"/>
    <w:rsid w:val="00F72E40"/>
    <w:rsid w:val="00F959C3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EB40B2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C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59C3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F959C3"/>
    <w:pPr>
      <w:keepNext/>
      <w:keepLines/>
      <w:numPr>
        <w:numId w:val="38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F959C3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F959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59C3"/>
  </w:style>
  <w:style w:type="paragraph" w:styleId="Header">
    <w:name w:val="header"/>
    <w:basedOn w:val="Normal"/>
    <w:link w:val="HeaderChar"/>
    <w:uiPriority w:val="99"/>
    <w:unhideWhenUsed/>
    <w:rsid w:val="00F9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9C3"/>
  </w:style>
  <w:style w:type="paragraph" w:styleId="Footer">
    <w:name w:val="footer"/>
    <w:basedOn w:val="Normal"/>
    <w:link w:val="FooterChar"/>
    <w:uiPriority w:val="99"/>
    <w:unhideWhenUsed/>
    <w:rsid w:val="00F9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9C3"/>
  </w:style>
  <w:style w:type="paragraph" w:styleId="BalloonText">
    <w:name w:val="Balloon Text"/>
    <w:basedOn w:val="Normal"/>
    <w:link w:val="BalloonTextChar"/>
    <w:uiPriority w:val="99"/>
    <w:semiHidden/>
    <w:unhideWhenUsed/>
    <w:rsid w:val="00F9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59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59C3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F959C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F959C3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F959C3"/>
    <w:pPr>
      <w:ind w:left="720"/>
      <w:contextualSpacing/>
    </w:pPr>
  </w:style>
  <w:style w:type="table" w:styleId="TableGrid">
    <w:name w:val="Table Grid"/>
    <w:basedOn w:val="TableNormal"/>
    <w:uiPriority w:val="39"/>
    <w:rsid w:val="00F959C3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EF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F959C3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F959C3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45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Workstation Hardening</vt:lpstr>
    </vt:vector>
  </TitlesOfParts>
  <Company>Hewlett-Packard Company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Workstation Hardening Policy</dc:title>
  <dc:creator>Pat Bush</dc:creator>
  <cp:lastModifiedBy>Stacey, Jill</cp:lastModifiedBy>
  <cp:revision>13</cp:revision>
  <dcterms:created xsi:type="dcterms:W3CDTF">2016-11-15T22:22:00Z</dcterms:created>
  <dcterms:modified xsi:type="dcterms:W3CDTF">2017-02-28T17:44:00Z</dcterms:modified>
</cp:coreProperties>
</file>