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7D705" w14:textId="5A78650C" w:rsidR="000E600A" w:rsidRDefault="000E600A" w:rsidP="00C77A45">
      <w:pPr>
        <w:pStyle w:val="Heading1"/>
      </w:pPr>
      <w:commentRangeStart w:id="0"/>
      <w:r>
        <w:t>Third</w:t>
      </w:r>
      <w:r w:rsidR="004A34E7">
        <w:t xml:space="preserve"> </w:t>
      </w:r>
      <w:r>
        <w:t>Party Contract Policy</w:t>
      </w:r>
      <w:commentRangeEnd w:id="0"/>
      <w:r w:rsidR="009F26F3">
        <w:rPr>
          <w:rStyle w:val="CommentReference"/>
        </w:rPr>
        <w:commentReference w:id="0"/>
      </w:r>
    </w:p>
    <w:p w14:paraId="3ADD47CE" w14:textId="3D86CF05" w:rsidR="003E192C" w:rsidRPr="003E192C" w:rsidRDefault="003E192C" w:rsidP="00C77A45">
      <w:pPr>
        <w:pStyle w:val="Heading2"/>
      </w:pPr>
      <w:r w:rsidRPr="003E192C">
        <w:t>Overview</w:t>
      </w:r>
    </w:p>
    <w:p w14:paraId="56187630" w14:textId="11B2D275" w:rsidR="00914A5C" w:rsidRPr="000576EE" w:rsidRDefault="00914A5C" w:rsidP="00C77A45">
      <w:pPr>
        <w:pStyle w:val="PolicyText1"/>
      </w:pPr>
      <w:r w:rsidRPr="00014F47">
        <w:t xml:space="preserve">Third party </w:t>
      </w:r>
      <w:r w:rsidR="004A34E7">
        <w:t>vendors</w:t>
      </w:r>
      <w:r w:rsidRPr="00014F47">
        <w:t xml:space="preserve"> play an important role in the support of</w:t>
      </w:r>
      <w:r w:rsidR="004A34E7">
        <w:t xml:space="preserve"> [LEP] processes.  </w:t>
      </w:r>
      <w:r w:rsidRPr="00014F47">
        <w:t xml:space="preserve">In some instances, </w:t>
      </w:r>
      <w:r w:rsidR="004A34E7">
        <w:t>third party vendors</w:t>
      </w:r>
      <w:r w:rsidRPr="00014F47">
        <w:t xml:space="preserve"> may collect, store, and maintain </w:t>
      </w:r>
      <w:r w:rsidR="00062AD2">
        <w:t>Confidential Information and Personally Identifiable Information (PII).</w:t>
      </w:r>
      <w:r w:rsidRPr="00014F47">
        <w:t xml:space="preserve">  Setting </w:t>
      </w:r>
      <w:r>
        <w:t xml:space="preserve">appropriate </w:t>
      </w:r>
      <w:r w:rsidRPr="00014F47">
        <w:t xml:space="preserve">limits and controls on third party </w:t>
      </w:r>
      <w:r w:rsidR="004A34E7">
        <w:t>vendors</w:t>
      </w:r>
      <w:r w:rsidRPr="00014F47">
        <w:t xml:space="preserve"> helps reduce the risk of </w:t>
      </w:r>
      <w:r>
        <w:t xml:space="preserve">security incidents, financial </w:t>
      </w:r>
      <w:r w:rsidRPr="00014F47">
        <w:t xml:space="preserve">liability, loss of </w:t>
      </w:r>
      <w:r>
        <w:t xml:space="preserve">community </w:t>
      </w:r>
      <w:r w:rsidRPr="00014F47">
        <w:t>trust, and embarrassment.</w:t>
      </w:r>
    </w:p>
    <w:p w14:paraId="037AECCD" w14:textId="5B7B6128" w:rsidR="003E192C" w:rsidRDefault="003E192C" w:rsidP="00C77A45">
      <w:pPr>
        <w:pStyle w:val="Heading2"/>
      </w:pPr>
      <w:r w:rsidRPr="003E192C">
        <w:t>Purpose</w:t>
      </w:r>
    </w:p>
    <w:p w14:paraId="1DDB3464" w14:textId="71524409" w:rsidR="00914A5C" w:rsidRPr="00DF4977" w:rsidRDefault="00914A5C" w:rsidP="00C77A45">
      <w:pPr>
        <w:pStyle w:val="PolicyText1"/>
      </w:pPr>
      <w:r w:rsidRPr="00014F47">
        <w:t>The purpose of th</w:t>
      </w:r>
      <w:r>
        <w:t>is po</w:t>
      </w:r>
      <w:r w:rsidRPr="00014F47">
        <w:t xml:space="preserve">licy is to establish rules </w:t>
      </w:r>
      <w:r>
        <w:t xml:space="preserve">and </w:t>
      </w:r>
      <w:r w:rsidR="00A97E22">
        <w:t>operating</w:t>
      </w:r>
      <w:r>
        <w:t xml:space="preserve"> parameters </w:t>
      </w:r>
      <w:r w:rsidRPr="00014F47">
        <w:t xml:space="preserve">for </w:t>
      </w:r>
      <w:r w:rsidR="004A34E7">
        <w:t>third party vendors’ access</w:t>
      </w:r>
      <w:r w:rsidRPr="00014F47">
        <w:t xml:space="preserve"> to company information, </w:t>
      </w:r>
      <w:r>
        <w:t xml:space="preserve">their operator </w:t>
      </w:r>
      <w:r w:rsidRPr="00014F47">
        <w:t xml:space="preserve">responsibilities, and protection of </w:t>
      </w:r>
      <w:r w:rsidR="004A34E7">
        <w:t>[LEP]</w:t>
      </w:r>
      <w:r>
        <w:t xml:space="preserve"> assets, data, and PII</w:t>
      </w:r>
      <w:r w:rsidRPr="00014F47">
        <w:t>.</w:t>
      </w:r>
      <w:r>
        <w:t xml:space="preserve">  This polic</w:t>
      </w:r>
      <w:r w:rsidR="00BC7BD1">
        <w:t xml:space="preserve">y supports </w:t>
      </w:r>
      <w:r w:rsidR="00971CFF">
        <w:t xml:space="preserve">compliance with </w:t>
      </w:r>
      <w:r w:rsidR="00BC7BD1">
        <w:t xml:space="preserve">federal and </w:t>
      </w:r>
      <w:r>
        <w:t>state data privacy laws.</w:t>
      </w:r>
    </w:p>
    <w:p w14:paraId="7D75917A" w14:textId="6EB3F6C2" w:rsidR="003E192C" w:rsidRPr="003E192C" w:rsidRDefault="003E192C" w:rsidP="00C77A45">
      <w:pPr>
        <w:pStyle w:val="Heading2"/>
      </w:pPr>
      <w:r w:rsidRPr="003E192C">
        <w:t>Scope</w:t>
      </w:r>
    </w:p>
    <w:p w14:paraId="225AFB85" w14:textId="7401BEC6" w:rsidR="003E192C" w:rsidRPr="003E192C" w:rsidRDefault="003E192C" w:rsidP="00C77A45">
      <w:pPr>
        <w:pStyle w:val="PolicyText1"/>
      </w:pPr>
      <w:r w:rsidRPr="003E192C">
        <w:t xml:space="preserve">This policy applies to all </w:t>
      </w:r>
      <w:r w:rsidR="004A34E7">
        <w:t>[LEP]</w:t>
      </w:r>
      <w:r w:rsidRPr="003E192C">
        <w:t xml:space="preserve"> staff </w:t>
      </w:r>
      <w:r w:rsidR="00914A5C">
        <w:t>responsible for negotiating or</w:t>
      </w:r>
      <w:r w:rsidR="004A34E7">
        <w:t xml:space="preserve"> executing third party </w:t>
      </w:r>
      <w:r w:rsidR="00914A5C">
        <w:t>contracts.</w:t>
      </w:r>
    </w:p>
    <w:p w14:paraId="176FDD15" w14:textId="2836EFBF" w:rsidR="003E192C" w:rsidRDefault="003E192C" w:rsidP="00C77A45">
      <w:pPr>
        <w:pStyle w:val="Heading2"/>
      </w:pPr>
      <w:r w:rsidRPr="003E192C">
        <w:t xml:space="preserve">Policy </w:t>
      </w:r>
    </w:p>
    <w:p w14:paraId="31B29844" w14:textId="2ED3A49B" w:rsidR="00A97E22" w:rsidRDefault="00A97E22" w:rsidP="00C77A45">
      <w:pPr>
        <w:pStyle w:val="Heading3"/>
      </w:pPr>
      <w:r>
        <w:t>GENERAL</w:t>
      </w:r>
    </w:p>
    <w:p w14:paraId="39813836" w14:textId="24591758" w:rsidR="009C68B5" w:rsidRDefault="00914A5C" w:rsidP="00C77A45">
      <w:pPr>
        <w:pStyle w:val="PolicyText2"/>
      </w:pPr>
      <w:r w:rsidRPr="00014F47">
        <w:t xml:space="preserve">Prior to entering </w:t>
      </w:r>
      <w:r>
        <w:t>into an</w:t>
      </w:r>
      <w:r w:rsidR="009C68B5">
        <w:t>y</w:t>
      </w:r>
      <w:r>
        <w:t xml:space="preserve"> agreement</w:t>
      </w:r>
      <w:r w:rsidR="009C68B5">
        <w:t xml:space="preserve"> or contract</w:t>
      </w:r>
      <w:r>
        <w:t xml:space="preserve">, </w:t>
      </w:r>
      <w:r w:rsidR="004A34E7">
        <w:t>[LEP]</w:t>
      </w:r>
      <w:r w:rsidR="004A34E7" w:rsidRPr="003E192C">
        <w:t xml:space="preserve"> </w:t>
      </w:r>
      <w:r w:rsidR="009C68B5">
        <w:t xml:space="preserve">staff </w:t>
      </w:r>
      <w:r w:rsidRPr="00014F47">
        <w:t xml:space="preserve">shall follow due diligence in selecting third party </w:t>
      </w:r>
      <w:r w:rsidR="004A34E7">
        <w:t>vendors.  Third parties</w:t>
      </w:r>
      <w:r w:rsidRPr="00014F47">
        <w:t xml:space="preserve"> must comply with all applicable </w:t>
      </w:r>
      <w:r w:rsidR="00A97E22">
        <w:t xml:space="preserve">state procurement, </w:t>
      </w:r>
      <w:r w:rsidR="004A34E7">
        <w:t>[LEP]</w:t>
      </w:r>
      <w:r w:rsidR="004A34E7" w:rsidRPr="003E192C">
        <w:t xml:space="preserve"> </w:t>
      </w:r>
      <w:r w:rsidRPr="00014F47">
        <w:t xml:space="preserve">policies, practice </w:t>
      </w:r>
      <w:r w:rsidR="004A34E7" w:rsidRPr="00014F47">
        <w:t>standards,</w:t>
      </w:r>
      <w:r w:rsidRPr="00014F47">
        <w:t xml:space="preserve"> and ag</w:t>
      </w:r>
      <w:r>
        <w:t xml:space="preserve">reements as well as </w:t>
      </w:r>
      <w:r w:rsidR="00A97E22">
        <w:t xml:space="preserve">any </w:t>
      </w:r>
      <w:r>
        <w:t xml:space="preserve">binding legislation </w:t>
      </w:r>
      <w:r w:rsidR="009C68B5">
        <w:t xml:space="preserve">at the state and federal levels. This policy supports law in certain areas but shall not replace any potential changes in current or future compliance components levied against </w:t>
      </w:r>
      <w:r w:rsidR="004A34E7">
        <w:t>third party vendors</w:t>
      </w:r>
      <w:r w:rsidR="009C68B5">
        <w:t xml:space="preserve"> through statute, law, or contract.</w:t>
      </w:r>
    </w:p>
    <w:p w14:paraId="52195984" w14:textId="0D07FF6B" w:rsidR="00A97E22" w:rsidRDefault="00A97E22" w:rsidP="00C77A45">
      <w:pPr>
        <w:pStyle w:val="Heading3"/>
      </w:pPr>
      <w:r>
        <w:t>GENERAL VENDOR RESPONSIBILITIES</w:t>
      </w:r>
    </w:p>
    <w:p w14:paraId="2D563155" w14:textId="48324FEF" w:rsidR="009C68B5" w:rsidRDefault="009C68B5" w:rsidP="00C77A45">
      <w:pPr>
        <w:pStyle w:val="PolicyText2"/>
      </w:pPr>
      <w:proofErr w:type="gramStart"/>
      <w:r>
        <w:t xml:space="preserve">The following </w:t>
      </w:r>
      <w:r w:rsidR="00A97E22">
        <w:t xml:space="preserve">general </w:t>
      </w:r>
      <w:r>
        <w:t xml:space="preserve">responsibilities shall be provided by vendors entering into contracts with </w:t>
      </w:r>
      <w:r w:rsidR="004A34E7">
        <w:t>[LEP]</w:t>
      </w:r>
      <w:proofErr w:type="gramEnd"/>
      <w:r>
        <w:t>:</w:t>
      </w:r>
    </w:p>
    <w:p w14:paraId="5EAF48D1" w14:textId="5E984D33" w:rsidR="00914A5C" w:rsidRPr="009C68B5" w:rsidRDefault="004A34E7" w:rsidP="00C77A45">
      <w:pPr>
        <w:pStyle w:val="PolicyText2"/>
        <w:numPr>
          <w:ilvl w:val="0"/>
          <w:numId w:val="35"/>
        </w:numPr>
      </w:pPr>
      <w:r>
        <w:t xml:space="preserve">Third party vendors </w:t>
      </w:r>
      <w:r w:rsidR="009C68B5" w:rsidRPr="009C68B5">
        <w:t xml:space="preserve">shall </w:t>
      </w:r>
      <w:r w:rsidR="00914A5C" w:rsidRPr="009C68B5">
        <w:t xml:space="preserve">provide </w:t>
      </w:r>
      <w:r>
        <w:t>[LEP]</w:t>
      </w:r>
      <w:r w:rsidRPr="003E192C">
        <w:t xml:space="preserve"> </w:t>
      </w:r>
      <w:r w:rsidR="009C68B5" w:rsidRPr="009C68B5">
        <w:t xml:space="preserve">a </w:t>
      </w:r>
      <w:r w:rsidR="00914A5C" w:rsidRPr="009C68B5">
        <w:t xml:space="preserve">point of contact for </w:t>
      </w:r>
      <w:r w:rsidR="009C68B5" w:rsidRPr="009C68B5">
        <w:t>contract terms and service offering implementation</w:t>
      </w:r>
      <w:r w:rsidR="00914A5C" w:rsidRPr="009C68B5">
        <w:t xml:space="preserve">.  </w:t>
      </w:r>
      <w:r w:rsidR="009C68B5" w:rsidRPr="009C68B5">
        <w:t xml:space="preserve">A </w:t>
      </w:r>
      <w:r>
        <w:t>[LEP]</w:t>
      </w:r>
      <w:r w:rsidRPr="003E192C">
        <w:t xml:space="preserve"> </w:t>
      </w:r>
      <w:r w:rsidR="00914A5C" w:rsidRPr="009C68B5">
        <w:t xml:space="preserve">point of contact will work with the </w:t>
      </w:r>
      <w:r>
        <w:t xml:space="preserve">third party vendors </w:t>
      </w:r>
      <w:r w:rsidR="00914A5C" w:rsidRPr="009C68B5">
        <w:t xml:space="preserve">to ensure the </w:t>
      </w:r>
      <w:r w:rsidR="009C68B5" w:rsidRPr="009C68B5">
        <w:t>vendor</w:t>
      </w:r>
      <w:r w:rsidR="00914A5C" w:rsidRPr="009C68B5">
        <w:t xml:space="preserve"> is in compliance with </w:t>
      </w:r>
      <w:r w:rsidR="009C68B5" w:rsidRPr="009C68B5">
        <w:t>all state and federal laws as well as this policy</w:t>
      </w:r>
      <w:r w:rsidR="00914A5C" w:rsidRPr="009C68B5">
        <w:t>.</w:t>
      </w:r>
    </w:p>
    <w:p w14:paraId="058969F3" w14:textId="4F48C76C" w:rsidR="00914A5C" w:rsidRPr="009C68B5" w:rsidRDefault="004A34E7" w:rsidP="00C77A45">
      <w:pPr>
        <w:pStyle w:val="PolicyText2"/>
        <w:numPr>
          <w:ilvl w:val="0"/>
          <w:numId w:val="35"/>
        </w:numPr>
      </w:pPr>
      <w:r>
        <w:t>[Insert Appropriate Role]</w:t>
      </w:r>
      <w:r w:rsidR="00914A5C" w:rsidRPr="009C68B5">
        <w:t xml:space="preserve"> shall maintain a list of all </w:t>
      </w:r>
      <w:r w:rsidR="009C68B5" w:rsidRPr="009C68B5">
        <w:t xml:space="preserve">subcontracted </w:t>
      </w:r>
      <w:r w:rsidR="00914A5C" w:rsidRPr="009C68B5">
        <w:t xml:space="preserve">providers and </w:t>
      </w:r>
      <w:r w:rsidR="00B81ECA">
        <w:t>the services performed by each.</w:t>
      </w:r>
      <w:r w:rsidR="00914A5C" w:rsidRPr="009C68B5">
        <w:t xml:space="preserve"> </w:t>
      </w:r>
      <w:r>
        <w:t>[LEP]</w:t>
      </w:r>
      <w:r w:rsidRPr="003E192C">
        <w:t xml:space="preserve"> </w:t>
      </w:r>
      <w:r>
        <w:t>[Insert Appropriate Role]</w:t>
      </w:r>
      <w:r w:rsidRPr="009C68B5">
        <w:t xml:space="preserve"> </w:t>
      </w:r>
      <w:r w:rsidR="009C68B5" w:rsidRPr="009C68B5">
        <w:t xml:space="preserve">may request on-demand and </w:t>
      </w:r>
      <w:r w:rsidR="00914A5C" w:rsidRPr="009C68B5">
        <w:t>maintain copies of all agreements with service providers</w:t>
      </w:r>
      <w:r w:rsidR="009C68B5" w:rsidRPr="009C68B5">
        <w:t xml:space="preserve"> as appropriate</w:t>
      </w:r>
      <w:r w:rsidR="00914A5C" w:rsidRPr="009C68B5">
        <w:t xml:space="preserve">.  </w:t>
      </w:r>
    </w:p>
    <w:p w14:paraId="4E52FFC6" w14:textId="663E1D75" w:rsidR="00A97E22" w:rsidRDefault="009F26F3" w:rsidP="00C77A45">
      <w:pPr>
        <w:pStyle w:val="Heading3"/>
      </w:pPr>
      <w:r>
        <w:t>THIRD PARTY</w:t>
      </w:r>
      <w:r w:rsidR="00454458">
        <w:t xml:space="preserve"> </w:t>
      </w:r>
      <w:r w:rsidR="00A97E22">
        <w:t>CONTRACT TERMS AND PROVISIONS</w:t>
      </w:r>
    </w:p>
    <w:p w14:paraId="66257566" w14:textId="7BE654E0" w:rsidR="00914A5C" w:rsidRPr="00014F47" w:rsidRDefault="009C68B5" w:rsidP="00C77A45">
      <w:pPr>
        <w:pStyle w:val="PolicyText2"/>
        <w:tabs>
          <w:tab w:val="left" w:pos="2430"/>
        </w:tabs>
      </w:pPr>
      <w:r>
        <w:t xml:space="preserve">All contract terms and agreements </w:t>
      </w:r>
      <w:r w:rsidR="00914A5C" w:rsidRPr="00014F47">
        <w:t xml:space="preserve">with third party service providers </w:t>
      </w:r>
      <w:r>
        <w:t>shall</w:t>
      </w:r>
      <w:r w:rsidR="00914A5C" w:rsidRPr="00014F47">
        <w:t xml:space="preserve"> specify</w:t>
      </w:r>
      <w:r w:rsidR="00D36AEB">
        <w:t xml:space="preserve"> the following terms and conditions</w:t>
      </w:r>
      <w:r w:rsidR="00914A5C" w:rsidRPr="00014F47">
        <w:t>:</w:t>
      </w:r>
    </w:p>
    <w:p w14:paraId="4615BA72" w14:textId="409517C7" w:rsidR="00914A5C" w:rsidRDefault="00CB4FC9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>
        <w:t>Data and personnel c</w:t>
      </w:r>
      <w:r w:rsidR="00914A5C">
        <w:t xml:space="preserve">onfidentiality </w:t>
      </w:r>
      <w:r>
        <w:t xml:space="preserve">terms </w:t>
      </w:r>
      <w:r w:rsidR="00D36AEB">
        <w:t>shall</w:t>
      </w:r>
      <w:r>
        <w:t xml:space="preserve"> protect</w:t>
      </w:r>
      <w:r w:rsidR="00914A5C">
        <w:t xml:space="preserve"> </w:t>
      </w:r>
      <w:r w:rsidR="00971CFF">
        <w:t xml:space="preserve">all </w:t>
      </w:r>
      <w:r w:rsidR="004A34E7">
        <w:t>[LEP]</w:t>
      </w:r>
      <w:r w:rsidR="004A34E7" w:rsidRPr="003E192C">
        <w:t xml:space="preserve"> </w:t>
      </w:r>
      <w:r w:rsidR="009F26F3">
        <w:t>Confidential Information and PII.</w:t>
      </w:r>
    </w:p>
    <w:p w14:paraId="4A9E92F0" w14:textId="5ED965A8" w:rsidR="00914A5C" w:rsidRPr="00014F47" w:rsidRDefault="00B15387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>
        <w:lastRenderedPageBreak/>
        <w:t>R</w:t>
      </w:r>
      <w:r w:rsidR="009C68B5">
        <w:t>ole-based c</w:t>
      </w:r>
      <w:r w:rsidR="00914A5C">
        <w:t xml:space="preserve">ontrolled </w:t>
      </w:r>
      <w:r>
        <w:t xml:space="preserve">user </w:t>
      </w:r>
      <w:r w:rsidR="00914A5C">
        <w:t>a</w:t>
      </w:r>
      <w:r w:rsidR="00914A5C" w:rsidRPr="00014F47">
        <w:t xml:space="preserve">ccess to </w:t>
      </w:r>
      <w:r w:rsidR="004A34E7">
        <w:t>[LEP]</w:t>
      </w:r>
      <w:r w:rsidR="004A34E7" w:rsidRPr="003E192C">
        <w:t xml:space="preserve"> </w:t>
      </w:r>
      <w:r w:rsidR="00454458">
        <w:t xml:space="preserve">resources </w:t>
      </w:r>
      <w:r>
        <w:t>and access shall be limited to only those systems to which the vendor provides services</w:t>
      </w:r>
      <w:r w:rsidR="00914A5C" w:rsidRPr="00014F47">
        <w:t>.</w:t>
      </w:r>
    </w:p>
    <w:p w14:paraId="4077CDC4" w14:textId="7E24A4F6" w:rsidR="00914A5C" w:rsidRPr="00CB4FC9" w:rsidRDefault="009C68B5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CB4FC9">
        <w:t>Vendor data privacy and information security</w:t>
      </w:r>
      <w:r w:rsidR="00CB4FC9" w:rsidRPr="00CB4FC9">
        <w:t xml:space="preserve"> procedures and protocols</w:t>
      </w:r>
      <w:r w:rsidR="00CB4FC9">
        <w:t xml:space="preserve"> </w:t>
      </w:r>
      <w:proofErr w:type="gramStart"/>
      <w:r w:rsidR="00CB4FC9">
        <w:t>shall be made</w:t>
      </w:r>
      <w:proofErr w:type="gramEnd"/>
      <w:r w:rsidR="00CB4FC9">
        <w:t xml:space="preserve"> available and meet </w:t>
      </w:r>
      <w:r w:rsidR="004A34E7">
        <w:t>[LEP]</w:t>
      </w:r>
      <w:r w:rsidR="00CB4FC9">
        <w:t xml:space="preserve"> requirements </w:t>
      </w:r>
      <w:r w:rsidR="00914A5C" w:rsidRPr="00CB4FC9">
        <w:t>for the return, destruction, or disposal of information in the service provider’s possession at the end of the agreement.</w:t>
      </w:r>
    </w:p>
    <w:p w14:paraId="4F1DA41B" w14:textId="377BF15F" w:rsidR="00914A5C" w:rsidRPr="00014F47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014F47">
        <w:t xml:space="preserve">The service provider </w:t>
      </w:r>
      <w:r w:rsidR="00CB4FC9">
        <w:t>shall</w:t>
      </w:r>
      <w:r w:rsidRPr="00014F47">
        <w:t xml:space="preserve"> only use </w:t>
      </w:r>
      <w:r w:rsidR="004A34E7">
        <w:t>[LEP]</w:t>
      </w:r>
      <w:r w:rsidR="004A34E7" w:rsidRPr="003E192C">
        <w:t xml:space="preserve"> </w:t>
      </w:r>
      <w:r w:rsidRPr="00014F47">
        <w:t xml:space="preserve">information and </w:t>
      </w:r>
      <w:r w:rsidR="00454458">
        <w:t xml:space="preserve">systems </w:t>
      </w:r>
      <w:r w:rsidRPr="00014F47">
        <w:t xml:space="preserve">for the purpose of the </w:t>
      </w:r>
      <w:r w:rsidR="00CB4FC9">
        <w:t xml:space="preserve">direct </w:t>
      </w:r>
      <w:r w:rsidRPr="00014F47">
        <w:t>business agreement</w:t>
      </w:r>
      <w:r w:rsidR="00B15387">
        <w:t xml:space="preserve">.  </w:t>
      </w:r>
      <w:r w:rsidR="00CB4FC9">
        <w:t xml:space="preserve"> </w:t>
      </w:r>
      <w:r w:rsidR="00B15387">
        <w:t>N</w:t>
      </w:r>
      <w:r w:rsidR="00CB4FC9">
        <w:t xml:space="preserve">o other uses </w:t>
      </w:r>
      <w:proofErr w:type="gramStart"/>
      <w:r w:rsidR="00CB4FC9">
        <w:t>are allowed</w:t>
      </w:r>
      <w:proofErr w:type="gramEnd"/>
      <w:r w:rsidR="00CB4FC9">
        <w:t xml:space="preserve"> unless expressly granted in writing by the </w:t>
      </w:r>
      <w:r w:rsidR="00971CFF">
        <w:t>[LEP]</w:t>
      </w:r>
      <w:r w:rsidRPr="00014F47">
        <w:t>.</w:t>
      </w:r>
    </w:p>
    <w:p w14:paraId="3F2D79B9" w14:textId="55D86106" w:rsidR="00CB4FC9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CB4FC9">
        <w:t xml:space="preserve">Any information acquired by the service provider </w:t>
      </w:r>
      <w:r w:rsidR="00B15387">
        <w:t xml:space="preserve">through the course of operational contract execution </w:t>
      </w:r>
      <w:proofErr w:type="gramStart"/>
      <w:r w:rsidR="00B15387">
        <w:t xml:space="preserve">shall not </w:t>
      </w:r>
      <w:r w:rsidRPr="00CB4FC9">
        <w:t>be used for the service provider’s own purposes or divulged to others</w:t>
      </w:r>
      <w:r w:rsidR="00B15387">
        <w:t xml:space="preserve"> without the express written consent of </w:t>
      </w:r>
      <w:r w:rsidR="004A34E7">
        <w:t>[LEP]</w:t>
      </w:r>
      <w:proofErr w:type="gramEnd"/>
      <w:r w:rsidRPr="00CB4FC9">
        <w:t>.</w:t>
      </w:r>
    </w:p>
    <w:p w14:paraId="4EA386D9" w14:textId="5E614D1E" w:rsidR="00B15387" w:rsidRDefault="00B15387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>
        <w:t>S</w:t>
      </w:r>
      <w:r w:rsidR="00914A5C" w:rsidRPr="00B15387">
        <w:t>ervice provider</w:t>
      </w:r>
      <w:r>
        <w:t>s</w:t>
      </w:r>
      <w:r w:rsidR="00914A5C" w:rsidRPr="00B15387">
        <w:t xml:space="preserve"> </w:t>
      </w:r>
      <w:r>
        <w:t xml:space="preserve">shall </w:t>
      </w:r>
      <w:r w:rsidR="00914A5C" w:rsidRPr="00B15387">
        <w:t xml:space="preserve">provide </w:t>
      </w:r>
      <w:r w:rsidR="004A34E7">
        <w:t>[LEP]</w:t>
      </w:r>
      <w:r w:rsidR="004A34E7" w:rsidRPr="003E192C">
        <w:t xml:space="preserve"> </w:t>
      </w:r>
      <w:r w:rsidR="00914A5C" w:rsidRPr="00B15387">
        <w:t xml:space="preserve">with a list of all staff working </w:t>
      </w:r>
      <w:r w:rsidRPr="00B15387">
        <w:t xml:space="preserve">on the contracted services. </w:t>
      </w:r>
      <w:r w:rsidR="00914A5C" w:rsidRPr="00B15387">
        <w:t xml:space="preserve">The list </w:t>
      </w:r>
      <w:r w:rsidRPr="00B15387">
        <w:t xml:space="preserve">shall </w:t>
      </w:r>
      <w:r w:rsidR="00914A5C" w:rsidRPr="00B15387">
        <w:t xml:space="preserve">be updated and provided to </w:t>
      </w:r>
      <w:r w:rsidR="004A34E7">
        <w:t>[LEP]</w:t>
      </w:r>
      <w:r w:rsidR="004A34E7" w:rsidRPr="003E192C">
        <w:t xml:space="preserve"> </w:t>
      </w:r>
      <w:r w:rsidR="00914A5C" w:rsidRPr="00B15387">
        <w:t xml:space="preserve">within </w:t>
      </w:r>
      <w:r w:rsidRPr="00B15387">
        <w:t>twenty-four (</w:t>
      </w:r>
      <w:r w:rsidR="00914A5C" w:rsidRPr="00B15387">
        <w:t>24</w:t>
      </w:r>
      <w:r w:rsidRPr="00B15387">
        <w:t>)</w:t>
      </w:r>
      <w:r w:rsidR="00914A5C" w:rsidRPr="00B15387">
        <w:t xml:space="preserve"> hours of staff changes.</w:t>
      </w:r>
    </w:p>
    <w:p w14:paraId="28389C0C" w14:textId="2C053224" w:rsidR="007A4F2B" w:rsidRDefault="007A4F2B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7A4F2B">
        <w:t>On-site s</w:t>
      </w:r>
      <w:r w:rsidR="00914A5C" w:rsidRPr="007A4F2B">
        <w:t>ervice provider staff member</w:t>
      </w:r>
      <w:r w:rsidRPr="007A4F2B">
        <w:t>s</w:t>
      </w:r>
      <w:r w:rsidR="00914A5C" w:rsidRPr="007A4F2B">
        <w:t xml:space="preserve"> must </w:t>
      </w:r>
      <w:r w:rsidRPr="007A4F2B">
        <w:t>adhere to all internal facility security protocols and procedures.  Upon completion of contracted work, service providers shall return all security access cards and identification</w:t>
      </w:r>
      <w:r w:rsidR="00914A5C" w:rsidRPr="007A4F2B">
        <w:t>.</w:t>
      </w:r>
    </w:p>
    <w:p w14:paraId="1EC740AB" w14:textId="37A7661D" w:rsidR="007A4F2B" w:rsidRPr="007A4F2B" w:rsidRDefault="007A4F2B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7A4F2B">
        <w:t>S</w:t>
      </w:r>
      <w:r w:rsidR="00914A5C" w:rsidRPr="007A4F2B">
        <w:t>ervice provider staff member</w:t>
      </w:r>
      <w:r w:rsidRPr="007A4F2B">
        <w:t>s</w:t>
      </w:r>
      <w:r w:rsidR="00914A5C" w:rsidRPr="007A4F2B">
        <w:t xml:space="preserve"> with access to </w:t>
      </w:r>
      <w:r w:rsidR="004A34E7">
        <w:t>[LEP]</w:t>
      </w:r>
      <w:r w:rsidR="004A34E7" w:rsidRPr="003E192C">
        <w:t xml:space="preserve"> </w:t>
      </w:r>
      <w:r w:rsidRPr="007A4F2B">
        <w:t xml:space="preserve">confidential or </w:t>
      </w:r>
      <w:r w:rsidR="00454458">
        <w:t xml:space="preserve">student </w:t>
      </w:r>
      <w:r w:rsidRPr="007A4F2B">
        <w:t xml:space="preserve">PII </w:t>
      </w:r>
      <w:proofErr w:type="gramStart"/>
      <w:r w:rsidR="00914A5C" w:rsidRPr="007A4F2B">
        <w:t>must be cleared</w:t>
      </w:r>
      <w:proofErr w:type="gramEnd"/>
      <w:r w:rsidR="00914A5C" w:rsidRPr="007A4F2B">
        <w:t xml:space="preserve"> to handle that infor</w:t>
      </w:r>
      <w:r w:rsidRPr="007A4F2B">
        <w:t xml:space="preserve">mation.  Third party access to PII and confidential data </w:t>
      </w:r>
      <w:proofErr w:type="gramStart"/>
      <w:r w:rsidR="00914A5C" w:rsidRPr="007A4F2B">
        <w:t>shall be activated</w:t>
      </w:r>
      <w:proofErr w:type="gramEnd"/>
      <w:r w:rsidR="00914A5C" w:rsidRPr="007A4F2B">
        <w:t xml:space="preserve"> only when needed</w:t>
      </w:r>
      <w:r w:rsidRPr="007A4F2B">
        <w:t xml:space="preserve"> and enabled only to the level and degree indicated by the contract statement of work. </w:t>
      </w:r>
    </w:p>
    <w:p w14:paraId="5D089E76" w14:textId="26417161" w:rsidR="007A4F2B" w:rsidRPr="007A4F2B" w:rsidRDefault="007A4F2B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7A4F2B">
        <w:t>System a</w:t>
      </w:r>
      <w:r w:rsidR="00914A5C" w:rsidRPr="007A4F2B">
        <w:t>ccess shall be deactivated</w:t>
      </w:r>
      <w:r w:rsidRPr="007A4F2B">
        <w:t>/disabled</w:t>
      </w:r>
      <w:r w:rsidR="00914A5C" w:rsidRPr="007A4F2B">
        <w:t xml:space="preserve"> after services </w:t>
      </w:r>
      <w:proofErr w:type="gramStart"/>
      <w:r w:rsidR="00914A5C" w:rsidRPr="007A4F2B">
        <w:t xml:space="preserve">have been </w:t>
      </w:r>
      <w:r w:rsidRPr="007A4F2B">
        <w:t>completed</w:t>
      </w:r>
      <w:proofErr w:type="gramEnd"/>
      <w:r w:rsidR="00914A5C" w:rsidRPr="007A4F2B">
        <w:t xml:space="preserve">.  IDs used by vendors to access, support, or maintain system components via remote access shall only be enabled during the time period needed and disabled when not in use. </w:t>
      </w:r>
    </w:p>
    <w:p w14:paraId="2EB3F381" w14:textId="428292AB" w:rsidR="007A4F2B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7A4F2B">
        <w:t xml:space="preserve">Third party service provider access to </w:t>
      </w:r>
      <w:r w:rsidR="00454458">
        <w:t xml:space="preserve">systems and software </w:t>
      </w:r>
      <w:proofErr w:type="gramStart"/>
      <w:r w:rsidRPr="007A4F2B">
        <w:t>shall be monitored</w:t>
      </w:r>
      <w:proofErr w:type="gramEnd"/>
      <w:r w:rsidRPr="007A4F2B">
        <w:t xml:space="preserve"> during use</w:t>
      </w:r>
      <w:r w:rsidR="007A4F2B" w:rsidRPr="007A4F2B">
        <w:t xml:space="preserve"> as necessitated by the sensitivity and confidentiality of the information.</w:t>
      </w:r>
    </w:p>
    <w:p w14:paraId="48915F26" w14:textId="7AC71521" w:rsidR="007A4F2B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7A4F2B">
        <w:t xml:space="preserve">Service providers with remote access to </w:t>
      </w:r>
      <w:r w:rsidR="004A34E7">
        <w:t>[LEP]</w:t>
      </w:r>
      <w:r w:rsidR="004A34E7" w:rsidRPr="003E192C">
        <w:t xml:space="preserve"> </w:t>
      </w:r>
      <w:r w:rsidR="00BC7BD1">
        <w:t xml:space="preserve">systems shall use all </w:t>
      </w:r>
      <w:r w:rsidR="007A4F2B" w:rsidRPr="007A4F2B">
        <w:t>prescribed tools and procedures to access systems remotely</w:t>
      </w:r>
      <w:r w:rsidRPr="007A4F2B">
        <w:t>.</w:t>
      </w:r>
      <w:r w:rsidR="007A4F2B" w:rsidRPr="007A4F2B">
        <w:t xml:space="preserve"> </w:t>
      </w:r>
    </w:p>
    <w:p w14:paraId="0BFC12FE" w14:textId="530B7CFF" w:rsidR="00525802" w:rsidRDefault="007A4F2B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525802">
        <w:t>S</w:t>
      </w:r>
      <w:r w:rsidR="00914A5C" w:rsidRPr="00525802">
        <w:t xml:space="preserve">ervice provider personnel </w:t>
      </w:r>
      <w:r w:rsidRPr="00525802">
        <w:t xml:space="preserve">shall </w:t>
      </w:r>
      <w:r w:rsidR="00914A5C" w:rsidRPr="00525802">
        <w:t xml:space="preserve">report all security incidents directly to the </w:t>
      </w:r>
      <w:r w:rsidRPr="00525802">
        <w:t xml:space="preserve">project supervisor and </w:t>
      </w:r>
      <w:r w:rsidR="004A34E7">
        <w:t>[Insert Appropriate Role]</w:t>
      </w:r>
      <w:r w:rsidR="00914A5C" w:rsidRPr="00525802">
        <w:t xml:space="preserve">.  </w:t>
      </w:r>
      <w:r w:rsidR="00525802" w:rsidRPr="00525802">
        <w:t>S</w:t>
      </w:r>
      <w:r w:rsidR="00914A5C" w:rsidRPr="00525802">
        <w:t xml:space="preserve">ecurity incident management responsibilities and details must be specified in the </w:t>
      </w:r>
      <w:r w:rsidR="00525802" w:rsidRPr="00525802">
        <w:t xml:space="preserve">contract </w:t>
      </w:r>
      <w:r w:rsidR="00914A5C" w:rsidRPr="00525802">
        <w:t>agreement</w:t>
      </w:r>
      <w:r w:rsidR="00525802" w:rsidRPr="00525802">
        <w:t xml:space="preserve"> and specific to data incident/breach notification, procedures, </w:t>
      </w:r>
      <w:proofErr w:type="gramStart"/>
      <w:r w:rsidR="00525802" w:rsidRPr="00525802">
        <w:t>notifications</w:t>
      </w:r>
      <w:proofErr w:type="gramEnd"/>
      <w:r w:rsidR="00525802" w:rsidRPr="00525802">
        <w:t xml:space="preserve"> and remedies</w:t>
      </w:r>
      <w:r w:rsidR="00914A5C" w:rsidRPr="00525802">
        <w:t>.</w:t>
      </w:r>
    </w:p>
    <w:p w14:paraId="60715A1C" w14:textId="66DD8FB1" w:rsidR="00D36AEB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D36AEB">
        <w:t xml:space="preserve">Service provider </w:t>
      </w:r>
      <w:r w:rsidR="00525802" w:rsidRPr="00D36AEB">
        <w:t xml:space="preserve">shall </w:t>
      </w:r>
      <w:r w:rsidRPr="00D36AEB">
        <w:t xml:space="preserve">follow all applicable </w:t>
      </w:r>
      <w:r w:rsidR="004A34E7">
        <w:t>[LEP]</w:t>
      </w:r>
      <w:r w:rsidR="004A34E7" w:rsidRPr="003E192C">
        <w:t xml:space="preserve"> </w:t>
      </w:r>
      <w:r w:rsidRPr="00D36AEB">
        <w:t>change control processes and procedures</w:t>
      </w:r>
      <w:r w:rsidR="00525802" w:rsidRPr="00D36AEB">
        <w:t xml:space="preserve"> when working on </w:t>
      </w:r>
      <w:r w:rsidR="00971CFF">
        <w:t>[LEP]</w:t>
      </w:r>
      <w:r w:rsidR="00525802" w:rsidRPr="00D36AEB">
        <w:t xml:space="preserve"> systems</w:t>
      </w:r>
      <w:r w:rsidRPr="00D36AEB">
        <w:t>.</w:t>
      </w:r>
    </w:p>
    <w:p w14:paraId="779ADB14" w14:textId="5C9D8A68" w:rsidR="00D36AEB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D36AEB">
        <w:t xml:space="preserve">Regular work hours and duties </w:t>
      </w:r>
      <w:proofErr w:type="gramStart"/>
      <w:r w:rsidR="00525802" w:rsidRPr="00D36AEB">
        <w:t>shall</w:t>
      </w:r>
      <w:r w:rsidRPr="00D36AEB">
        <w:t xml:space="preserve"> be defined</w:t>
      </w:r>
      <w:proofErr w:type="gramEnd"/>
      <w:r w:rsidRPr="00D36AEB">
        <w:t xml:space="preserve"> in the agreement. Work outside of defined parameters </w:t>
      </w:r>
      <w:proofErr w:type="gramStart"/>
      <w:r w:rsidR="00971CFF">
        <w:t>must</w:t>
      </w:r>
      <w:r w:rsidRPr="00D36AEB">
        <w:t xml:space="preserve"> be approved</w:t>
      </w:r>
      <w:proofErr w:type="gramEnd"/>
      <w:r w:rsidRPr="00D36AEB">
        <w:t xml:space="preserve"> in writing by appropriate </w:t>
      </w:r>
      <w:r w:rsidR="004A34E7">
        <w:t>[LEP]</w:t>
      </w:r>
      <w:r w:rsidR="004A34E7" w:rsidRPr="003E192C">
        <w:t xml:space="preserve"> </w:t>
      </w:r>
      <w:r w:rsidR="00525802" w:rsidRPr="00D36AEB">
        <w:t>management</w:t>
      </w:r>
      <w:r w:rsidRPr="00D36AEB">
        <w:t>.</w:t>
      </w:r>
    </w:p>
    <w:p w14:paraId="0AD39896" w14:textId="2B7D5BCE" w:rsidR="00D36AEB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D36AEB">
        <w:t xml:space="preserve">Service provider access </w:t>
      </w:r>
      <w:r w:rsidR="00D36AEB" w:rsidRPr="00D36AEB">
        <w:t>shall</w:t>
      </w:r>
      <w:r w:rsidRPr="00D36AEB">
        <w:t xml:space="preserve"> be uniquely identifiable and password</w:t>
      </w:r>
      <w:r w:rsidR="00D36AEB" w:rsidRPr="00D36AEB">
        <w:t>/access</w:t>
      </w:r>
      <w:r w:rsidRPr="00D36AEB">
        <w:t xml:space="preserve"> management must comply with </w:t>
      </w:r>
      <w:r w:rsidR="00971CFF">
        <w:t>all [LEP]</w:t>
      </w:r>
      <w:r w:rsidR="00D36AEB" w:rsidRPr="00D36AEB">
        <w:t xml:space="preserve"> requirements</w:t>
      </w:r>
      <w:r w:rsidRPr="00D36AEB">
        <w:t>.</w:t>
      </w:r>
    </w:p>
    <w:p w14:paraId="729171F4" w14:textId="6145F8D7" w:rsidR="00D36AEB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D36AEB">
        <w:lastRenderedPageBreak/>
        <w:t xml:space="preserve">Upon termination of service provider or at the request of </w:t>
      </w:r>
      <w:r w:rsidR="004A34E7">
        <w:t>[LEP]</w:t>
      </w:r>
      <w:r w:rsidRPr="00D36AEB">
        <w:t>, the service provider will return or destroy all information and provide written certification of that return or destruction within 24 hours.</w:t>
      </w:r>
    </w:p>
    <w:p w14:paraId="7A4FE33F" w14:textId="5DBAC5E0" w:rsidR="00D36AEB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D36AEB">
        <w:t xml:space="preserve">Upon termination of contract or at the request of </w:t>
      </w:r>
      <w:r w:rsidR="004A34E7">
        <w:t>[LEP]</w:t>
      </w:r>
      <w:r w:rsidRPr="00D36AEB">
        <w:t xml:space="preserve">, the service provider must surrender all identification badges, access cards, </w:t>
      </w:r>
      <w:r w:rsidR="00BC7BD1" w:rsidRPr="00D36AEB">
        <w:t>equipment,</w:t>
      </w:r>
      <w:r w:rsidRPr="00D36AEB">
        <w:t xml:space="preserve"> and supplies immediately.  </w:t>
      </w:r>
      <w:proofErr w:type="gramStart"/>
      <w:r w:rsidRPr="00D36AEB">
        <w:t>Equipment and/or supplies to be retained by the service provider must be documented by</w:t>
      </w:r>
      <w:r w:rsidR="00A97E22">
        <w:t xml:space="preserve"> management</w:t>
      </w:r>
      <w:proofErr w:type="gramEnd"/>
      <w:r w:rsidRPr="00D36AEB">
        <w:t>.</w:t>
      </w:r>
      <w:r w:rsidR="00D36AEB">
        <w:t xml:space="preserve"> </w:t>
      </w:r>
    </w:p>
    <w:p w14:paraId="2522C524" w14:textId="1E9BE55C" w:rsidR="00D36AEB" w:rsidRDefault="00D36AEB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D36AEB">
        <w:t>S</w:t>
      </w:r>
      <w:r w:rsidR="00914A5C" w:rsidRPr="00D36AEB">
        <w:t xml:space="preserve">ervice providers are required to comply with all </w:t>
      </w:r>
      <w:r w:rsidR="00BC7BD1">
        <w:t xml:space="preserve">[LEP] </w:t>
      </w:r>
      <w:r w:rsidR="00914A5C" w:rsidRPr="00D36AEB">
        <w:t>auditing requirements, including the auditing of the service provider’s work.</w:t>
      </w:r>
      <w:r w:rsidRPr="00D36AEB">
        <w:t xml:space="preserve"> </w:t>
      </w:r>
    </w:p>
    <w:p w14:paraId="41F1ACC7" w14:textId="76CFD7EF" w:rsidR="00D36AEB" w:rsidRDefault="009162E3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>
        <w:t>S</w:t>
      </w:r>
      <w:r w:rsidR="00914A5C" w:rsidRPr="00D36AEB">
        <w:t xml:space="preserve">ervice providers shall include explicit coverage of all relevant security requirements.  </w:t>
      </w:r>
      <w:r>
        <w:t xml:space="preserve">This </w:t>
      </w:r>
      <w:r w:rsidR="00914A5C" w:rsidRPr="00D36AEB">
        <w:t>include</w:t>
      </w:r>
      <w:r>
        <w:t>s</w:t>
      </w:r>
      <w:r w:rsidR="00914A5C" w:rsidRPr="00D36AEB">
        <w:t xml:space="preserve"> controls over the processing, accessing, communicating, hosting or managing the organization's </w:t>
      </w:r>
      <w:r w:rsidR="00525802" w:rsidRPr="00D36AEB">
        <w:t xml:space="preserve">data </w:t>
      </w:r>
      <w:r w:rsidR="00914A5C" w:rsidRPr="00D36AEB">
        <w:t>or adding or terminating services or products to existing information.</w:t>
      </w:r>
    </w:p>
    <w:p w14:paraId="6F7E18B2" w14:textId="7619C21C" w:rsidR="00D36AEB" w:rsidRPr="00D36AEB" w:rsidRDefault="009162E3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>
        <w:t xml:space="preserve">Service providers shall </w:t>
      </w:r>
      <w:r w:rsidR="00914A5C" w:rsidRPr="00D36AEB">
        <w:t xml:space="preserve">include </w:t>
      </w:r>
      <w:r>
        <w:t xml:space="preserve">explanations of </w:t>
      </w:r>
      <w:r w:rsidR="00914A5C" w:rsidRPr="00D36AEB">
        <w:t xml:space="preserve">security </w:t>
      </w:r>
      <w:r>
        <w:t xml:space="preserve">mechanisms </w:t>
      </w:r>
      <w:r w:rsidR="00914A5C" w:rsidRPr="00D36AEB">
        <w:t xml:space="preserve">(e.g., encryption, access controls, and </w:t>
      </w:r>
      <w:r w:rsidR="00525802" w:rsidRPr="00D36AEB">
        <w:t xml:space="preserve">security </w:t>
      </w:r>
      <w:r w:rsidR="00914A5C" w:rsidRPr="00D36AEB">
        <w:t>leakage prevention) and integrity controls for data exchanged to prevent improper disclosure, alteration</w:t>
      </w:r>
      <w:r w:rsidR="00BC7BD1">
        <w:t>,</w:t>
      </w:r>
      <w:r w:rsidR="00914A5C" w:rsidRPr="00D36AEB">
        <w:t xml:space="preserve"> or destruction.</w:t>
      </w:r>
      <w:r w:rsidR="00D36AEB" w:rsidRPr="00D36AEB">
        <w:t xml:space="preserve"> </w:t>
      </w:r>
    </w:p>
    <w:p w14:paraId="53864CAA" w14:textId="21F86416" w:rsidR="00D36AEB" w:rsidRDefault="009162E3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>
        <w:t>Service provider contracts</w:t>
      </w:r>
      <w:r w:rsidR="00914A5C" w:rsidRPr="00D36AEB">
        <w:t xml:space="preserve"> shall require the provider to acknowledge </w:t>
      </w:r>
      <w:r w:rsidR="00D36AEB">
        <w:t>responsibility</w:t>
      </w:r>
      <w:r w:rsidR="00914A5C" w:rsidRPr="00D36AEB">
        <w:t xml:space="preserve"> for </w:t>
      </w:r>
      <w:r w:rsidR="00D36AEB">
        <w:t>securing</w:t>
      </w:r>
      <w:r w:rsidR="00914A5C" w:rsidRPr="00D36AEB">
        <w:t xml:space="preserve"> </w:t>
      </w:r>
      <w:r w:rsidR="004A34E7">
        <w:t>[LEP]</w:t>
      </w:r>
      <w:r w:rsidR="004A34E7" w:rsidRPr="003E192C">
        <w:t xml:space="preserve"> </w:t>
      </w:r>
      <w:r w:rsidR="00914A5C" w:rsidRPr="00D36AEB">
        <w:t xml:space="preserve">sensitive information the provider possesses or otherwise stores, processes, or transmits on behalf of </w:t>
      </w:r>
      <w:r w:rsidR="00525802" w:rsidRPr="00D36AEB">
        <w:t xml:space="preserve">the </w:t>
      </w:r>
      <w:r w:rsidR="00971CFF">
        <w:t>[LEP]</w:t>
      </w:r>
      <w:r w:rsidR="00C77A45">
        <w:t>.</w:t>
      </w:r>
    </w:p>
    <w:p w14:paraId="155100E6" w14:textId="52C01C50" w:rsidR="00BC7BD1" w:rsidRDefault="00914A5C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 w:rsidRPr="00D36AEB">
        <w:t xml:space="preserve">Agreements with third party service providers shall specify that the third party service provider will notify </w:t>
      </w:r>
      <w:r w:rsidR="004A34E7">
        <w:t>[LEP]</w:t>
      </w:r>
      <w:r w:rsidR="004A34E7" w:rsidRPr="003E192C">
        <w:t xml:space="preserve"> </w:t>
      </w:r>
      <w:r w:rsidR="00A168C7">
        <w:t>within one</w:t>
      </w:r>
      <w:r w:rsidRPr="00D36AEB">
        <w:t xml:space="preserve"> (</w:t>
      </w:r>
      <w:r w:rsidR="00A168C7">
        <w:t>1) day</w:t>
      </w:r>
      <w:r w:rsidRPr="00D36AEB">
        <w:t xml:space="preserve"> of discovery of a service provider security </w:t>
      </w:r>
      <w:r w:rsidR="00D36AEB">
        <w:t>incident/</w:t>
      </w:r>
      <w:r w:rsidRPr="00D36AEB">
        <w:t xml:space="preserve">breach.  Upon such notification, </w:t>
      </w:r>
      <w:r w:rsidR="00525802" w:rsidRPr="00D36AEB">
        <w:t xml:space="preserve">the </w:t>
      </w:r>
      <w:r w:rsidR="004A34E7">
        <w:t>[LEP]</w:t>
      </w:r>
      <w:r w:rsidR="004A34E7" w:rsidRPr="003E192C">
        <w:t xml:space="preserve"> </w:t>
      </w:r>
      <w:r w:rsidRPr="00D36AEB">
        <w:t>shall have the right</w:t>
      </w:r>
      <w:r w:rsidR="00A168C7">
        <w:t xml:space="preserve"> to</w:t>
      </w:r>
      <w:r w:rsidRPr="00D36AEB">
        <w:t xml:space="preserve"> terminate the agreement with the service provider.  </w:t>
      </w:r>
      <w:r w:rsidR="009162E3">
        <w:t xml:space="preserve">Provisions within the contract shall ensure that </w:t>
      </w:r>
      <w:r w:rsidRPr="00D36AEB">
        <w:t xml:space="preserve">service provider pay for all costs incurred to remedy the breach including, if appropriate, notifying customers, and </w:t>
      </w:r>
      <w:r w:rsidR="00525802" w:rsidRPr="00D36AEB">
        <w:t xml:space="preserve">any </w:t>
      </w:r>
      <w:r w:rsidRPr="00D36AEB">
        <w:t>related expenses</w:t>
      </w:r>
      <w:r w:rsidR="00525802" w:rsidRPr="00D36AEB">
        <w:t xml:space="preserve"> or damages levied due to the incident and related disclosure.</w:t>
      </w:r>
    </w:p>
    <w:p w14:paraId="3FE1BD01" w14:textId="54F9FC4D" w:rsidR="00BC7BD1" w:rsidRDefault="00BC7BD1" w:rsidP="00C77A45">
      <w:pPr>
        <w:pStyle w:val="PolicyText2"/>
        <w:numPr>
          <w:ilvl w:val="0"/>
          <w:numId w:val="36"/>
        </w:numPr>
        <w:tabs>
          <w:tab w:val="left" w:pos="2430"/>
        </w:tabs>
      </w:pPr>
      <w:r>
        <w:t>Contracts with School Service Contract Providers (as defined by the Colorado Student Data Transparency and Security Act) must include the requirements of that law.</w:t>
      </w:r>
    </w:p>
    <w:p w14:paraId="15E3232F" w14:textId="3D8F2735" w:rsidR="009162E3" w:rsidRPr="00D36AEB" w:rsidRDefault="009162E3" w:rsidP="00C77A45">
      <w:pPr>
        <w:pStyle w:val="Heading3"/>
      </w:pPr>
      <w:r>
        <w:t>OTHER STIPULATIONS</w:t>
      </w:r>
    </w:p>
    <w:p w14:paraId="584B7271" w14:textId="12A19992" w:rsidR="00914A5C" w:rsidRDefault="00914A5C" w:rsidP="00C77A45">
      <w:pPr>
        <w:pStyle w:val="PolicyText2"/>
      </w:pPr>
      <w:r>
        <w:t xml:space="preserve">When dealing with </w:t>
      </w:r>
      <w:r w:rsidR="00525802">
        <w:t>PII</w:t>
      </w:r>
      <w:r>
        <w:t>, s</w:t>
      </w:r>
      <w:r w:rsidRPr="006E45A4">
        <w:t xml:space="preserve">ervice providers shall provide an on-line and print description of </w:t>
      </w:r>
      <w:r>
        <w:t>s</w:t>
      </w:r>
      <w:r w:rsidRPr="006E45A4">
        <w:t>ecurity and privacy directives, guidelines, po</w:t>
      </w:r>
      <w:r>
        <w:t xml:space="preserve">licies, and security safeguards that protect </w:t>
      </w:r>
      <w:r w:rsidR="00525802">
        <w:t>student PII</w:t>
      </w:r>
      <w:r>
        <w:t>.</w:t>
      </w:r>
    </w:p>
    <w:p w14:paraId="61723DC1" w14:textId="090446EF" w:rsidR="00DC3FD5" w:rsidRPr="003E192C" w:rsidRDefault="00DC3FD5" w:rsidP="00C77A45">
      <w:pPr>
        <w:pStyle w:val="PolicyText2"/>
      </w:pPr>
      <w:r>
        <w:t xml:space="preserve">No contracts </w:t>
      </w:r>
      <w:proofErr w:type="gramStart"/>
      <w:r>
        <w:t>shall be entered into</w:t>
      </w:r>
      <w:proofErr w:type="gramEnd"/>
      <w:r>
        <w:t xml:space="preserve"> by the </w:t>
      </w:r>
      <w:r w:rsidR="00971CFF">
        <w:t xml:space="preserve">[LEP] </w:t>
      </w:r>
      <w:r>
        <w:t xml:space="preserve">where the standard vendor contract template is not used and all applicable terms applied.  Any negotiations between vendor and </w:t>
      </w:r>
      <w:r w:rsidR="004A34E7">
        <w:t>[LEP]</w:t>
      </w:r>
      <w:r w:rsidR="004A34E7" w:rsidRPr="003E192C">
        <w:t xml:space="preserve"> </w:t>
      </w:r>
      <w:proofErr w:type="gramStart"/>
      <w:r>
        <w:t>must be completed</w:t>
      </w:r>
      <w:proofErr w:type="gramEnd"/>
      <w:r>
        <w:t xml:space="preserve"> through the </w:t>
      </w:r>
      <w:r w:rsidR="004A34E7">
        <w:t>[Insert Appropriate Office]</w:t>
      </w:r>
      <w:r>
        <w:t>.</w:t>
      </w:r>
    </w:p>
    <w:p w14:paraId="76B7F3BF" w14:textId="1E9ACF0A" w:rsidR="003E192C" w:rsidRPr="003E192C" w:rsidRDefault="003E192C" w:rsidP="00C77A45">
      <w:pPr>
        <w:pStyle w:val="Heading2"/>
      </w:pPr>
      <w:r w:rsidRPr="003E192C">
        <w:t>Audit Controls and Management</w:t>
      </w:r>
    </w:p>
    <w:p w14:paraId="0A0ED00A" w14:textId="77777777" w:rsidR="009272FD" w:rsidRDefault="003E192C" w:rsidP="00C77A45">
      <w:pPr>
        <w:pStyle w:val="PolicyText1"/>
      </w:pPr>
      <w:r w:rsidRPr="003E192C">
        <w:t>On-demand documented procedures and evidence of practice should be in place for this operational policy.</w:t>
      </w:r>
      <w:r w:rsidR="00DC3FD5">
        <w:t xml:space="preserve"> </w:t>
      </w:r>
      <w:r w:rsidR="009272FD">
        <w:t xml:space="preserve">Operational compliance </w:t>
      </w:r>
      <w:proofErr w:type="gramStart"/>
      <w:r w:rsidR="009272FD">
        <w:t>can be demonstrated</w:t>
      </w:r>
      <w:proofErr w:type="gramEnd"/>
      <w:r w:rsidR="009272FD">
        <w:t xml:space="preserve"> through:</w:t>
      </w:r>
    </w:p>
    <w:p w14:paraId="754FC79A" w14:textId="0421FE98" w:rsidR="003E192C" w:rsidRPr="009272FD" w:rsidRDefault="009272FD" w:rsidP="00C77A45">
      <w:pPr>
        <w:pStyle w:val="PolicyText1"/>
        <w:numPr>
          <w:ilvl w:val="0"/>
          <w:numId w:val="37"/>
        </w:numPr>
      </w:pPr>
      <w:r w:rsidRPr="009272FD">
        <w:t>On-demand review of standard agency contracts with third party providers</w:t>
      </w:r>
    </w:p>
    <w:p w14:paraId="10A95316" w14:textId="2730B070" w:rsidR="009272FD" w:rsidRDefault="009272FD" w:rsidP="00C77A45">
      <w:pPr>
        <w:pStyle w:val="PolicyText1"/>
        <w:numPr>
          <w:ilvl w:val="0"/>
          <w:numId w:val="37"/>
        </w:numPr>
      </w:pPr>
      <w:r>
        <w:lastRenderedPageBreak/>
        <w:t>Review of departmental operational procedures for compliance</w:t>
      </w:r>
    </w:p>
    <w:p w14:paraId="3CEE6BEA" w14:textId="5E7D805B" w:rsidR="009162E3" w:rsidRDefault="009162E3" w:rsidP="00C77A45">
      <w:pPr>
        <w:pStyle w:val="PolicyText1"/>
        <w:numPr>
          <w:ilvl w:val="0"/>
          <w:numId w:val="37"/>
        </w:numPr>
      </w:pPr>
      <w:r>
        <w:t>Random review of current</w:t>
      </w:r>
      <w:r w:rsidR="00971CFF">
        <w:t xml:space="preserve"> contracts for terms compliance</w:t>
      </w:r>
    </w:p>
    <w:p w14:paraId="4AE53B73" w14:textId="731C4609" w:rsidR="003E192C" w:rsidRPr="003E192C" w:rsidRDefault="003E192C" w:rsidP="00C77A45">
      <w:pPr>
        <w:pStyle w:val="Heading2"/>
      </w:pPr>
      <w:r w:rsidRPr="003E192C">
        <w:t xml:space="preserve">Enforcement  </w:t>
      </w:r>
      <w:bookmarkStart w:id="1" w:name="_GoBack"/>
      <w:bookmarkEnd w:id="1"/>
    </w:p>
    <w:p w14:paraId="5726770E" w14:textId="77777777" w:rsidR="003E192C" w:rsidRPr="003E192C" w:rsidRDefault="003E192C" w:rsidP="00C77A45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79B22A7A" w14:textId="65A0F0D3" w:rsidR="003E192C" w:rsidRPr="003E192C" w:rsidRDefault="003E192C" w:rsidP="00C77A45">
      <w:pPr>
        <w:pStyle w:val="Heading2"/>
      </w:pPr>
      <w:r w:rsidRPr="003E192C">
        <w:t>Distribution</w:t>
      </w:r>
    </w:p>
    <w:p w14:paraId="431474B8" w14:textId="7381C47E" w:rsidR="003E192C" w:rsidRPr="003E192C" w:rsidRDefault="003E192C" w:rsidP="00C77A45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4A34E7">
        <w:t>[LEP]</w:t>
      </w:r>
      <w:r w:rsidR="004A34E7" w:rsidRPr="003E192C">
        <w:t xml:space="preserve"> </w:t>
      </w:r>
      <w:r w:rsidRPr="003E192C">
        <w:t xml:space="preserve">staff </w:t>
      </w:r>
      <w:r w:rsidR="009272FD">
        <w:t xml:space="preserve">and management responsible for negotiating and managing vendor contracts within the </w:t>
      </w:r>
      <w:r w:rsidR="004A34E7">
        <w:t>[LEP]</w:t>
      </w:r>
      <w:r w:rsidR="009272FD">
        <w:t>.</w:t>
      </w:r>
    </w:p>
    <w:p w14:paraId="02CE8DFD" w14:textId="77777777" w:rsidR="003E192C" w:rsidRPr="003E192C" w:rsidRDefault="003E192C" w:rsidP="00C77A45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7ED9FED1" w14:textId="77777777" w:rsidTr="009C68B5">
        <w:tc>
          <w:tcPr>
            <w:tcW w:w="1137" w:type="dxa"/>
            <w:shd w:val="clear" w:color="auto" w:fill="C0C0C0"/>
          </w:tcPr>
          <w:p w14:paraId="4929DFE7" w14:textId="77777777" w:rsidR="003E192C" w:rsidRPr="003E192C" w:rsidRDefault="003E192C" w:rsidP="00C77A45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667F7536" w14:textId="77777777" w:rsidR="003E192C" w:rsidRPr="003E192C" w:rsidRDefault="003E192C" w:rsidP="00C77A45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42C096B9" w14:textId="77777777" w:rsidR="003E192C" w:rsidRPr="003E192C" w:rsidRDefault="003E192C" w:rsidP="00C77A45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71630594" w14:textId="77777777" w:rsidR="003E192C" w:rsidRPr="003E192C" w:rsidRDefault="003E192C" w:rsidP="00C77A45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221BC25C" w14:textId="77777777" w:rsidTr="009C68B5">
        <w:tc>
          <w:tcPr>
            <w:tcW w:w="1137" w:type="dxa"/>
            <w:shd w:val="clear" w:color="auto" w:fill="auto"/>
          </w:tcPr>
          <w:p w14:paraId="0C11821A" w14:textId="77777777" w:rsidR="003E192C" w:rsidRPr="003E192C" w:rsidRDefault="003E192C" w:rsidP="00C77A45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16B8E1C2" w14:textId="77777777" w:rsidR="003E192C" w:rsidRPr="003E192C" w:rsidRDefault="009272FD" w:rsidP="00C77A45">
            <w:pPr>
              <w:pStyle w:val="PolicyText1"/>
            </w:pPr>
            <w:r>
              <w:t>11/14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14:paraId="4DB99FCD" w14:textId="77777777" w:rsidR="003E192C" w:rsidRPr="003E192C" w:rsidRDefault="003E192C" w:rsidP="00C77A45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65344A85" w14:textId="77777777" w:rsidR="003E192C" w:rsidRPr="003E192C" w:rsidRDefault="003E192C" w:rsidP="00C77A45">
            <w:pPr>
              <w:pStyle w:val="PolicyText1"/>
            </w:pPr>
          </w:p>
        </w:tc>
      </w:tr>
      <w:tr w:rsidR="003E192C" w:rsidRPr="003E192C" w14:paraId="6A2446D0" w14:textId="77777777" w:rsidTr="009C68B5">
        <w:tc>
          <w:tcPr>
            <w:tcW w:w="1137" w:type="dxa"/>
            <w:shd w:val="clear" w:color="auto" w:fill="auto"/>
          </w:tcPr>
          <w:p w14:paraId="1DFC086F" w14:textId="36726354" w:rsidR="003E192C" w:rsidRPr="003E192C" w:rsidRDefault="003E192C" w:rsidP="00C77A45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68DC48F6" w14:textId="0129AA2E" w:rsidR="003E192C" w:rsidRPr="003E192C" w:rsidRDefault="003E192C" w:rsidP="00C77A45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65E7FFDF" w14:textId="51DC07F2" w:rsidR="003E192C" w:rsidRPr="003E192C" w:rsidRDefault="003E192C" w:rsidP="00C77A45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10500D8B" w14:textId="77777777" w:rsidR="003E192C" w:rsidRPr="003E192C" w:rsidRDefault="003E192C" w:rsidP="00C77A45">
            <w:pPr>
              <w:pStyle w:val="PolicyText1"/>
            </w:pPr>
          </w:p>
        </w:tc>
      </w:tr>
      <w:tr w:rsidR="003E192C" w:rsidRPr="003E192C" w14:paraId="32095A4D" w14:textId="77777777" w:rsidTr="009C68B5">
        <w:tc>
          <w:tcPr>
            <w:tcW w:w="1137" w:type="dxa"/>
            <w:shd w:val="clear" w:color="auto" w:fill="auto"/>
          </w:tcPr>
          <w:p w14:paraId="0CBD980B" w14:textId="77777777" w:rsidR="003E192C" w:rsidRPr="003E192C" w:rsidRDefault="003E192C" w:rsidP="00C77A45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607EA8D9" w14:textId="77777777" w:rsidR="003E192C" w:rsidRPr="003E192C" w:rsidRDefault="003E192C" w:rsidP="00C77A45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76207847" w14:textId="77777777" w:rsidR="003E192C" w:rsidRPr="003E192C" w:rsidRDefault="003E192C" w:rsidP="00C77A45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56B327C3" w14:textId="77777777" w:rsidR="003E192C" w:rsidRPr="003E192C" w:rsidRDefault="003E192C" w:rsidP="00C77A45">
            <w:pPr>
              <w:pStyle w:val="PolicyText1"/>
            </w:pPr>
          </w:p>
        </w:tc>
      </w:tr>
    </w:tbl>
    <w:p w14:paraId="51E6171C" w14:textId="77777777" w:rsidR="003E192C" w:rsidRPr="003E192C" w:rsidRDefault="003E192C" w:rsidP="003E192C">
      <w:pPr>
        <w:rPr>
          <w:rFonts w:ascii="Arial" w:hAnsi="Arial" w:cs="Arial"/>
        </w:rPr>
      </w:pPr>
    </w:p>
    <w:sectPr w:rsidR="003E192C" w:rsidRPr="003E192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02T14:45:00Z" w:initials="SJ">
    <w:p w14:paraId="7492A517" w14:textId="0075C807" w:rsidR="009F26F3" w:rsidRDefault="009F26F3">
      <w:pPr>
        <w:pStyle w:val="CommentText"/>
      </w:pPr>
      <w:r>
        <w:rPr>
          <w:rStyle w:val="CommentReference"/>
        </w:rPr>
        <w:annotationRef/>
      </w:r>
      <w:r>
        <w:t>Guidance Note:  Since this policy is related to your vendor contracts, we strongly advise you to have your legal review this policy prior to finalizing.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92A5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14124" w14:textId="77777777" w:rsidR="001C1B6D" w:rsidRDefault="001C1B6D" w:rsidP="00333141">
      <w:pPr>
        <w:spacing w:after="0" w:line="240" w:lineRule="auto"/>
      </w:pPr>
      <w:r>
        <w:separator/>
      </w:r>
    </w:p>
  </w:endnote>
  <w:endnote w:type="continuationSeparator" w:id="0">
    <w:p w14:paraId="3D10BE61" w14:textId="77777777" w:rsidR="001C1B6D" w:rsidRDefault="001C1B6D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22885" w14:textId="1E35E3D0" w:rsidR="007A4F2B" w:rsidRPr="00333141" w:rsidRDefault="00C77A45" w:rsidP="00333141">
    <w:pPr>
      <w:pStyle w:val="Footer"/>
    </w:pPr>
    <w:r>
      <w:tab/>
    </w:r>
    <w:r>
      <w:tab/>
      <w:t xml:space="preserve">Sample </w:t>
    </w:r>
    <w:r w:rsidR="007A4F2B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BC86D" w14:textId="77777777" w:rsidR="001C1B6D" w:rsidRDefault="001C1B6D" w:rsidP="00333141">
      <w:pPr>
        <w:spacing w:after="0" w:line="240" w:lineRule="auto"/>
      </w:pPr>
      <w:r>
        <w:separator/>
      </w:r>
    </w:p>
  </w:footnote>
  <w:footnote w:type="continuationSeparator" w:id="0">
    <w:p w14:paraId="6BBC953A" w14:textId="77777777" w:rsidR="001C1B6D" w:rsidRDefault="001C1B6D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3A23" w14:textId="584A616B" w:rsidR="00C77A45" w:rsidRDefault="001C1B6D">
    <w:pPr>
      <w:pStyle w:val="Header"/>
    </w:pPr>
    <w:r>
      <w:rPr>
        <w:noProof/>
      </w:rPr>
      <w:pict w14:anchorId="38DB83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86773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7A4F2B" w:rsidRPr="0025191F" w14:paraId="66C1471A" w14:textId="77777777" w:rsidTr="00971CFF">
      <w:tc>
        <w:tcPr>
          <w:tcW w:w="4701" w:type="pct"/>
        </w:tcPr>
        <w:p w14:paraId="4557A02F" w14:textId="1F2BC08A" w:rsidR="007A4F2B" w:rsidRPr="0030192B" w:rsidRDefault="001C1B6D" w:rsidP="000E600A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168C7">
                <w:t xml:space="preserve">Third Party </w:t>
              </w:r>
              <w:r w:rsidR="000E600A">
                <w:t>Contract</w:t>
              </w:r>
              <w:r w:rsidR="00A168C7">
                <w:t xml:space="preserve"> Policy</w:t>
              </w:r>
            </w:sdtContent>
          </w:sdt>
        </w:p>
      </w:tc>
      <w:tc>
        <w:tcPr>
          <w:tcW w:w="299" w:type="pct"/>
        </w:tcPr>
        <w:p w14:paraId="4DA8FB66" w14:textId="73D78E8C" w:rsidR="007A4F2B" w:rsidRPr="0030192B" w:rsidRDefault="007A4F2B" w:rsidP="009C68B5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971CFF">
            <w:rPr>
              <w:b/>
              <w:noProof/>
              <w:color w:val="595959" w:themeColor="text1" w:themeTint="A6"/>
              <w:szCs w:val="20"/>
            </w:rPr>
            <w:t>4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48535A6B" w14:textId="7C08F98A" w:rsidR="007A4F2B" w:rsidRDefault="001C1B6D">
    <w:pPr>
      <w:pStyle w:val="Header"/>
    </w:pPr>
    <w:r>
      <w:rPr>
        <w:noProof/>
      </w:rPr>
      <w:pict w14:anchorId="2FC8A2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86774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313EA" w14:textId="708F701B" w:rsidR="00C77A45" w:rsidRDefault="001C1B6D">
    <w:pPr>
      <w:pStyle w:val="Header"/>
    </w:pPr>
    <w:r>
      <w:rPr>
        <w:noProof/>
      </w:rPr>
      <w:pict w14:anchorId="04CAB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86772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311D"/>
    <w:multiLevelType w:val="hybridMultilevel"/>
    <w:tmpl w:val="7EC4A5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D12E4"/>
    <w:multiLevelType w:val="hybridMultilevel"/>
    <w:tmpl w:val="B3DA2F0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BC81F47"/>
    <w:multiLevelType w:val="multilevel"/>
    <w:tmpl w:val="405A48B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509B8"/>
    <w:multiLevelType w:val="hybridMultilevel"/>
    <w:tmpl w:val="004E23D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D62688"/>
    <w:multiLevelType w:val="hybridMultilevel"/>
    <w:tmpl w:val="C2C21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839D1"/>
    <w:multiLevelType w:val="hybridMultilevel"/>
    <w:tmpl w:val="9E16638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02F7"/>
    <w:multiLevelType w:val="hybridMultilevel"/>
    <w:tmpl w:val="E586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849"/>
    <w:multiLevelType w:val="hybridMultilevel"/>
    <w:tmpl w:val="AE38129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F33D3"/>
    <w:multiLevelType w:val="multilevel"/>
    <w:tmpl w:val="C02E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6EE18E4"/>
    <w:multiLevelType w:val="hybridMultilevel"/>
    <w:tmpl w:val="0CCC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7A29C0"/>
    <w:multiLevelType w:val="hybridMultilevel"/>
    <w:tmpl w:val="E176FC36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87815"/>
    <w:multiLevelType w:val="hybridMultilevel"/>
    <w:tmpl w:val="33CA4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5"/>
  </w:num>
  <w:num w:numId="4">
    <w:abstractNumId w:val="14"/>
  </w:num>
  <w:num w:numId="5">
    <w:abstractNumId w:val="15"/>
  </w:num>
  <w:num w:numId="6">
    <w:abstractNumId w:val="2"/>
  </w:num>
  <w:num w:numId="7">
    <w:abstractNumId w:val="1"/>
  </w:num>
  <w:num w:numId="8">
    <w:abstractNumId w:val="20"/>
  </w:num>
  <w:num w:numId="9">
    <w:abstractNumId w:val="17"/>
  </w:num>
  <w:num w:numId="10">
    <w:abstractNumId w:val="13"/>
  </w:num>
  <w:num w:numId="11">
    <w:abstractNumId w:val="22"/>
  </w:num>
  <w:num w:numId="12">
    <w:abstractNumId w:val="37"/>
  </w:num>
  <w:num w:numId="13">
    <w:abstractNumId w:val="31"/>
  </w:num>
  <w:num w:numId="14">
    <w:abstractNumId w:val="11"/>
  </w:num>
  <w:num w:numId="15">
    <w:abstractNumId w:val="21"/>
  </w:num>
  <w:num w:numId="16">
    <w:abstractNumId w:val="25"/>
  </w:num>
  <w:num w:numId="17">
    <w:abstractNumId w:val="35"/>
  </w:num>
  <w:num w:numId="18">
    <w:abstractNumId w:val="16"/>
  </w:num>
  <w:num w:numId="19">
    <w:abstractNumId w:val="4"/>
  </w:num>
  <w:num w:numId="20">
    <w:abstractNumId w:val="9"/>
  </w:num>
  <w:num w:numId="21">
    <w:abstractNumId w:val="24"/>
  </w:num>
  <w:num w:numId="22">
    <w:abstractNumId w:val="27"/>
  </w:num>
  <w:num w:numId="23">
    <w:abstractNumId w:val="26"/>
  </w:num>
  <w:num w:numId="24">
    <w:abstractNumId w:val="28"/>
  </w:num>
  <w:num w:numId="25">
    <w:abstractNumId w:val="6"/>
  </w:num>
  <w:num w:numId="26">
    <w:abstractNumId w:val="23"/>
  </w:num>
  <w:num w:numId="27">
    <w:abstractNumId w:val="12"/>
  </w:num>
  <w:num w:numId="28">
    <w:abstractNumId w:val="33"/>
  </w:num>
  <w:num w:numId="29">
    <w:abstractNumId w:val="34"/>
  </w:num>
  <w:num w:numId="30">
    <w:abstractNumId w:val="36"/>
  </w:num>
  <w:num w:numId="31">
    <w:abstractNumId w:val="32"/>
  </w:num>
  <w:num w:numId="32">
    <w:abstractNumId w:val="0"/>
  </w:num>
  <w:num w:numId="33">
    <w:abstractNumId w:val="10"/>
  </w:num>
  <w:num w:numId="34">
    <w:abstractNumId w:val="18"/>
  </w:num>
  <w:num w:numId="35">
    <w:abstractNumId w:val="7"/>
  </w:num>
  <w:num w:numId="36">
    <w:abstractNumId w:val="30"/>
  </w:num>
  <w:num w:numId="37">
    <w:abstractNumId w:val="19"/>
  </w:num>
  <w:num w:numId="3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14C85"/>
    <w:rsid w:val="000234D7"/>
    <w:rsid w:val="00062AD2"/>
    <w:rsid w:val="000E600A"/>
    <w:rsid w:val="001058C1"/>
    <w:rsid w:val="00140385"/>
    <w:rsid w:val="001C1B6D"/>
    <w:rsid w:val="002C603A"/>
    <w:rsid w:val="00333141"/>
    <w:rsid w:val="00347EBF"/>
    <w:rsid w:val="003E192C"/>
    <w:rsid w:val="00454458"/>
    <w:rsid w:val="004A34E7"/>
    <w:rsid w:val="00525802"/>
    <w:rsid w:val="0056169D"/>
    <w:rsid w:val="007A4F2B"/>
    <w:rsid w:val="007D7F54"/>
    <w:rsid w:val="00874162"/>
    <w:rsid w:val="00914A5C"/>
    <w:rsid w:val="009162E3"/>
    <w:rsid w:val="009272FD"/>
    <w:rsid w:val="00971CFF"/>
    <w:rsid w:val="0099197C"/>
    <w:rsid w:val="009C68B5"/>
    <w:rsid w:val="009F26F3"/>
    <w:rsid w:val="00A168C7"/>
    <w:rsid w:val="00A755FE"/>
    <w:rsid w:val="00A97E22"/>
    <w:rsid w:val="00AF3C6F"/>
    <w:rsid w:val="00B15387"/>
    <w:rsid w:val="00B50C2A"/>
    <w:rsid w:val="00B81ECA"/>
    <w:rsid w:val="00BC7BD1"/>
    <w:rsid w:val="00C77A45"/>
    <w:rsid w:val="00CB4FC9"/>
    <w:rsid w:val="00D36AEB"/>
    <w:rsid w:val="00D9791D"/>
    <w:rsid w:val="00DC3FD5"/>
    <w:rsid w:val="00DD6E5A"/>
    <w:rsid w:val="00E91DD9"/>
    <w:rsid w:val="00E934A3"/>
    <w:rsid w:val="00F72E40"/>
    <w:rsid w:val="00F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B30460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F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1CFF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971CFF"/>
    <w:pPr>
      <w:keepNext/>
      <w:keepLines/>
      <w:numPr>
        <w:numId w:val="38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971CFF"/>
    <w:pPr>
      <w:keepNext/>
      <w:keepLines/>
      <w:numPr>
        <w:numId w:val="21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971CF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1CFF"/>
  </w:style>
  <w:style w:type="paragraph" w:styleId="Header">
    <w:name w:val="header"/>
    <w:basedOn w:val="Normal"/>
    <w:link w:val="HeaderChar"/>
    <w:uiPriority w:val="99"/>
    <w:unhideWhenUsed/>
    <w:rsid w:val="00971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CFF"/>
  </w:style>
  <w:style w:type="paragraph" w:styleId="Footer">
    <w:name w:val="footer"/>
    <w:basedOn w:val="Normal"/>
    <w:link w:val="FooterChar"/>
    <w:uiPriority w:val="99"/>
    <w:unhideWhenUsed/>
    <w:rsid w:val="00971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CFF"/>
  </w:style>
  <w:style w:type="paragraph" w:styleId="BalloonText">
    <w:name w:val="Balloon Text"/>
    <w:basedOn w:val="Normal"/>
    <w:link w:val="BalloonTextChar"/>
    <w:uiPriority w:val="99"/>
    <w:semiHidden/>
    <w:unhideWhenUsed/>
    <w:rsid w:val="0097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1CF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71CFF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971CFF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971CFF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971C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6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E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E5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71CFF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971CFF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971CFF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106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Party Contract Policy</vt:lpstr>
    </vt:vector>
  </TitlesOfParts>
  <Company>Hewlett-Packard Company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Contract Policy</dc:title>
  <dc:creator>Pat Bush</dc:creator>
  <cp:lastModifiedBy>Stacey, Jill</cp:lastModifiedBy>
  <cp:revision>8</cp:revision>
  <dcterms:created xsi:type="dcterms:W3CDTF">2017-02-02T17:12:00Z</dcterms:created>
  <dcterms:modified xsi:type="dcterms:W3CDTF">2017-02-28T17:40:00Z</dcterms:modified>
</cp:coreProperties>
</file>