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03F" w:rsidRDefault="008F103F" w:rsidP="00F7720E">
      <w:pPr>
        <w:pStyle w:val="Heading1"/>
        <w:rPr>
          <w:rFonts w:ascii="Museo 500" w:hAnsi="Museo 500"/>
          <w:sz w:val="36"/>
        </w:rPr>
      </w:pPr>
      <w:r>
        <w:t>Software and Firmware Patch Management Policy</w:t>
      </w:r>
    </w:p>
    <w:p w:rsidR="003E192C" w:rsidRPr="003E192C" w:rsidRDefault="003E192C" w:rsidP="00F7720E">
      <w:pPr>
        <w:pStyle w:val="Heading2"/>
      </w:pPr>
      <w:r w:rsidRPr="003E192C">
        <w:t>Overview</w:t>
      </w:r>
    </w:p>
    <w:p w:rsidR="003E192C" w:rsidRPr="003E192C" w:rsidRDefault="006207DA" w:rsidP="00F7720E">
      <w:pPr>
        <w:pStyle w:val="PolicyText1"/>
      </w:pPr>
      <w:r w:rsidRPr="00EF3967">
        <w:t xml:space="preserve">Software is critical to the delivery of services to </w:t>
      </w:r>
      <w:r w:rsidR="008F103F">
        <w:t xml:space="preserve">[LEP] </w:t>
      </w:r>
      <w:r>
        <w:t>customers</w:t>
      </w:r>
      <w:r w:rsidRPr="00EF3967">
        <w:t xml:space="preserve">, </w:t>
      </w:r>
      <w:r>
        <w:t>s</w:t>
      </w:r>
      <w:r w:rsidRPr="00EF3967">
        <w:t>taff, and partners.</w:t>
      </w:r>
      <w:r>
        <w:t xml:space="preserve"> Software patching provides a mechanism to regularly update features and protect software with current enhancements and bug fixes.</w:t>
      </w:r>
      <w:r w:rsidRPr="006207DA">
        <w:t xml:space="preserve"> </w:t>
      </w:r>
      <w:r w:rsidRPr="00EF3967">
        <w:t xml:space="preserve">This policy </w:t>
      </w:r>
      <w:proofErr w:type="gramStart"/>
      <w:r>
        <w:t>is designed</w:t>
      </w:r>
      <w:proofErr w:type="gramEnd"/>
      <w:r>
        <w:t xml:space="preserve"> to protect </w:t>
      </w:r>
      <w:r w:rsidR="008F103F">
        <w:t xml:space="preserve">[LEP] </w:t>
      </w:r>
      <w:r>
        <w:t xml:space="preserve">users and </w:t>
      </w:r>
      <w:r w:rsidRPr="00EF3967">
        <w:t xml:space="preserve">assets </w:t>
      </w:r>
      <w:r>
        <w:t xml:space="preserve">from potential functional, security, </w:t>
      </w:r>
      <w:r w:rsidRPr="00EF3967">
        <w:t xml:space="preserve">and </w:t>
      </w:r>
      <w:r>
        <w:t xml:space="preserve">malware breaches and </w:t>
      </w:r>
      <w:r w:rsidRPr="00EF3967">
        <w:t xml:space="preserve">helps ensure business </w:t>
      </w:r>
      <w:r>
        <w:t xml:space="preserve">continuity and </w:t>
      </w:r>
      <w:r w:rsidRPr="00EF3967">
        <w:t>operations</w:t>
      </w:r>
      <w:r>
        <w:t xml:space="preserve"> across the enterprise</w:t>
      </w:r>
      <w:r w:rsidR="008F103F">
        <w:t>.</w:t>
      </w:r>
    </w:p>
    <w:p w:rsidR="003E192C" w:rsidRPr="003E192C" w:rsidRDefault="003E192C" w:rsidP="00F7720E">
      <w:pPr>
        <w:pStyle w:val="Heading2"/>
      </w:pPr>
      <w:r w:rsidRPr="003E192C">
        <w:t>Purpose</w:t>
      </w:r>
    </w:p>
    <w:p w:rsidR="003E192C" w:rsidRPr="003E192C" w:rsidRDefault="006207DA" w:rsidP="00F7720E">
      <w:pPr>
        <w:pStyle w:val="PolicyText1"/>
      </w:pPr>
      <w:r>
        <w:t xml:space="preserve">Regularly applied </w:t>
      </w:r>
      <w:r w:rsidRPr="00EF3967">
        <w:t>vendor</w:t>
      </w:r>
      <w:r>
        <w:t xml:space="preserve"> and internal firmware and software updates/</w:t>
      </w:r>
      <w:r w:rsidRPr="00EF3967">
        <w:t xml:space="preserve">patches </w:t>
      </w:r>
      <w:r>
        <w:t xml:space="preserve">help to </w:t>
      </w:r>
      <w:r w:rsidRPr="00EF3967">
        <w:t xml:space="preserve">protect </w:t>
      </w:r>
      <w:r w:rsidR="008F103F">
        <w:t xml:space="preserve">[LEP] </w:t>
      </w:r>
      <w:r>
        <w:t xml:space="preserve">software, </w:t>
      </w:r>
      <w:r w:rsidR="00B50B31" w:rsidRPr="00EF3967">
        <w:t>data,</w:t>
      </w:r>
      <w:r w:rsidRPr="00EF3967">
        <w:t xml:space="preserve"> and systems.  </w:t>
      </w:r>
      <w:r>
        <w:t xml:space="preserve">This policy </w:t>
      </w:r>
      <w:r w:rsidRPr="00EF3967">
        <w:t xml:space="preserve">applies to all electronic devices connected to the network including servers, workstations, firewalls, network </w:t>
      </w:r>
      <w:proofErr w:type="gramStart"/>
      <w:r w:rsidRPr="00EF3967">
        <w:t>switches</w:t>
      </w:r>
      <w:proofErr w:type="gramEnd"/>
      <w:r w:rsidRPr="00EF3967">
        <w:t xml:space="preserve"> and routers, mobile devices, </w:t>
      </w:r>
      <w:r>
        <w:t>s</w:t>
      </w:r>
      <w:r w:rsidRPr="00EF3967">
        <w:t xml:space="preserve">martphones, </w:t>
      </w:r>
      <w:r>
        <w:t>building control and security systems</w:t>
      </w:r>
      <w:r w:rsidR="00EF3967" w:rsidRPr="00EF3967">
        <w:t>.</w:t>
      </w:r>
    </w:p>
    <w:p w:rsidR="003E192C" w:rsidRPr="003E192C" w:rsidRDefault="003E192C" w:rsidP="00F7720E">
      <w:pPr>
        <w:pStyle w:val="Heading2"/>
      </w:pPr>
      <w:r w:rsidRPr="003E192C">
        <w:t>Scope</w:t>
      </w:r>
    </w:p>
    <w:p w:rsidR="003E192C" w:rsidRPr="003E192C" w:rsidRDefault="003E192C" w:rsidP="00F7720E">
      <w:pPr>
        <w:pStyle w:val="PolicyText1"/>
      </w:pPr>
      <w:r w:rsidRPr="003E192C">
        <w:t xml:space="preserve">This policy applies to all </w:t>
      </w:r>
      <w:r w:rsidR="008F103F">
        <w:t xml:space="preserve">[LEP] </w:t>
      </w:r>
      <w:r w:rsidR="00B50B31">
        <w:t>staff</w:t>
      </w:r>
      <w:r w:rsidRPr="003E192C">
        <w:t xml:space="preserve"> that </w:t>
      </w:r>
      <w:proofErr w:type="gramStart"/>
      <w:r w:rsidRPr="003E192C">
        <w:t>create</w:t>
      </w:r>
      <w:proofErr w:type="gramEnd"/>
      <w:r w:rsidRPr="003E192C">
        <w:t xml:space="preserve">, </w:t>
      </w:r>
      <w:r w:rsidR="00EF3967">
        <w:t xml:space="preserve">manage, </w:t>
      </w:r>
      <w:r w:rsidRPr="003E192C">
        <w:t>deploy, or support application and system software</w:t>
      </w:r>
      <w:r w:rsidR="00EF3967">
        <w:t xml:space="preserve"> or devices within the </w:t>
      </w:r>
      <w:r w:rsidR="008F103F">
        <w:t>[LEP]</w:t>
      </w:r>
      <w:r w:rsidRPr="003E192C">
        <w:t>.</w:t>
      </w:r>
      <w:r w:rsidR="00EF3967">
        <w:t xml:space="preserve">  It covers </w:t>
      </w:r>
      <w:r w:rsidR="008F103F">
        <w:t>[LEP]</w:t>
      </w:r>
      <w:r w:rsidR="00C11775">
        <w:t xml:space="preserve">-wide </w:t>
      </w:r>
      <w:r w:rsidR="00EF3967">
        <w:t xml:space="preserve">firmware, system, application, and utility software patching procedures.  </w:t>
      </w:r>
    </w:p>
    <w:p w:rsidR="003E192C" w:rsidRDefault="00C11775" w:rsidP="00F7720E">
      <w:pPr>
        <w:pStyle w:val="Heading2"/>
      </w:pPr>
      <w:r>
        <w:t>Policy</w:t>
      </w:r>
    </w:p>
    <w:p w:rsidR="006A3E6F" w:rsidRDefault="00C11775" w:rsidP="00F7720E">
      <w:pPr>
        <w:pStyle w:val="PolicyText1"/>
      </w:pPr>
      <w:r w:rsidRPr="00927BAA">
        <w:t xml:space="preserve">All </w:t>
      </w:r>
      <w:r w:rsidR="00236F8E" w:rsidRPr="00927BAA">
        <w:t>hardware and software s</w:t>
      </w:r>
      <w:r w:rsidRPr="00927BAA">
        <w:t xml:space="preserve">ystem components </w:t>
      </w:r>
      <w:proofErr w:type="gramStart"/>
      <w:r w:rsidRPr="00927BAA">
        <w:t>shall be protected</w:t>
      </w:r>
      <w:proofErr w:type="gramEnd"/>
      <w:r w:rsidRPr="00927BAA">
        <w:t xml:space="preserve"> from known vulnerabilities by </w:t>
      </w:r>
      <w:r w:rsidR="00236F8E" w:rsidRPr="00927BAA">
        <w:t xml:space="preserve">managing </w:t>
      </w:r>
      <w:r w:rsidR="00927BAA" w:rsidRPr="00927BAA">
        <w:t xml:space="preserve">and applying </w:t>
      </w:r>
      <w:r w:rsidR="00236F8E" w:rsidRPr="00927BAA">
        <w:t>regular procedure</w:t>
      </w:r>
      <w:r w:rsidR="00927BAA" w:rsidRPr="00927BAA">
        <w:t>s</w:t>
      </w:r>
      <w:r w:rsidR="00236F8E" w:rsidRPr="00927BAA">
        <w:t xml:space="preserve"> for </w:t>
      </w:r>
      <w:r w:rsidRPr="00927BAA">
        <w:t xml:space="preserve">installing applicable </w:t>
      </w:r>
      <w:r w:rsidR="00927BAA" w:rsidRPr="00927BAA">
        <w:t xml:space="preserve">system and application </w:t>
      </w:r>
      <w:r w:rsidRPr="00927BAA">
        <w:t xml:space="preserve">security patches.  </w:t>
      </w:r>
    </w:p>
    <w:p w:rsidR="00C11775" w:rsidRPr="00927BAA" w:rsidRDefault="00C11775" w:rsidP="00F7720E">
      <w:pPr>
        <w:pStyle w:val="PolicyText1"/>
      </w:pPr>
      <w:r w:rsidRPr="00927BAA">
        <w:t xml:space="preserve">System components and devices attached to the </w:t>
      </w:r>
      <w:r w:rsidR="008F103F">
        <w:t xml:space="preserve">[LEP] </w:t>
      </w:r>
      <w:r w:rsidR="00236F8E" w:rsidRPr="00927BAA">
        <w:t xml:space="preserve">network </w:t>
      </w:r>
      <w:r w:rsidRPr="00927BAA">
        <w:t xml:space="preserve">must be regularly maintained including the application of critical security </w:t>
      </w:r>
      <w:r w:rsidR="00927BAA" w:rsidRPr="00927BAA">
        <w:t xml:space="preserve">and functional </w:t>
      </w:r>
      <w:r w:rsidRPr="00927BAA">
        <w:t xml:space="preserve">patches within </w:t>
      </w:r>
      <w:r w:rsidR="00236F8E" w:rsidRPr="00927BAA">
        <w:t xml:space="preserve">a reasonable timeframe (no more than 45 days) allowing for testing and deployment </w:t>
      </w:r>
      <w:r w:rsidRPr="00927BAA">
        <w:t xml:space="preserve">after release by the vendor.  Other patches designated as </w:t>
      </w:r>
      <w:r w:rsidR="00236F8E" w:rsidRPr="00927BAA">
        <w:t>non-</w:t>
      </w:r>
      <w:r w:rsidRPr="00927BAA">
        <w:t xml:space="preserve">critical by the vendor </w:t>
      </w:r>
      <w:r w:rsidR="00236F8E" w:rsidRPr="00927BAA">
        <w:t xml:space="preserve">or </w:t>
      </w:r>
      <w:r w:rsidR="008F103F">
        <w:t xml:space="preserve">[LEP] </w:t>
      </w:r>
      <w:r w:rsidR="00236F8E" w:rsidRPr="00927BAA">
        <w:t xml:space="preserve">management </w:t>
      </w:r>
      <w:proofErr w:type="gramStart"/>
      <w:r w:rsidRPr="00927BAA">
        <w:t>must be applied</w:t>
      </w:r>
      <w:proofErr w:type="gramEnd"/>
      <w:r w:rsidRPr="00927BAA">
        <w:t xml:space="preserve"> on a </w:t>
      </w:r>
      <w:r w:rsidR="00236F8E" w:rsidRPr="00927BAA">
        <w:t xml:space="preserve">regular and </w:t>
      </w:r>
      <w:r w:rsidRPr="00927BAA">
        <w:t xml:space="preserve">normal maintenance schedule </w:t>
      </w:r>
      <w:r w:rsidR="00927BAA" w:rsidRPr="00927BAA">
        <w:t xml:space="preserve">as defined by </w:t>
      </w:r>
      <w:r w:rsidR="008F103F">
        <w:t xml:space="preserve">[LEP] </w:t>
      </w:r>
      <w:r w:rsidR="00927BAA" w:rsidRPr="00927BAA">
        <w:t>information systems personnel</w:t>
      </w:r>
      <w:r w:rsidRPr="00927BAA">
        <w:t xml:space="preserve">. </w:t>
      </w:r>
      <w:r w:rsidR="00236F8E" w:rsidRPr="00927BAA">
        <w:t xml:space="preserve"> </w:t>
      </w:r>
    </w:p>
    <w:p w:rsidR="00C11775" w:rsidRPr="00927BAA" w:rsidRDefault="00C11775" w:rsidP="00F7720E">
      <w:pPr>
        <w:pStyle w:val="PolicyText1"/>
      </w:pPr>
      <w:r w:rsidRPr="00927BAA">
        <w:t>Many vendors have automated patching procedure</w:t>
      </w:r>
      <w:r w:rsidR="00236F8E" w:rsidRPr="00927BAA">
        <w:t>s</w:t>
      </w:r>
      <w:r w:rsidR="006207DA">
        <w:t xml:space="preserve"> and tools</w:t>
      </w:r>
      <w:r w:rsidRPr="00927BAA">
        <w:t xml:space="preserve">.  </w:t>
      </w:r>
      <w:r w:rsidR="006207DA">
        <w:t>U</w:t>
      </w:r>
      <w:r w:rsidR="00236F8E" w:rsidRPr="00927BAA">
        <w:t xml:space="preserve">sing these automated tools lowers </w:t>
      </w:r>
      <w:r w:rsidRPr="00927BAA">
        <w:t xml:space="preserve">risks substantially </w:t>
      </w:r>
      <w:r w:rsidR="00236F8E" w:rsidRPr="00927BAA">
        <w:t xml:space="preserve">from manual patching processes.  </w:t>
      </w:r>
    </w:p>
    <w:p w:rsidR="00C11775" w:rsidRPr="00927BAA" w:rsidRDefault="00927BAA" w:rsidP="00F7720E">
      <w:pPr>
        <w:pStyle w:val="PolicyText1"/>
      </w:pPr>
      <w:r w:rsidRPr="00927BAA">
        <w:t xml:space="preserve">It </w:t>
      </w:r>
      <w:proofErr w:type="gramStart"/>
      <w:r w:rsidRPr="00927BAA">
        <w:t>is understood</w:t>
      </w:r>
      <w:proofErr w:type="gramEnd"/>
      <w:r w:rsidRPr="00927BAA">
        <w:t xml:space="preserve"> that that p</w:t>
      </w:r>
      <w:r w:rsidR="00C11775" w:rsidRPr="00927BAA">
        <w:t>atches on production systems (e.g. servers) may require complex testing and installation procedures</w:t>
      </w:r>
      <w:r w:rsidRPr="00927BAA">
        <w:t xml:space="preserve"> prior to installation</w:t>
      </w:r>
      <w:r w:rsidR="00C11775" w:rsidRPr="00927BAA">
        <w:t xml:space="preserve">.  In certain cases, risk mitigation rather than patching may be </w:t>
      </w:r>
      <w:r w:rsidRPr="00927BAA">
        <w:t>advisable</w:t>
      </w:r>
      <w:r w:rsidR="00C11775" w:rsidRPr="00927BAA">
        <w:t xml:space="preserve">.  </w:t>
      </w:r>
      <w:r w:rsidR="006207DA">
        <w:t xml:space="preserve">A </w:t>
      </w:r>
      <w:r w:rsidR="00C11775" w:rsidRPr="00927BAA">
        <w:t xml:space="preserve">mitigation </w:t>
      </w:r>
      <w:r w:rsidR="006207DA">
        <w:t xml:space="preserve">selection </w:t>
      </w:r>
      <w:r w:rsidR="00C11775" w:rsidRPr="00927BAA">
        <w:t xml:space="preserve">alternative </w:t>
      </w:r>
      <w:proofErr w:type="gramStart"/>
      <w:r w:rsidR="00C11775" w:rsidRPr="00927BAA">
        <w:t xml:space="preserve">should be </w:t>
      </w:r>
      <w:r w:rsidR="006207DA">
        <w:t>considered</w:t>
      </w:r>
      <w:proofErr w:type="gramEnd"/>
      <w:r w:rsidR="006207DA">
        <w:t xml:space="preserve"> </w:t>
      </w:r>
      <w:r w:rsidR="00C11775" w:rsidRPr="00927BAA">
        <w:t xml:space="preserve">in proportion to the risk.  </w:t>
      </w:r>
      <w:r w:rsidR="008F103F">
        <w:t xml:space="preserve">[LEP] </w:t>
      </w:r>
      <w:r w:rsidRPr="00927BAA">
        <w:t xml:space="preserve">requires that </w:t>
      </w:r>
      <w:r w:rsidR="00C11775" w:rsidRPr="00927BAA">
        <w:t>departure</w:t>
      </w:r>
      <w:r w:rsidRPr="00927BAA">
        <w:t>s</w:t>
      </w:r>
      <w:r w:rsidR="00C11775" w:rsidRPr="00927BAA">
        <w:t xml:space="preserve"> from the above standard and alternative protection measures taken be documented in writing for devices storing non-public data. </w:t>
      </w:r>
    </w:p>
    <w:p w:rsidR="00927BAA" w:rsidRPr="00927BAA" w:rsidRDefault="00C11775" w:rsidP="00F7720E">
      <w:pPr>
        <w:pStyle w:val="PolicyText1"/>
      </w:pPr>
      <w:r w:rsidRPr="00927BAA">
        <w:t xml:space="preserve">Policies and procedures </w:t>
      </w:r>
      <w:proofErr w:type="gramStart"/>
      <w:r w:rsidRPr="00927BAA">
        <w:t>shall be established</w:t>
      </w:r>
      <w:proofErr w:type="gramEnd"/>
      <w:r w:rsidRPr="00927BAA">
        <w:t xml:space="preserve"> and </w:t>
      </w:r>
      <w:r w:rsidR="00D74DB1">
        <w:t xml:space="preserve">delivery </w:t>
      </w:r>
      <w:r w:rsidRPr="00927BAA">
        <w:t>mechanism</w:t>
      </w:r>
      <w:r w:rsidR="00D74DB1">
        <w:t>s</w:t>
      </w:r>
      <w:r w:rsidRPr="00927BAA">
        <w:t xml:space="preserve"> implemented for vul</w:t>
      </w:r>
      <w:r w:rsidR="00D74DB1">
        <w:t>nerability and patch management.  These procedures shall ensure</w:t>
      </w:r>
      <w:r w:rsidRPr="00927BAA">
        <w:t xml:space="preserve"> that application, system, and network device vulnerabilities are evaluated and vendor-supplied security patches </w:t>
      </w:r>
      <w:proofErr w:type="gramStart"/>
      <w:r w:rsidR="00D74DB1">
        <w:t xml:space="preserve">are </w:t>
      </w:r>
      <w:r w:rsidRPr="00927BAA">
        <w:t>applied</w:t>
      </w:r>
      <w:proofErr w:type="gramEnd"/>
      <w:r w:rsidRPr="00927BAA">
        <w:t xml:space="preserve"> in a timely manner taking a risk-based approach for prioritizing critical patches.</w:t>
      </w:r>
      <w:r w:rsidR="00927BAA" w:rsidRPr="00927BAA">
        <w:t xml:space="preserve">  The regular application of critical security patches </w:t>
      </w:r>
      <w:proofErr w:type="gramStart"/>
      <w:r w:rsidR="00927BAA" w:rsidRPr="00927BAA">
        <w:t>shall be reviewed</w:t>
      </w:r>
      <w:proofErr w:type="gramEnd"/>
      <w:r w:rsidR="00927BAA" w:rsidRPr="00927BAA">
        <w:t xml:space="preserve"> as part of normal </w:t>
      </w:r>
      <w:r w:rsidR="006207DA">
        <w:t xml:space="preserve">operating </w:t>
      </w:r>
      <w:r w:rsidR="00927BAA" w:rsidRPr="00927BAA">
        <w:t xml:space="preserve">procedures.  These procedures </w:t>
      </w:r>
      <w:proofErr w:type="gramStart"/>
      <w:r w:rsidR="00927BAA" w:rsidRPr="00927BAA">
        <w:t>shall be implemented</w:t>
      </w:r>
      <w:proofErr w:type="gramEnd"/>
      <w:r w:rsidR="00927BAA" w:rsidRPr="00927BAA">
        <w:t xml:space="preserve"> through </w:t>
      </w:r>
      <w:r w:rsidR="006207DA">
        <w:t xml:space="preserve">a </w:t>
      </w:r>
      <w:r w:rsidR="00927BAA" w:rsidRPr="00927BAA">
        <w:t>change/configuration management meeting</w:t>
      </w:r>
      <w:r w:rsidR="006207DA">
        <w:t xml:space="preserve"> process specified through </w:t>
      </w:r>
      <w:r w:rsidR="008F103F">
        <w:t xml:space="preserve">[LEP] </w:t>
      </w:r>
      <w:r w:rsidR="006207DA">
        <w:t>management</w:t>
      </w:r>
      <w:r w:rsidR="00927BAA" w:rsidRPr="00927BAA">
        <w:t>.</w:t>
      </w:r>
    </w:p>
    <w:p w:rsidR="006207DA" w:rsidRDefault="00C11775" w:rsidP="00F7720E">
      <w:pPr>
        <w:pStyle w:val="PolicyText1"/>
      </w:pPr>
      <w:r w:rsidRPr="00927BAA">
        <w:t xml:space="preserve">Patching </w:t>
      </w:r>
      <w:r w:rsidR="006207DA">
        <w:t xml:space="preserve">shall </w:t>
      </w:r>
      <w:r w:rsidRPr="00927BAA">
        <w:t>include</w:t>
      </w:r>
      <w:r w:rsidR="006207DA">
        <w:t>:</w:t>
      </w:r>
    </w:p>
    <w:p w:rsidR="006207DA" w:rsidRPr="006207DA" w:rsidRDefault="006207DA" w:rsidP="00F7720E">
      <w:pPr>
        <w:pStyle w:val="PolicyText1"/>
        <w:numPr>
          <w:ilvl w:val="0"/>
          <w:numId w:val="30"/>
        </w:numPr>
      </w:pPr>
      <w:r w:rsidRPr="006207DA">
        <w:t>Firmware and hardware specific com</w:t>
      </w:r>
      <w:r w:rsidR="008F103F">
        <w:t>ponents</w:t>
      </w:r>
    </w:p>
    <w:p w:rsidR="006207DA" w:rsidRPr="006207DA" w:rsidRDefault="006207DA" w:rsidP="00F7720E">
      <w:pPr>
        <w:pStyle w:val="PolicyText1"/>
        <w:numPr>
          <w:ilvl w:val="0"/>
          <w:numId w:val="30"/>
        </w:numPr>
      </w:pPr>
      <w:r w:rsidRPr="006207DA">
        <w:lastRenderedPageBreak/>
        <w:t>U</w:t>
      </w:r>
      <w:r w:rsidR="00C11775" w:rsidRPr="006207DA">
        <w:t xml:space="preserve">pdates to operating systems </w:t>
      </w:r>
      <w:r w:rsidRPr="006207DA">
        <w:t xml:space="preserve">and </w:t>
      </w:r>
      <w:r w:rsidR="00C11775" w:rsidRPr="006207DA">
        <w:t>office productivity software</w:t>
      </w:r>
    </w:p>
    <w:p w:rsidR="006207DA" w:rsidRPr="006207DA" w:rsidRDefault="006207DA" w:rsidP="00F7720E">
      <w:pPr>
        <w:pStyle w:val="PolicyText1"/>
        <w:numPr>
          <w:ilvl w:val="0"/>
          <w:numId w:val="30"/>
        </w:numPr>
      </w:pPr>
      <w:r w:rsidRPr="006207DA">
        <w:t>App</w:t>
      </w:r>
      <w:r w:rsidR="008F103F">
        <w:t>lication and data base software</w:t>
      </w:r>
    </w:p>
    <w:p w:rsidR="006207DA" w:rsidRPr="006207DA" w:rsidRDefault="006207DA" w:rsidP="00F7720E">
      <w:pPr>
        <w:pStyle w:val="PolicyText1"/>
        <w:numPr>
          <w:ilvl w:val="0"/>
          <w:numId w:val="30"/>
        </w:numPr>
      </w:pPr>
      <w:r w:rsidRPr="006207DA">
        <w:t>T</w:t>
      </w:r>
      <w:r w:rsidR="00C11775" w:rsidRPr="006207DA">
        <w:t xml:space="preserve">hird party applications, </w:t>
      </w:r>
      <w:r w:rsidR="00927BAA" w:rsidRPr="006207DA">
        <w:t>application software</w:t>
      </w:r>
    </w:p>
    <w:p w:rsidR="00C11775" w:rsidRPr="006207DA" w:rsidRDefault="006207DA" w:rsidP="00F7720E">
      <w:pPr>
        <w:pStyle w:val="PolicyText1"/>
        <w:numPr>
          <w:ilvl w:val="0"/>
          <w:numId w:val="30"/>
        </w:numPr>
      </w:pPr>
      <w:r w:rsidRPr="006207DA">
        <w:t>M</w:t>
      </w:r>
      <w:r w:rsidR="00C11775" w:rsidRPr="006207DA">
        <w:t xml:space="preserve">obile devices with access to </w:t>
      </w:r>
      <w:r w:rsidR="009D0858">
        <w:t>[LEP]</w:t>
      </w:r>
      <w:r w:rsidRPr="006207DA">
        <w:t xml:space="preserve"> resources</w:t>
      </w:r>
    </w:p>
    <w:p w:rsidR="003E192C" w:rsidRPr="003E192C" w:rsidRDefault="003E192C" w:rsidP="00F7720E">
      <w:pPr>
        <w:pStyle w:val="Heading2"/>
      </w:pPr>
      <w:r w:rsidRPr="003E192C">
        <w:t>Audit Controls and Management</w:t>
      </w:r>
    </w:p>
    <w:p w:rsidR="003E192C" w:rsidRDefault="003E192C" w:rsidP="00F7720E">
      <w:pPr>
        <w:pStyle w:val="PolicyText1"/>
      </w:pPr>
      <w:r w:rsidRPr="003E192C">
        <w:t xml:space="preserve">On-demand documented procedures and evidence of practice should be in place for this operational policy as part of the </w:t>
      </w:r>
      <w:r w:rsidR="008F103F">
        <w:t xml:space="preserve">[LEP] </w:t>
      </w:r>
      <w:r w:rsidRPr="003E192C">
        <w:t>internal application development and release methodology.</w:t>
      </w:r>
      <w:r w:rsidR="00927BAA">
        <w:t xml:space="preserve">  Management controls include:</w:t>
      </w:r>
    </w:p>
    <w:p w:rsidR="00927BAA" w:rsidRDefault="00927BAA" w:rsidP="00F7720E">
      <w:pPr>
        <w:pStyle w:val="PolicyText1"/>
        <w:numPr>
          <w:ilvl w:val="0"/>
          <w:numId w:val="31"/>
        </w:numPr>
      </w:pPr>
      <w:r>
        <w:t xml:space="preserve">Regular and documented </w:t>
      </w:r>
      <w:r w:rsidR="008F103F">
        <w:t xml:space="preserve">[LEP] </w:t>
      </w:r>
      <w:r>
        <w:t xml:space="preserve">change management meeting where patch and configuration management is discussed, prioritized and </w:t>
      </w:r>
      <w:r w:rsidR="00A42B2B">
        <w:t>scheduled for release</w:t>
      </w:r>
    </w:p>
    <w:p w:rsidR="00927BAA" w:rsidRDefault="00927BAA" w:rsidP="00F7720E">
      <w:pPr>
        <w:pStyle w:val="PolicyText1"/>
        <w:numPr>
          <w:ilvl w:val="0"/>
          <w:numId w:val="31"/>
        </w:numPr>
      </w:pPr>
      <w:r>
        <w:t xml:space="preserve">Automated patch management on a regular schedule with </w:t>
      </w:r>
      <w:r w:rsidR="008F103F">
        <w:t xml:space="preserve">[LEP] </w:t>
      </w:r>
      <w:r>
        <w:t>approved software that carries logs of changes applied</w:t>
      </w:r>
    </w:p>
    <w:p w:rsidR="00927BAA" w:rsidRPr="00927BAA" w:rsidRDefault="00927BAA" w:rsidP="00F7720E">
      <w:pPr>
        <w:pStyle w:val="PolicyText1"/>
        <w:numPr>
          <w:ilvl w:val="0"/>
          <w:numId w:val="31"/>
        </w:numPr>
      </w:pPr>
      <w:r>
        <w:t xml:space="preserve">Documentation </w:t>
      </w:r>
      <w:r w:rsidR="00A42B2B">
        <w:t xml:space="preserve">of </w:t>
      </w:r>
      <w:r>
        <w:t>policy exception and risk mitigation</w:t>
      </w:r>
    </w:p>
    <w:p w:rsidR="003E192C" w:rsidRPr="003E192C" w:rsidRDefault="003E192C" w:rsidP="00F7720E">
      <w:pPr>
        <w:pStyle w:val="Heading2"/>
      </w:pPr>
      <w:r w:rsidRPr="003E192C">
        <w:t xml:space="preserve">Enforcement  </w:t>
      </w:r>
      <w:bookmarkStart w:id="0" w:name="_GoBack"/>
      <w:bookmarkEnd w:id="0"/>
    </w:p>
    <w:p w:rsidR="003E192C" w:rsidRPr="003E192C" w:rsidRDefault="003E192C" w:rsidP="00F7720E">
      <w:pPr>
        <w:pStyle w:val="PolicyText1"/>
      </w:pPr>
      <w:r w:rsidRPr="003E192C">
        <w:t>Staff members found in policy violation may be subject to disciplinary action, up to and including termination.</w:t>
      </w:r>
    </w:p>
    <w:p w:rsidR="003E192C" w:rsidRPr="003E192C" w:rsidRDefault="003E192C" w:rsidP="00F7720E">
      <w:pPr>
        <w:pStyle w:val="Heading2"/>
      </w:pPr>
      <w:r w:rsidRPr="003E192C">
        <w:t>Distribution</w:t>
      </w:r>
    </w:p>
    <w:p w:rsidR="003E192C" w:rsidRPr="003E192C" w:rsidRDefault="003E192C" w:rsidP="00F7720E">
      <w:pPr>
        <w:pStyle w:val="PolicyText1"/>
      </w:pPr>
      <w:r w:rsidRPr="003E192C">
        <w:t xml:space="preserve">This policy is to </w:t>
      </w:r>
      <w:proofErr w:type="gramStart"/>
      <w:r w:rsidRPr="003E192C">
        <w:t>be distributed</w:t>
      </w:r>
      <w:proofErr w:type="gramEnd"/>
      <w:r w:rsidRPr="003E192C">
        <w:t xml:space="preserve"> to all </w:t>
      </w:r>
      <w:r w:rsidR="008F103F">
        <w:t xml:space="preserve">[LEP] </w:t>
      </w:r>
      <w:r w:rsidRPr="003E192C">
        <w:t xml:space="preserve">staff </w:t>
      </w:r>
      <w:r w:rsidR="00D74DB1">
        <w:t>responsible for maintenance, support, and enhancement of systems and applications</w:t>
      </w:r>
      <w:r w:rsidRPr="003E192C">
        <w:t>.</w:t>
      </w:r>
    </w:p>
    <w:p w:rsidR="003E192C" w:rsidRPr="003E192C" w:rsidRDefault="003E192C" w:rsidP="00F7720E">
      <w:pPr>
        <w:pStyle w:val="Heading2"/>
      </w:pPr>
      <w:r w:rsidRPr="003E192C">
        <w:t>Policy Version History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7"/>
        <w:gridCol w:w="1401"/>
        <w:gridCol w:w="4104"/>
        <w:gridCol w:w="2214"/>
      </w:tblGrid>
      <w:tr w:rsidR="003E192C" w:rsidRPr="003E192C" w:rsidTr="007531D3">
        <w:tc>
          <w:tcPr>
            <w:tcW w:w="1137" w:type="dxa"/>
            <w:shd w:val="clear" w:color="auto" w:fill="C0C0C0"/>
          </w:tcPr>
          <w:p w:rsidR="003E192C" w:rsidRPr="003E192C" w:rsidRDefault="003E192C" w:rsidP="00F7720E">
            <w:pPr>
              <w:pStyle w:val="PolicyText1"/>
            </w:pPr>
            <w:r w:rsidRPr="003E192C">
              <w:t>Version</w:t>
            </w:r>
          </w:p>
        </w:tc>
        <w:tc>
          <w:tcPr>
            <w:tcW w:w="1401" w:type="dxa"/>
            <w:shd w:val="clear" w:color="auto" w:fill="C0C0C0"/>
          </w:tcPr>
          <w:p w:rsidR="003E192C" w:rsidRPr="003E192C" w:rsidRDefault="003E192C" w:rsidP="00F7720E">
            <w:pPr>
              <w:pStyle w:val="PolicyText1"/>
            </w:pPr>
            <w:r w:rsidRPr="003E192C">
              <w:t>Date</w:t>
            </w:r>
          </w:p>
        </w:tc>
        <w:tc>
          <w:tcPr>
            <w:tcW w:w="4104" w:type="dxa"/>
            <w:shd w:val="clear" w:color="auto" w:fill="C0C0C0"/>
          </w:tcPr>
          <w:p w:rsidR="003E192C" w:rsidRPr="003E192C" w:rsidRDefault="003E192C" w:rsidP="00F7720E">
            <w:pPr>
              <w:pStyle w:val="PolicyText1"/>
            </w:pPr>
            <w:r w:rsidRPr="003E192C">
              <w:t>Description</w:t>
            </w:r>
          </w:p>
        </w:tc>
        <w:tc>
          <w:tcPr>
            <w:tcW w:w="2214" w:type="dxa"/>
            <w:shd w:val="clear" w:color="auto" w:fill="C0C0C0"/>
          </w:tcPr>
          <w:p w:rsidR="003E192C" w:rsidRPr="003E192C" w:rsidRDefault="003E192C" w:rsidP="00F7720E">
            <w:pPr>
              <w:pStyle w:val="PolicyText1"/>
            </w:pPr>
            <w:r w:rsidRPr="003E192C">
              <w:t>Approved By</w:t>
            </w:r>
          </w:p>
        </w:tc>
      </w:tr>
      <w:tr w:rsidR="003E192C" w:rsidRPr="003E192C" w:rsidTr="007531D3">
        <w:tc>
          <w:tcPr>
            <w:tcW w:w="1137" w:type="dxa"/>
            <w:shd w:val="clear" w:color="auto" w:fill="auto"/>
          </w:tcPr>
          <w:p w:rsidR="003E192C" w:rsidRPr="003E192C" w:rsidRDefault="003E192C" w:rsidP="00F7720E">
            <w:pPr>
              <w:pStyle w:val="PolicyText1"/>
            </w:pPr>
            <w:r w:rsidRPr="003E192C">
              <w:t>1.0</w:t>
            </w:r>
          </w:p>
        </w:tc>
        <w:tc>
          <w:tcPr>
            <w:tcW w:w="1401" w:type="dxa"/>
            <w:shd w:val="clear" w:color="auto" w:fill="auto"/>
          </w:tcPr>
          <w:p w:rsidR="003E192C" w:rsidRPr="003E192C" w:rsidRDefault="00D74DB1" w:rsidP="00F7720E">
            <w:pPr>
              <w:pStyle w:val="PolicyText1"/>
            </w:pPr>
            <w:r>
              <w:t>09</w:t>
            </w:r>
            <w:r w:rsidR="003E192C" w:rsidRPr="003E192C">
              <w:t>/</w:t>
            </w:r>
            <w:r>
              <w:t>09</w:t>
            </w:r>
            <w:r w:rsidR="003E192C" w:rsidRPr="003E192C">
              <w:t>/2016</w:t>
            </w:r>
          </w:p>
        </w:tc>
        <w:tc>
          <w:tcPr>
            <w:tcW w:w="4104" w:type="dxa"/>
            <w:shd w:val="clear" w:color="auto" w:fill="auto"/>
          </w:tcPr>
          <w:p w:rsidR="003E192C" w:rsidRPr="003E192C" w:rsidRDefault="003E192C" w:rsidP="00F7720E">
            <w:pPr>
              <w:pStyle w:val="PolicyText1"/>
            </w:pPr>
            <w:r w:rsidRPr="003E192C">
              <w:t>Initial Policy Drafted</w:t>
            </w:r>
          </w:p>
        </w:tc>
        <w:tc>
          <w:tcPr>
            <w:tcW w:w="2214" w:type="dxa"/>
            <w:shd w:val="clear" w:color="auto" w:fill="auto"/>
          </w:tcPr>
          <w:p w:rsidR="003E192C" w:rsidRPr="003E192C" w:rsidRDefault="003E192C" w:rsidP="00F7720E">
            <w:pPr>
              <w:pStyle w:val="PolicyText1"/>
            </w:pPr>
          </w:p>
        </w:tc>
      </w:tr>
      <w:tr w:rsidR="003E192C" w:rsidRPr="003E192C" w:rsidTr="007531D3">
        <w:tc>
          <w:tcPr>
            <w:tcW w:w="1137" w:type="dxa"/>
            <w:shd w:val="clear" w:color="auto" w:fill="auto"/>
          </w:tcPr>
          <w:p w:rsidR="003E192C" w:rsidRPr="003E192C" w:rsidRDefault="003E192C" w:rsidP="00F7720E">
            <w:pPr>
              <w:pStyle w:val="PolicyText1"/>
            </w:pPr>
          </w:p>
        </w:tc>
        <w:tc>
          <w:tcPr>
            <w:tcW w:w="1401" w:type="dxa"/>
            <w:shd w:val="clear" w:color="auto" w:fill="auto"/>
          </w:tcPr>
          <w:p w:rsidR="003E192C" w:rsidRPr="003E192C" w:rsidRDefault="003E192C" w:rsidP="00F7720E">
            <w:pPr>
              <w:pStyle w:val="PolicyText1"/>
            </w:pPr>
          </w:p>
        </w:tc>
        <w:tc>
          <w:tcPr>
            <w:tcW w:w="4104" w:type="dxa"/>
            <w:shd w:val="clear" w:color="auto" w:fill="auto"/>
          </w:tcPr>
          <w:p w:rsidR="003E192C" w:rsidRPr="003E192C" w:rsidRDefault="003E192C" w:rsidP="00F7720E">
            <w:pPr>
              <w:pStyle w:val="PolicyText1"/>
            </w:pPr>
          </w:p>
        </w:tc>
        <w:tc>
          <w:tcPr>
            <w:tcW w:w="2214" w:type="dxa"/>
            <w:shd w:val="clear" w:color="auto" w:fill="auto"/>
          </w:tcPr>
          <w:p w:rsidR="003E192C" w:rsidRPr="003E192C" w:rsidRDefault="003E192C" w:rsidP="00F7720E">
            <w:pPr>
              <w:pStyle w:val="PolicyText1"/>
            </w:pPr>
          </w:p>
        </w:tc>
      </w:tr>
      <w:tr w:rsidR="003E192C" w:rsidRPr="003E192C" w:rsidTr="007531D3">
        <w:tc>
          <w:tcPr>
            <w:tcW w:w="1137" w:type="dxa"/>
            <w:shd w:val="clear" w:color="auto" w:fill="auto"/>
          </w:tcPr>
          <w:p w:rsidR="003E192C" w:rsidRPr="003E192C" w:rsidRDefault="003E192C" w:rsidP="00F7720E">
            <w:pPr>
              <w:pStyle w:val="PolicyText1"/>
            </w:pPr>
          </w:p>
        </w:tc>
        <w:tc>
          <w:tcPr>
            <w:tcW w:w="1401" w:type="dxa"/>
            <w:shd w:val="clear" w:color="auto" w:fill="auto"/>
          </w:tcPr>
          <w:p w:rsidR="003E192C" w:rsidRPr="003E192C" w:rsidRDefault="003E192C" w:rsidP="00F7720E">
            <w:pPr>
              <w:pStyle w:val="PolicyText1"/>
            </w:pPr>
          </w:p>
        </w:tc>
        <w:tc>
          <w:tcPr>
            <w:tcW w:w="4104" w:type="dxa"/>
            <w:shd w:val="clear" w:color="auto" w:fill="auto"/>
          </w:tcPr>
          <w:p w:rsidR="003E192C" w:rsidRPr="003E192C" w:rsidRDefault="003E192C" w:rsidP="00F7720E">
            <w:pPr>
              <w:pStyle w:val="PolicyText1"/>
            </w:pPr>
          </w:p>
        </w:tc>
        <w:tc>
          <w:tcPr>
            <w:tcW w:w="2214" w:type="dxa"/>
            <w:shd w:val="clear" w:color="auto" w:fill="auto"/>
          </w:tcPr>
          <w:p w:rsidR="003E192C" w:rsidRPr="003E192C" w:rsidRDefault="003E192C" w:rsidP="00F7720E">
            <w:pPr>
              <w:pStyle w:val="PolicyText1"/>
            </w:pPr>
          </w:p>
        </w:tc>
      </w:tr>
    </w:tbl>
    <w:p w:rsidR="003E192C" w:rsidRPr="003E192C" w:rsidRDefault="003E192C" w:rsidP="003E192C">
      <w:pPr>
        <w:rPr>
          <w:rFonts w:ascii="Arial" w:hAnsi="Arial" w:cs="Arial"/>
        </w:rPr>
      </w:pPr>
    </w:p>
    <w:p w:rsidR="003E192C" w:rsidRPr="003E192C" w:rsidRDefault="003E192C" w:rsidP="003E192C"/>
    <w:p w:rsidR="00A755FE" w:rsidRDefault="00A755FE" w:rsidP="00AF3C6F"/>
    <w:sectPr w:rsidR="00A755FE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2EB6" w:rsidRDefault="00F02EB6" w:rsidP="00333141">
      <w:pPr>
        <w:spacing w:after="0" w:line="240" w:lineRule="auto"/>
      </w:pPr>
      <w:r>
        <w:separator/>
      </w:r>
    </w:p>
  </w:endnote>
  <w:endnote w:type="continuationSeparator" w:id="0">
    <w:p w:rsidR="00F02EB6" w:rsidRDefault="00F02EB6" w:rsidP="00333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500">
    <w:altName w:val="Arial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141" w:rsidRPr="00333141" w:rsidRDefault="008F103F" w:rsidP="00333141">
    <w:pPr>
      <w:pStyle w:val="Footer"/>
    </w:pPr>
    <w:r>
      <w:tab/>
    </w:r>
    <w:r>
      <w:tab/>
    </w:r>
    <w:r w:rsidR="00F7720E">
      <w:t xml:space="preserve">Sample </w:t>
    </w:r>
    <w:r w:rsidR="00333141">
      <w:t>IT Security Policies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2EB6" w:rsidRDefault="00F02EB6" w:rsidP="00333141">
      <w:pPr>
        <w:spacing w:after="0" w:line="240" w:lineRule="auto"/>
      </w:pPr>
      <w:r>
        <w:separator/>
      </w:r>
    </w:p>
  </w:footnote>
  <w:footnote w:type="continuationSeparator" w:id="0">
    <w:p w:rsidR="00F02EB6" w:rsidRDefault="00F02EB6" w:rsidP="00333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720E" w:rsidRDefault="00F02EB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026787" o:spid="_x0000_s2050" type="#_x0000_t136" style="position:absolute;margin-left:0;margin-top:0;width:461.9pt;height:197.9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119" w:type="pct"/>
      <w:tblBorders>
        <w:bottom w:val="single" w:sz="4" w:space="0" w:color="auto"/>
        <w:insideH w:val="single" w:sz="4" w:space="0" w:color="BFBFBF"/>
        <w:insideV w:val="single" w:sz="4" w:space="0" w:color="auto"/>
      </w:tblBorders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9231"/>
      <w:gridCol w:w="587"/>
    </w:tblGrid>
    <w:tr w:rsidR="00333141" w:rsidRPr="0025191F" w:rsidTr="00B50B31">
      <w:tc>
        <w:tcPr>
          <w:tcW w:w="4701" w:type="pct"/>
        </w:tcPr>
        <w:p w:rsidR="00333141" w:rsidRPr="0030192B" w:rsidRDefault="00F02EB6" w:rsidP="003E192C">
          <w:pPr>
            <w:pStyle w:val="NoSpacing"/>
            <w:jc w:val="right"/>
            <w:rPr>
              <w:rFonts w:eastAsia="Cambria"/>
              <w:color w:val="984806" w:themeColor="accent6" w:themeShade="80"/>
            </w:rPr>
          </w:pPr>
          <w:r>
            <w:rPr>
              <w:noProof/>
            </w:rPr>
            <w:pict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19026788" o:spid="_x0000_s2051" type="#_x0000_t136" style="position:absolute;left:0;text-align:left;margin-left:0;margin-top:0;width:461.9pt;height:197.95pt;rotation:315;z-index:-251650048;mso-position-horizontal:center;mso-position-horizontal-relative:margin;mso-position-vertical:center;mso-position-vertical-relative:margin" o:allowincell="f" fillcolor="silver" stroked="f">
                <v:fill opacity=".5"/>
                <v:textpath style="font-family:&quot;Calibri&quot;;font-size:1pt" string="SAMPLE"/>
                <w10:wrap anchorx="margin" anchory="margin"/>
              </v:shape>
            </w:pict>
          </w:r>
          <w:sdt>
            <w:sdtPr>
              <w:alias w:val="Title"/>
              <w:id w:val="1399401465"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="00EF3967">
                <w:t xml:space="preserve">Software </w:t>
              </w:r>
              <w:r w:rsidR="008F103F">
                <w:t xml:space="preserve">and Firmware </w:t>
              </w:r>
              <w:r w:rsidR="00EF3967">
                <w:t>Patch Management Policy</w:t>
              </w:r>
            </w:sdtContent>
          </w:sdt>
        </w:p>
      </w:tc>
      <w:tc>
        <w:tcPr>
          <w:tcW w:w="299" w:type="pct"/>
        </w:tcPr>
        <w:p w:rsidR="00333141" w:rsidRPr="0030192B" w:rsidRDefault="00333141" w:rsidP="00BE36DC">
          <w:pPr>
            <w:ind w:right="-360"/>
            <w:rPr>
              <w:rFonts w:eastAsia="Cambria"/>
              <w:b/>
              <w:color w:val="984806" w:themeColor="accent6" w:themeShade="80"/>
              <w:szCs w:val="20"/>
            </w:rPr>
          </w:pPr>
          <w:r w:rsidRPr="00CF122E">
            <w:rPr>
              <w:b/>
              <w:color w:val="595959" w:themeColor="text1" w:themeTint="A6"/>
              <w:szCs w:val="20"/>
            </w:rPr>
            <w:fldChar w:fldCharType="begin"/>
          </w:r>
          <w:r w:rsidRPr="00CF122E">
            <w:rPr>
              <w:b/>
              <w:color w:val="595959" w:themeColor="text1" w:themeTint="A6"/>
              <w:szCs w:val="20"/>
            </w:rPr>
            <w:instrText xml:space="preserve"> PAGE   \* MERGEFORMAT </w:instrText>
          </w:r>
          <w:r w:rsidRPr="00CF122E">
            <w:rPr>
              <w:b/>
              <w:color w:val="595959" w:themeColor="text1" w:themeTint="A6"/>
              <w:szCs w:val="20"/>
            </w:rPr>
            <w:fldChar w:fldCharType="separate"/>
          </w:r>
          <w:r w:rsidR="009D0858">
            <w:rPr>
              <w:b/>
              <w:noProof/>
              <w:color w:val="595959" w:themeColor="text1" w:themeTint="A6"/>
              <w:szCs w:val="20"/>
            </w:rPr>
            <w:t>2</w:t>
          </w:r>
          <w:r w:rsidRPr="00CF122E">
            <w:rPr>
              <w:b/>
              <w:color w:val="595959" w:themeColor="text1" w:themeTint="A6"/>
              <w:szCs w:val="20"/>
            </w:rPr>
            <w:fldChar w:fldCharType="end"/>
          </w:r>
        </w:p>
      </w:tc>
    </w:tr>
  </w:tbl>
  <w:p w:rsidR="00333141" w:rsidRDefault="0033314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720E" w:rsidRDefault="00F02EB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026786" o:spid="_x0000_s2049" type="#_x0000_t136" style="position:absolute;margin-left:0;margin-top:0;width:461.9pt;height:197.9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21701"/>
    <w:multiLevelType w:val="hybridMultilevel"/>
    <w:tmpl w:val="7A163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63470"/>
    <w:multiLevelType w:val="hybridMultilevel"/>
    <w:tmpl w:val="F286B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F28FE"/>
    <w:multiLevelType w:val="hybridMultilevel"/>
    <w:tmpl w:val="AD425D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C1355"/>
    <w:multiLevelType w:val="hybridMultilevel"/>
    <w:tmpl w:val="B4B631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9F57281"/>
    <w:multiLevelType w:val="hybridMultilevel"/>
    <w:tmpl w:val="F6A82DA2"/>
    <w:lvl w:ilvl="0" w:tplc="2118D934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color w:val="auto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A343D"/>
    <w:multiLevelType w:val="hybridMultilevel"/>
    <w:tmpl w:val="D9FE972A"/>
    <w:lvl w:ilvl="0" w:tplc="2CA40FD2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color w:val="auto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B6D1A"/>
    <w:multiLevelType w:val="hybridMultilevel"/>
    <w:tmpl w:val="B532B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0751ED"/>
    <w:multiLevelType w:val="multilevel"/>
    <w:tmpl w:val="4A807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22C05C28"/>
    <w:multiLevelType w:val="hybridMultilevel"/>
    <w:tmpl w:val="833E52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B0C2C71"/>
    <w:multiLevelType w:val="hybridMultilevel"/>
    <w:tmpl w:val="4D90F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80524A"/>
    <w:multiLevelType w:val="hybridMultilevel"/>
    <w:tmpl w:val="6EC4AE8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E6C1491"/>
    <w:multiLevelType w:val="hybridMultilevel"/>
    <w:tmpl w:val="67686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F76BAA"/>
    <w:multiLevelType w:val="multilevel"/>
    <w:tmpl w:val="6B983C12"/>
    <w:lvl w:ilvl="0">
      <w:start w:val="1"/>
      <w:numFmt w:val="decimal"/>
      <w:pStyle w:val="Heading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384C7B6E"/>
    <w:multiLevelType w:val="hybridMultilevel"/>
    <w:tmpl w:val="12862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F503ED"/>
    <w:multiLevelType w:val="hybridMultilevel"/>
    <w:tmpl w:val="80942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E123BF"/>
    <w:multiLevelType w:val="hybridMultilevel"/>
    <w:tmpl w:val="34005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3A0627"/>
    <w:multiLevelType w:val="hybridMultilevel"/>
    <w:tmpl w:val="8834C2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1576129"/>
    <w:multiLevelType w:val="hybridMultilevel"/>
    <w:tmpl w:val="40707ECC"/>
    <w:lvl w:ilvl="0" w:tplc="CB426200">
      <w:start w:val="1"/>
      <w:numFmt w:val="upperLetter"/>
      <w:pStyle w:val="Heading3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color w:val="auto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0802F2"/>
    <w:multiLevelType w:val="hybridMultilevel"/>
    <w:tmpl w:val="4DA65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FA19AD"/>
    <w:multiLevelType w:val="hybridMultilevel"/>
    <w:tmpl w:val="6E506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5D49A2"/>
    <w:multiLevelType w:val="hybridMultilevel"/>
    <w:tmpl w:val="1D523B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C4A76C0"/>
    <w:multiLevelType w:val="hybridMultilevel"/>
    <w:tmpl w:val="CC6854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F44100C"/>
    <w:multiLevelType w:val="hybridMultilevel"/>
    <w:tmpl w:val="BBA2C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6D0E5B"/>
    <w:multiLevelType w:val="hybridMultilevel"/>
    <w:tmpl w:val="E6B8BB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79D42B4"/>
    <w:multiLevelType w:val="hybridMultilevel"/>
    <w:tmpl w:val="532AC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0F13C9"/>
    <w:multiLevelType w:val="hybridMultilevel"/>
    <w:tmpl w:val="98568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3B16F0"/>
    <w:multiLevelType w:val="hybridMultilevel"/>
    <w:tmpl w:val="6ECC2C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33D3DDA"/>
    <w:multiLevelType w:val="hybridMultilevel"/>
    <w:tmpl w:val="300E11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5CC69D9"/>
    <w:multiLevelType w:val="hybridMultilevel"/>
    <w:tmpl w:val="DFC64C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7596D24"/>
    <w:multiLevelType w:val="hybridMultilevel"/>
    <w:tmpl w:val="A7B42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79497C"/>
    <w:multiLevelType w:val="hybridMultilevel"/>
    <w:tmpl w:val="9B6059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FB102B0"/>
    <w:multiLevelType w:val="hybridMultilevel"/>
    <w:tmpl w:val="84B44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2"/>
  </w:num>
  <w:num w:numId="3">
    <w:abstractNumId w:val="13"/>
  </w:num>
  <w:num w:numId="4">
    <w:abstractNumId w:val="11"/>
  </w:num>
  <w:num w:numId="5">
    <w:abstractNumId w:val="9"/>
  </w:num>
  <w:num w:numId="6">
    <w:abstractNumId w:val="15"/>
  </w:num>
  <w:num w:numId="7">
    <w:abstractNumId w:val="31"/>
  </w:num>
  <w:num w:numId="8">
    <w:abstractNumId w:val="25"/>
  </w:num>
  <w:num w:numId="9">
    <w:abstractNumId w:val="6"/>
  </w:num>
  <w:num w:numId="10">
    <w:abstractNumId w:val="14"/>
  </w:num>
  <w:num w:numId="11">
    <w:abstractNumId w:val="19"/>
  </w:num>
  <w:num w:numId="12">
    <w:abstractNumId w:val="29"/>
  </w:num>
  <w:num w:numId="13">
    <w:abstractNumId w:val="10"/>
  </w:num>
  <w:num w:numId="14">
    <w:abstractNumId w:val="2"/>
  </w:num>
  <w:num w:numId="15">
    <w:abstractNumId w:val="4"/>
  </w:num>
  <w:num w:numId="16">
    <w:abstractNumId w:val="17"/>
  </w:num>
  <w:num w:numId="17">
    <w:abstractNumId w:val="21"/>
  </w:num>
  <w:num w:numId="18">
    <w:abstractNumId w:val="20"/>
  </w:num>
  <w:num w:numId="19">
    <w:abstractNumId w:val="23"/>
  </w:num>
  <w:num w:numId="20">
    <w:abstractNumId w:val="3"/>
  </w:num>
  <w:num w:numId="21">
    <w:abstractNumId w:val="16"/>
  </w:num>
  <w:num w:numId="22">
    <w:abstractNumId w:val="8"/>
  </w:num>
  <w:num w:numId="23">
    <w:abstractNumId w:val="27"/>
  </w:num>
  <w:num w:numId="24">
    <w:abstractNumId w:val="28"/>
  </w:num>
  <w:num w:numId="25">
    <w:abstractNumId w:val="30"/>
  </w:num>
  <w:num w:numId="26">
    <w:abstractNumId w:val="26"/>
  </w:num>
  <w:num w:numId="27">
    <w:abstractNumId w:val="1"/>
  </w:num>
  <w:num w:numId="28">
    <w:abstractNumId w:val="5"/>
  </w:num>
  <w:num w:numId="29">
    <w:abstractNumId w:val="7"/>
  </w:num>
  <w:num w:numId="30">
    <w:abstractNumId w:val="24"/>
  </w:num>
  <w:num w:numId="31">
    <w:abstractNumId w:val="18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linkStyles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141"/>
    <w:rsid w:val="000D5499"/>
    <w:rsid w:val="00140385"/>
    <w:rsid w:val="00236F8E"/>
    <w:rsid w:val="00333141"/>
    <w:rsid w:val="00347EBF"/>
    <w:rsid w:val="003E192C"/>
    <w:rsid w:val="004536F9"/>
    <w:rsid w:val="00495C95"/>
    <w:rsid w:val="006207DA"/>
    <w:rsid w:val="0064668D"/>
    <w:rsid w:val="006A3884"/>
    <w:rsid w:val="006A3E6F"/>
    <w:rsid w:val="008F103F"/>
    <w:rsid w:val="00927BAA"/>
    <w:rsid w:val="009D0858"/>
    <w:rsid w:val="00A42B2B"/>
    <w:rsid w:val="00A755FE"/>
    <w:rsid w:val="00AF3C6F"/>
    <w:rsid w:val="00B50B31"/>
    <w:rsid w:val="00B50C2A"/>
    <w:rsid w:val="00C11775"/>
    <w:rsid w:val="00C21D4E"/>
    <w:rsid w:val="00D74DB1"/>
    <w:rsid w:val="00EF3967"/>
    <w:rsid w:val="00F02EB6"/>
    <w:rsid w:val="00F72E40"/>
    <w:rsid w:val="00F77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0980D370-340E-4F83-BE00-D08CFE2F4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B31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50B31"/>
    <w:pPr>
      <w:keepNext/>
      <w:keepLines/>
      <w:spacing w:after="240" w:line="240" w:lineRule="auto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32"/>
      <w:szCs w:val="28"/>
    </w:rPr>
  </w:style>
  <w:style w:type="paragraph" w:styleId="Heading2">
    <w:name w:val="heading 2"/>
    <w:aliases w:val="PolicyHeading 2"/>
    <w:basedOn w:val="Normal"/>
    <w:next w:val="PolicyText1"/>
    <w:link w:val="Heading2Char"/>
    <w:autoRedefine/>
    <w:uiPriority w:val="9"/>
    <w:unhideWhenUsed/>
    <w:qFormat/>
    <w:rsid w:val="00B50B31"/>
    <w:pPr>
      <w:keepNext/>
      <w:keepLines/>
      <w:numPr>
        <w:numId w:val="32"/>
      </w:numPr>
      <w:spacing w:after="240" w:line="240" w:lineRule="auto"/>
      <w:ind w:left="360" w:hanging="360"/>
      <w:outlineLvl w:val="1"/>
    </w:pPr>
    <w:rPr>
      <w:rFonts w:ascii="Arial" w:eastAsiaTheme="majorEastAsia" w:hAnsi="Arial" w:cstheme="majorBidi"/>
      <w:b/>
      <w:bCs/>
      <w:sz w:val="24"/>
      <w:szCs w:val="26"/>
    </w:rPr>
  </w:style>
  <w:style w:type="paragraph" w:styleId="Heading3">
    <w:name w:val="heading 3"/>
    <w:aliases w:val="PolicyHeading 3"/>
    <w:basedOn w:val="Normal"/>
    <w:next w:val="PolicyText2"/>
    <w:link w:val="Heading3Char"/>
    <w:autoRedefine/>
    <w:uiPriority w:val="9"/>
    <w:unhideWhenUsed/>
    <w:qFormat/>
    <w:rsid w:val="00B50B31"/>
    <w:pPr>
      <w:keepNext/>
      <w:keepLines/>
      <w:numPr>
        <w:numId w:val="16"/>
      </w:numPr>
      <w:spacing w:after="240" w:line="240" w:lineRule="auto"/>
      <w:ind w:right="720"/>
      <w:outlineLvl w:val="2"/>
    </w:pPr>
    <w:rPr>
      <w:rFonts w:ascii="Arial" w:eastAsiaTheme="majorEastAsia" w:hAnsi="Arial" w:cstheme="majorBidi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  <w:rsid w:val="00B50B31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B50B31"/>
  </w:style>
  <w:style w:type="paragraph" w:styleId="Header">
    <w:name w:val="header"/>
    <w:basedOn w:val="Normal"/>
    <w:link w:val="HeaderChar"/>
    <w:uiPriority w:val="99"/>
    <w:unhideWhenUsed/>
    <w:rsid w:val="00B50B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0B31"/>
  </w:style>
  <w:style w:type="paragraph" w:styleId="Footer">
    <w:name w:val="footer"/>
    <w:basedOn w:val="Normal"/>
    <w:link w:val="FooterChar"/>
    <w:uiPriority w:val="99"/>
    <w:unhideWhenUsed/>
    <w:rsid w:val="00B50B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0B31"/>
  </w:style>
  <w:style w:type="paragraph" w:styleId="BalloonText">
    <w:name w:val="Balloon Text"/>
    <w:basedOn w:val="Normal"/>
    <w:link w:val="BalloonTextChar"/>
    <w:uiPriority w:val="99"/>
    <w:semiHidden/>
    <w:unhideWhenUsed/>
    <w:rsid w:val="00B50B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B3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50B3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50B31"/>
    <w:rPr>
      <w:rFonts w:ascii="Arial" w:eastAsiaTheme="majorEastAsia" w:hAnsi="Arial" w:cstheme="majorBidi"/>
      <w:b/>
      <w:bCs/>
      <w:color w:val="365F91" w:themeColor="accent1" w:themeShade="BF"/>
      <w:sz w:val="32"/>
      <w:szCs w:val="28"/>
    </w:rPr>
  </w:style>
  <w:style w:type="character" w:customStyle="1" w:styleId="Heading2Char">
    <w:name w:val="Heading 2 Char"/>
    <w:aliases w:val="PolicyHeading 2 Char"/>
    <w:basedOn w:val="DefaultParagraphFont"/>
    <w:link w:val="Heading2"/>
    <w:uiPriority w:val="9"/>
    <w:rsid w:val="00B50B31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Heading3Char">
    <w:name w:val="Heading 3 Char"/>
    <w:aliases w:val="PolicyHeading 3 Char"/>
    <w:basedOn w:val="DefaultParagraphFont"/>
    <w:link w:val="Heading3"/>
    <w:uiPriority w:val="9"/>
    <w:rsid w:val="00B50B31"/>
    <w:rPr>
      <w:rFonts w:ascii="Arial" w:eastAsiaTheme="majorEastAsia" w:hAnsi="Arial" w:cstheme="majorBidi"/>
      <w:b/>
      <w:bCs/>
      <w:sz w:val="20"/>
    </w:rPr>
  </w:style>
  <w:style w:type="paragraph" w:styleId="ListParagraph">
    <w:name w:val="List Paragraph"/>
    <w:basedOn w:val="Normal"/>
    <w:uiPriority w:val="34"/>
    <w:qFormat/>
    <w:rsid w:val="00B50B31"/>
    <w:pPr>
      <w:ind w:left="720"/>
      <w:contextualSpacing/>
    </w:pPr>
  </w:style>
  <w:style w:type="table" w:styleId="TableGrid">
    <w:name w:val="Table Grid"/>
    <w:basedOn w:val="TableNormal"/>
    <w:uiPriority w:val="39"/>
    <w:rsid w:val="00B50B31"/>
    <w:pPr>
      <w:spacing w:after="0" w:line="240" w:lineRule="auto"/>
    </w:pPr>
    <w:rPr>
      <w:rFonts w:eastAsiaTheme="minorEastAsia"/>
      <w:lang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olicyText1">
    <w:name w:val="PolicyText1"/>
    <w:basedOn w:val="Normal"/>
    <w:qFormat/>
    <w:rsid w:val="00B50B31"/>
    <w:pPr>
      <w:spacing w:after="240" w:line="240" w:lineRule="auto"/>
    </w:pPr>
    <w:rPr>
      <w:rFonts w:ascii="Arial" w:hAnsi="Arial" w:cs="Arial"/>
      <w:sz w:val="20"/>
      <w:szCs w:val="20"/>
    </w:rPr>
  </w:style>
  <w:style w:type="paragraph" w:customStyle="1" w:styleId="PolicyText2">
    <w:name w:val="PolicyText2"/>
    <w:basedOn w:val="Normal"/>
    <w:autoRedefine/>
    <w:qFormat/>
    <w:rsid w:val="00B50B31"/>
    <w:pPr>
      <w:spacing w:after="240" w:line="240" w:lineRule="auto"/>
      <w:ind w:left="360" w:right="720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6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acey_J\Documents\Custom%20Office%20Templates\IT%20Policy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 Policy Template</Template>
  <TotalTime>276</TotalTime>
  <Pages>2</Pages>
  <Words>621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Software and Firmware Patch Management Policy</vt:lpstr>
    </vt:vector>
  </TitlesOfParts>
  <Company>Hewlett-Packard Company</Company>
  <LinksUpToDate>false</LinksUpToDate>
  <CharactersWithSpaces>4154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Software and Firmware Patch Management Policy</dc:title>
  <dc:creator>Pat Bush</dc:creator>
  <cp:lastModifiedBy>Stacey, Jill</cp:lastModifiedBy>
  <cp:revision>9</cp:revision>
  <dcterms:created xsi:type="dcterms:W3CDTF">2016-09-13T14:09:00Z</dcterms:created>
  <dcterms:modified xsi:type="dcterms:W3CDTF">2017-02-28T16:56:00Z</dcterms:modified>
</cp:coreProperties>
</file>