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84C79" w14:textId="22B57BB8" w:rsidR="00C60265" w:rsidRDefault="00C60265" w:rsidP="007F116B">
      <w:pPr>
        <w:pStyle w:val="Heading1"/>
        <w:rPr>
          <w:rFonts w:ascii="Museo 500" w:hAnsi="Museo 500"/>
          <w:sz w:val="36"/>
        </w:rPr>
      </w:pPr>
      <w:r>
        <w:t>Information Security Training Policy</w:t>
      </w:r>
    </w:p>
    <w:p w14:paraId="2ED8FC44" w14:textId="74A347FA" w:rsidR="003E192C" w:rsidRPr="00C60265" w:rsidRDefault="003E192C" w:rsidP="007F116B">
      <w:pPr>
        <w:pStyle w:val="Heading2"/>
      </w:pPr>
      <w:r w:rsidRPr="00C60265">
        <w:t>Overview</w:t>
      </w:r>
    </w:p>
    <w:p w14:paraId="55529B7D" w14:textId="42461E39" w:rsidR="00334B56" w:rsidRDefault="00334B56" w:rsidP="007F116B">
      <w:pPr>
        <w:pStyle w:val="PolicyText1"/>
      </w:pPr>
      <w:r w:rsidRPr="00334B56">
        <w:t xml:space="preserve">A strong security program requires </w:t>
      </w:r>
      <w:r w:rsidR="008A1CBA">
        <w:t>staff</w:t>
      </w:r>
      <w:r w:rsidR="008A1CBA" w:rsidRPr="00334B56">
        <w:t xml:space="preserve"> </w:t>
      </w:r>
      <w:r w:rsidRPr="00334B56">
        <w:t xml:space="preserve">to be trained on security policies, procedures, and technical security controls.  </w:t>
      </w:r>
      <w:r>
        <w:t>All staff</w:t>
      </w:r>
      <w:r w:rsidRPr="00334B56">
        <w:t xml:space="preserve"> </w:t>
      </w:r>
      <w:proofErr w:type="gramStart"/>
      <w:r w:rsidRPr="00334B56">
        <w:t>need</w:t>
      </w:r>
      <w:proofErr w:type="gramEnd"/>
      <w:r w:rsidRPr="00334B56">
        <w:t xml:space="preserve"> to have the necessary skills to carry out their assigned duties.  </w:t>
      </w:r>
      <w:r>
        <w:t>This policy promotes continuous employee supports around data security and privacy education.</w:t>
      </w:r>
    </w:p>
    <w:p w14:paraId="58AA0A2B" w14:textId="1414E2D0" w:rsidR="007F116B" w:rsidRPr="007F116B" w:rsidRDefault="003E192C" w:rsidP="007F116B">
      <w:pPr>
        <w:pStyle w:val="Heading2"/>
      </w:pPr>
      <w:r w:rsidRPr="007F116B">
        <w:rPr>
          <w:rStyle w:val="Heading2Char"/>
          <w:b/>
          <w:bCs/>
        </w:rPr>
        <w:t>Purpose</w:t>
      </w:r>
      <w:r w:rsidR="007F116B">
        <w:t xml:space="preserve"> </w:t>
      </w:r>
    </w:p>
    <w:p w14:paraId="5D23DBA2" w14:textId="475E79F1" w:rsidR="00334B56" w:rsidRDefault="00334B56" w:rsidP="007F116B">
      <w:pPr>
        <w:pStyle w:val="PolicyText1"/>
      </w:pPr>
      <w:r>
        <w:t>Th</w:t>
      </w:r>
      <w:r w:rsidR="00731E5C">
        <w:t>e purpose of this p</w:t>
      </w:r>
      <w:r w:rsidRPr="00334B56">
        <w:t>olicy is to ensure security awareness</w:t>
      </w:r>
      <w:r>
        <w:t xml:space="preserve"> </w:t>
      </w:r>
      <w:r w:rsidRPr="00334B56">
        <w:t xml:space="preserve">and training controls protect </w:t>
      </w:r>
      <w:r w:rsidR="00731E5C">
        <w:t>information systems and</w:t>
      </w:r>
      <w:r>
        <w:t xml:space="preserve"> </w:t>
      </w:r>
      <w:r w:rsidR="00A367FC">
        <w:t>P</w:t>
      </w:r>
      <w:r>
        <w:t xml:space="preserve">ersonally </w:t>
      </w:r>
      <w:r w:rsidR="00A367FC">
        <w:t>I</w:t>
      </w:r>
      <w:r>
        <w:t xml:space="preserve">dentifiable </w:t>
      </w:r>
      <w:r w:rsidR="00A367FC">
        <w:t>I</w:t>
      </w:r>
      <w:r>
        <w:t>nformation (PII)</w:t>
      </w:r>
      <w:r w:rsidRPr="00334B56">
        <w:t xml:space="preserve"> and ensure information availability, confidentiality, and integrity</w:t>
      </w:r>
      <w:r>
        <w:t xml:space="preserve"> of data</w:t>
      </w:r>
      <w:r w:rsidRPr="00334B56">
        <w:t>.</w:t>
      </w:r>
    </w:p>
    <w:p w14:paraId="452A42AF" w14:textId="004E04F5" w:rsidR="007F116B" w:rsidRDefault="003E192C" w:rsidP="007F116B">
      <w:pPr>
        <w:pStyle w:val="Heading2"/>
      </w:pPr>
      <w:r w:rsidRPr="007F116B">
        <w:t>Scope</w:t>
      </w:r>
    </w:p>
    <w:p w14:paraId="78A471B2" w14:textId="4DA78A76" w:rsidR="00F2011E" w:rsidRPr="007F116B" w:rsidRDefault="003E192C" w:rsidP="007F116B">
      <w:pPr>
        <w:pStyle w:val="PolicyText1"/>
      </w:pPr>
      <w:r w:rsidRPr="003E192C">
        <w:t xml:space="preserve">This policy applies to all </w:t>
      </w:r>
      <w:r w:rsidR="00C60265">
        <w:t xml:space="preserve">[LEP] </w:t>
      </w:r>
      <w:r w:rsidR="008A1CBA">
        <w:t>staff</w:t>
      </w:r>
      <w:r w:rsidR="001B1F8A">
        <w:t>.</w:t>
      </w:r>
      <w:r w:rsidR="006B17C8">
        <w:br/>
      </w:r>
      <w:r w:rsidR="006B17C8">
        <w:br/>
      </w:r>
      <w:r w:rsidR="007F116B" w:rsidRPr="007F116B">
        <w:rPr>
          <w:rStyle w:val="Heading2Char"/>
        </w:rPr>
        <w:t xml:space="preserve">4.  </w:t>
      </w:r>
      <w:r w:rsidRPr="007F116B">
        <w:rPr>
          <w:rStyle w:val="Heading2Char"/>
        </w:rPr>
        <w:t>Policy</w:t>
      </w:r>
    </w:p>
    <w:p w14:paraId="265554F7" w14:textId="1D8D6BAF" w:rsidR="00F8712A" w:rsidRDefault="00F8712A" w:rsidP="007F116B">
      <w:pPr>
        <w:pStyle w:val="Heading3"/>
      </w:pPr>
      <w:r>
        <w:t>GENERAL</w:t>
      </w:r>
    </w:p>
    <w:p w14:paraId="57AAA988" w14:textId="2F1C1F74" w:rsidR="00F2011E" w:rsidRPr="00121736" w:rsidRDefault="00C60265" w:rsidP="007F116B">
      <w:pPr>
        <w:pStyle w:val="PolicyText2"/>
      </w:pPr>
      <w:r>
        <w:t xml:space="preserve">[LEP] </w:t>
      </w:r>
      <w:r w:rsidR="004A7EB0">
        <w:t>management</w:t>
      </w:r>
      <w:r w:rsidR="00F2011E" w:rsidRPr="00121736">
        <w:t xml:space="preserve"> </w:t>
      </w:r>
      <w:proofErr w:type="gramStart"/>
      <w:r w:rsidR="004A7EB0">
        <w:t>is charged</w:t>
      </w:r>
      <w:proofErr w:type="gramEnd"/>
      <w:r w:rsidR="004A7EB0">
        <w:t xml:space="preserve"> with ensuring</w:t>
      </w:r>
      <w:r w:rsidR="00F2011E" w:rsidRPr="00121736">
        <w:t xml:space="preserve"> </w:t>
      </w:r>
      <w:r w:rsidR="004A7EB0">
        <w:t xml:space="preserve">all </w:t>
      </w:r>
      <w:r>
        <w:t xml:space="preserve">[LEP] </w:t>
      </w:r>
      <w:r w:rsidR="004A7EB0">
        <w:t xml:space="preserve">employees are knowledgeable and following best practice protocols for managing data.  </w:t>
      </w:r>
      <w:proofErr w:type="gramStart"/>
      <w:r w:rsidR="004A7EB0">
        <w:t>A such</w:t>
      </w:r>
      <w:proofErr w:type="gramEnd"/>
      <w:r w:rsidR="004A7EB0">
        <w:t xml:space="preserve">, a </w:t>
      </w:r>
      <w:r w:rsidR="00F2011E" w:rsidRPr="00121736">
        <w:t>high priority is given to effective security awareness and training</w:t>
      </w:r>
      <w:r w:rsidR="004A7EB0">
        <w:t xml:space="preserve"> throughout the organization</w:t>
      </w:r>
      <w:r w:rsidR="00F2011E" w:rsidRPr="00121736">
        <w:t xml:space="preserve">.  This includes implementing a viable </w:t>
      </w:r>
      <w:r w:rsidR="004A7EB0">
        <w:t xml:space="preserve">information </w:t>
      </w:r>
      <w:r w:rsidR="00F2011E" w:rsidRPr="00121736">
        <w:t xml:space="preserve">security program </w:t>
      </w:r>
      <w:r w:rsidR="004A7EB0">
        <w:t xml:space="preserve">comprised of a </w:t>
      </w:r>
      <w:r w:rsidR="00F2011E" w:rsidRPr="00121736">
        <w:t xml:space="preserve">strong awareness and training component.   </w:t>
      </w:r>
      <w:r w:rsidR="004A7EB0">
        <w:t>Th</w:t>
      </w:r>
      <w:r>
        <w:t xml:space="preserve">e [Insert Appropriate Role] </w:t>
      </w:r>
      <w:r w:rsidR="004A7EB0">
        <w:t xml:space="preserve">is ultimately </w:t>
      </w:r>
      <w:r w:rsidR="00F2011E" w:rsidRPr="00121736">
        <w:t xml:space="preserve">responsible for the security of </w:t>
      </w:r>
      <w:r w:rsidR="004A7EB0">
        <w:t>data a</w:t>
      </w:r>
      <w:r>
        <w:t>nd assets of the [LEP].  The [Insert Appropriate Role or Roles]</w:t>
      </w:r>
      <w:r w:rsidR="004A7EB0">
        <w:t xml:space="preserve"> in cooperation with senior </w:t>
      </w:r>
      <w:r>
        <w:t xml:space="preserve">[LEP] </w:t>
      </w:r>
      <w:r w:rsidR="004A7EB0">
        <w:t>management</w:t>
      </w:r>
      <w:r w:rsidR="00F2011E" w:rsidRPr="00121736">
        <w:t xml:space="preserve"> shall ensure that a </w:t>
      </w:r>
      <w:r w:rsidR="004A7EB0">
        <w:t xml:space="preserve">consistent, </w:t>
      </w:r>
      <w:r>
        <w:t xml:space="preserve">[LEP] </w:t>
      </w:r>
      <w:r w:rsidR="004A7EB0">
        <w:t xml:space="preserve">-wide, </w:t>
      </w:r>
      <w:r w:rsidR="00F2011E" w:rsidRPr="00121736">
        <w:t>well-supported and effective security program is implemented and maintained.</w:t>
      </w:r>
    </w:p>
    <w:p w14:paraId="4936A797" w14:textId="078F05AF" w:rsidR="00F2011E" w:rsidRPr="00121736" w:rsidRDefault="00C60265" w:rsidP="007F116B">
      <w:pPr>
        <w:pStyle w:val="PolicyText2"/>
      </w:pPr>
      <w:r>
        <w:t xml:space="preserve">The [Insert Appropriate Role] </w:t>
      </w:r>
      <w:r w:rsidR="00F2011E" w:rsidRPr="00121736">
        <w:t xml:space="preserve">shall be responsible for developing, implementing, and maintaining a Security Awareness and Training Plan.  This </w:t>
      </w:r>
      <w:r w:rsidR="004A7EB0">
        <w:t>p</w:t>
      </w:r>
      <w:r w:rsidR="00F2011E" w:rsidRPr="00121736">
        <w:t xml:space="preserve">lan shall document the process for </w:t>
      </w:r>
      <w:r>
        <w:t>s</w:t>
      </w:r>
      <w:r w:rsidR="00F2011E" w:rsidRPr="00121736">
        <w:t xml:space="preserve">taff security training, education, and awareness and ensure that </w:t>
      </w:r>
      <w:r w:rsidR="004A7EB0">
        <w:t xml:space="preserve">all </w:t>
      </w:r>
      <w:r>
        <w:t xml:space="preserve">[LEP] </w:t>
      </w:r>
      <w:r w:rsidR="004A7EB0">
        <w:t xml:space="preserve">employees </w:t>
      </w:r>
      <w:r w:rsidR="00F2011E" w:rsidRPr="00121736">
        <w:t xml:space="preserve">understand their role in protecting the confidentiality, integrity, and availability of </w:t>
      </w:r>
      <w:r w:rsidR="004A7EB0">
        <w:t>data assets</w:t>
      </w:r>
      <w:r w:rsidR="00F2011E" w:rsidRPr="00121736">
        <w:t>.</w:t>
      </w:r>
      <w:r w:rsidR="00F2011E">
        <w:t xml:space="preserve">  </w:t>
      </w:r>
      <w:r w:rsidR="004A7EB0">
        <w:t xml:space="preserve">The plan shall cover </w:t>
      </w:r>
      <w:r w:rsidR="00F2011E">
        <w:t xml:space="preserve">what </w:t>
      </w:r>
      <w:r w:rsidR="004A7EB0">
        <w:t xml:space="preserve">information </w:t>
      </w:r>
      <w:r w:rsidR="00F2011E">
        <w:t>to communicate, when to communicate</w:t>
      </w:r>
      <w:r w:rsidR="004A7EB0">
        <w:t xml:space="preserve"> it</w:t>
      </w:r>
      <w:r w:rsidR="00F2011E">
        <w:t xml:space="preserve">, with whom to communicate, </w:t>
      </w:r>
      <w:r w:rsidR="004A7EB0">
        <w:t>responsibility for communication</w:t>
      </w:r>
      <w:r w:rsidR="00F2011E">
        <w:t xml:space="preserve">, and the process by which communication </w:t>
      </w:r>
      <w:proofErr w:type="gramStart"/>
      <w:r w:rsidR="00F2011E">
        <w:t>shall be effected</w:t>
      </w:r>
      <w:proofErr w:type="gramEnd"/>
      <w:r w:rsidR="00F2011E">
        <w:t>.</w:t>
      </w:r>
    </w:p>
    <w:p w14:paraId="50C815E2" w14:textId="7E7F9FDC" w:rsidR="00F2011E" w:rsidRPr="00121736" w:rsidRDefault="004A7EB0" w:rsidP="007F116B">
      <w:pPr>
        <w:pStyle w:val="PolicyText2"/>
      </w:pPr>
      <w:r>
        <w:t>Secondly, the plan</w:t>
      </w:r>
      <w:r w:rsidR="00F2011E" w:rsidRPr="00121736">
        <w:t xml:space="preserve"> shall ensure that </w:t>
      </w:r>
      <w:proofErr w:type="gramStart"/>
      <w:r>
        <w:t>staff are</w:t>
      </w:r>
      <w:proofErr w:type="gramEnd"/>
      <w:r>
        <w:t xml:space="preserve"> </w:t>
      </w:r>
      <w:r w:rsidR="00F2011E" w:rsidRPr="00121736">
        <w:t xml:space="preserve">provided with regular training, reference materials, </w:t>
      </w:r>
      <w:r>
        <w:t xml:space="preserve">supports, </w:t>
      </w:r>
      <w:r w:rsidR="00F2011E" w:rsidRPr="00121736">
        <w:t xml:space="preserve">and reminders </w:t>
      </w:r>
      <w:r>
        <w:t xml:space="preserve">that </w:t>
      </w:r>
      <w:r w:rsidR="00F2011E" w:rsidRPr="00121736">
        <w:t xml:space="preserve">enable them to appropriately protect </w:t>
      </w:r>
      <w:r w:rsidR="00C60265">
        <w:t xml:space="preserve">[LEP] </w:t>
      </w:r>
      <w:r>
        <w:t>data assets</w:t>
      </w:r>
      <w:r w:rsidR="00F2011E" w:rsidRPr="00121736">
        <w:t xml:space="preserve">.  Training shall include, but is not limited </w:t>
      </w:r>
      <w:proofErr w:type="gramStart"/>
      <w:r w:rsidR="00F2011E" w:rsidRPr="00121736">
        <w:t>to</w:t>
      </w:r>
      <w:proofErr w:type="gramEnd"/>
      <w:r w:rsidR="00F2011E" w:rsidRPr="00121736">
        <w:t>:</w:t>
      </w:r>
    </w:p>
    <w:p w14:paraId="26FC6AA0" w14:textId="26907EB8" w:rsidR="00F2011E" w:rsidRPr="00121736" w:rsidRDefault="004A7EB0" w:rsidP="007F116B">
      <w:pPr>
        <w:pStyle w:val="PolicyText2"/>
        <w:numPr>
          <w:ilvl w:val="0"/>
          <w:numId w:val="39"/>
        </w:numPr>
      </w:pPr>
      <w:r>
        <w:t>R</w:t>
      </w:r>
      <w:r w:rsidR="00F2011E" w:rsidRPr="00121736">
        <w:t xml:space="preserve">esponsibilities for protecting </w:t>
      </w:r>
      <w:r w:rsidR="00C60265">
        <w:t>sensitive information</w:t>
      </w:r>
    </w:p>
    <w:p w14:paraId="3C9348B4" w14:textId="105A2580" w:rsidR="00F2011E" w:rsidRDefault="00272D88" w:rsidP="007F116B">
      <w:pPr>
        <w:pStyle w:val="PolicyText2"/>
        <w:numPr>
          <w:ilvl w:val="0"/>
          <w:numId w:val="39"/>
        </w:numPr>
      </w:pPr>
      <w:r>
        <w:t>Risks to information assets and r</w:t>
      </w:r>
      <w:r w:rsidR="00F2011E" w:rsidRPr="00121736">
        <w:t>esources</w:t>
      </w:r>
    </w:p>
    <w:p w14:paraId="7958ED4A" w14:textId="56434F03" w:rsidR="0050484A" w:rsidRPr="00121736" w:rsidRDefault="0050484A" w:rsidP="007F116B">
      <w:pPr>
        <w:pStyle w:val="PolicyText2"/>
        <w:numPr>
          <w:ilvl w:val="0"/>
          <w:numId w:val="39"/>
        </w:numPr>
      </w:pPr>
      <w:r>
        <w:t xml:space="preserve">Data </w:t>
      </w:r>
      <w:r w:rsidR="00731E5C">
        <w:t>e</w:t>
      </w:r>
      <w:r>
        <w:t>ncryption</w:t>
      </w:r>
      <w:r w:rsidR="007F116B">
        <w:t xml:space="preserve"> and access management</w:t>
      </w:r>
    </w:p>
    <w:p w14:paraId="63943028" w14:textId="4B2AE77F" w:rsidR="00F2011E" w:rsidRPr="00121736" w:rsidRDefault="0050484A" w:rsidP="007F116B">
      <w:pPr>
        <w:pStyle w:val="PolicyText2"/>
        <w:numPr>
          <w:ilvl w:val="0"/>
          <w:numId w:val="39"/>
        </w:numPr>
      </w:pPr>
      <w:r>
        <w:t>S</w:t>
      </w:r>
      <w:r w:rsidR="00F2011E" w:rsidRPr="00121736">
        <w:t xml:space="preserve">ecure use of </w:t>
      </w:r>
      <w:r w:rsidR="007F116B">
        <w:t>data and information assets</w:t>
      </w:r>
    </w:p>
    <w:p w14:paraId="47086D89" w14:textId="47FFCF60" w:rsidR="00F2011E" w:rsidRDefault="00C60265" w:rsidP="007F116B">
      <w:pPr>
        <w:pStyle w:val="PolicyText2"/>
        <w:numPr>
          <w:ilvl w:val="0"/>
          <w:numId w:val="39"/>
        </w:numPr>
      </w:pPr>
      <w:r>
        <w:t>[LEP]</w:t>
      </w:r>
      <w:r w:rsidR="0050484A">
        <w:t xml:space="preserve"> </w:t>
      </w:r>
      <w:r w:rsidR="00272D88">
        <w:t>i</w:t>
      </w:r>
      <w:r w:rsidR="00F2011E" w:rsidRPr="00121736">
        <w:t>nformation security policies, procedures, and best practices</w:t>
      </w:r>
    </w:p>
    <w:p w14:paraId="44BBC2E1" w14:textId="3BC3605B" w:rsidR="00F8712A" w:rsidRPr="00F8712A" w:rsidRDefault="0050484A" w:rsidP="007F116B">
      <w:pPr>
        <w:pStyle w:val="PolicyText2"/>
        <w:numPr>
          <w:ilvl w:val="0"/>
          <w:numId w:val="39"/>
        </w:numPr>
      </w:pPr>
      <w:r w:rsidRPr="00F8712A">
        <w:lastRenderedPageBreak/>
        <w:t xml:space="preserve">Protecting </w:t>
      </w:r>
      <w:r w:rsidR="00272D88" w:rsidRPr="00F8712A">
        <w:t>a</w:t>
      </w:r>
      <w:r w:rsidRPr="00F8712A">
        <w:t xml:space="preserve">ssets and </w:t>
      </w:r>
      <w:r w:rsidR="00272D88" w:rsidRPr="00F8712A">
        <w:t>i</w:t>
      </w:r>
      <w:r w:rsidRPr="00F8712A">
        <w:t>dentities</w:t>
      </w:r>
    </w:p>
    <w:p w14:paraId="1BF4EE42" w14:textId="2A564B51" w:rsidR="00F8712A" w:rsidRDefault="00F8712A" w:rsidP="007F116B">
      <w:pPr>
        <w:pStyle w:val="Heading3"/>
      </w:pPr>
      <w:r>
        <w:t>TRAINING PLAN REQUIREMENTS</w:t>
      </w:r>
    </w:p>
    <w:p w14:paraId="3B11AC3C" w14:textId="2F4C44B7" w:rsidR="00F2011E" w:rsidRPr="00121736" w:rsidRDefault="0050484A" w:rsidP="007F116B">
      <w:pPr>
        <w:pStyle w:val="PolicyText2"/>
      </w:pPr>
      <w:r>
        <w:t>The training p</w:t>
      </w:r>
      <w:r w:rsidR="00F2011E" w:rsidRPr="00121736">
        <w:t>lan shall ensure:</w:t>
      </w:r>
    </w:p>
    <w:p w14:paraId="30094207" w14:textId="7960A50C" w:rsidR="0050484A" w:rsidRDefault="00F2011E" w:rsidP="007F116B">
      <w:pPr>
        <w:pStyle w:val="PolicyText2"/>
        <w:numPr>
          <w:ilvl w:val="0"/>
          <w:numId w:val="40"/>
        </w:numPr>
      </w:pPr>
      <w:r w:rsidRPr="0050484A">
        <w:t xml:space="preserve">All </w:t>
      </w:r>
      <w:r w:rsidR="00C60265">
        <w:t xml:space="preserve">[LEP] </w:t>
      </w:r>
      <w:r w:rsidRPr="0050484A">
        <w:t xml:space="preserve">users attend an approved security awareness training class </w:t>
      </w:r>
      <w:r w:rsidR="0050484A" w:rsidRPr="0050484A">
        <w:t xml:space="preserve">within 30 days of </w:t>
      </w:r>
      <w:proofErr w:type="gramStart"/>
      <w:r w:rsidRPr="0050484A">
        <w:t>being granted</w:t>
      </w:r>
      <w:proofErr w:type="gramEnd"/>
      <w:r w:rsidRPr="0050484A">
        <w:t xml:space="preserve"> access to </w:t>
      </w:r>
      <w:r w:rsidR="00C60265">
        <w:t xml:space="preserve">[LEP] </w:t>
      </w:r>
      <w:r w:rsidR="00272D88">
        <w:t>resources</w:t>
      </w:r>
      <w:r w:rsidRPr="0050484A">
        <w:t>.</w:t>
      </w:r>
    </w:p>
    <w:p w14:paraId="6E36E447" w14:textId="0A9E63A0" w:rsidR="00F2011E" w:rsidRPr="0050484A" w:rsidRDefault="00F2011E" w:rsidP="007F116B">
      <w:pPr>
        <w:pStyle w:val="PolicyText2"/>
        <w:numPr>
          <w:ilvl w:val="0"/>
          <w:numId w:val="40"/>
        </w:numPr>
      </w:pPr>
      <w:proofErr w:type="gramStart"/>
      <w:r w:rsidRPr="0050484A">
        <w:t>Staff receive</w:t>
      </w:r>
      <w:proofErr w:type="gramEnd"/>
      <w:r w:rsidRPr="0050484A">
        <w:t xml:space="preserve"> training appropriate for specific job roles and responsibilities.  After such training, </w:t>
      </w:r>
      <w:r w:rsidR="0050484A">
        <w:t>s</w:t>
      </w:r>
      <w:r w:rsidRPr="0050484A">
        <w:t xml:space="preserve">taff must verify </w:t>
      </w:r>
      <w:r w:rsidR="0050484A">
        <w:t xml:space="preserve">through certificate completion and </w:t>
      </w:r>
      <w:r w:rsidR="00272D88">
        <w:t>assessment</w:t>
      </w:r>
      <w:r w:rsidR="0050484A">
        <w:t xml:space="preserve"> </w:t>
      </w:r>
      <w:r w:rsidRPr="0050484A">
        <w:t>that he or she received the training, understood the material presented, and agrees to comply with it.</w:t>
      </w:r>
    </w:p>
    <w:p w14:paraId="4AE05A8C" w14:textId="26D9BFC3" w:rsidR="00F2011E" w:rsidRPr="00121736" w:rsidRDefault="00F2011E" w:rsidP="007F116B">
      <w:pPr>
        <w:pStyle w:val="PolicyText2"/>
        <w:numPr>
          <w:ilvl w:val="0"/>
          <w:numId w:val="40"/>
        </w:numPr>
      </w:pPr>
      <w:proofErr w:type="gramStart"/>
      <w:r w:rsidRPr="00121736">
        <w:t xml:space="preserve">Staff </w:t>
      </w:r>
      <w:r w:rsidR="0050484A">
        <w:t>are</w:t>
      </w:r>
      <w:proofErr w:type="gramEnd"/>
      <w:r w:rsidR="0050484A">
        <w:t xml:space="preserve"> </w:t>
      </w:r>
      <w:r w:rsidRPr="00121736">
        <w:t>trained on how to identify, report, and prevent security incidents</w:t>
      </w:r>
      <w:r w:rsidR="0050484A">
        <w:t xml:space="preserve"> and data breaches</w:t>
      </w:r>
      <w:r w:rsidRPr="00121736">
        <w:t>.</w:t>
      </w:r>
    </w:p>
    <w:p w14:paraId="1BFE9649" w14:textId="24608BA3" w:rsidR="00F2011E" w:rsidRPr="00121736" w:rsidRDefault="0050484A" w:rsidP="007F116B">
      <w:pPr>
        <w:pStyle w:val="PolicyText2"/>
        <w:numPr>
          <w:ilvl w:val="0"/>
          <w:numId w:val="40"/>
        </w:numPr>
      </w:pPr>
      <w:r>
        <w:t>Appropriate s</w:t>
      </w:r>
      <w:r w:rsidR="00F2011E" w:rsidRPr="00121736">
        <w:t>ecurity policies, procedures, and manuals are readily available for reference and review.</w:t>
      </w:r>
    </w:p>
    <w:p w14:paraId="10D837CD" w14:textId="04FACB93" w:rsidR="00F2011E" w:rsidRDefault="00F2011E" w:rsidP="007F116B">
      <w:pPr>
        <w:pStyle w:val="PolicyText2"/>
        <w:numPr>
          <w:ilvl w:val="0"/>
          <w:numId w:val="40"/>
        </w:numPr>
      </w:pPr>
      <w:proofErr w:type="gramStart"/>
      <w:r w:rsidRPr="008B3B02">
        <w:t>Staff annual</w:t>
      </w:r>
      <w:r w:rsidR="0050484A">
        <w:t>ly attend</w:t>
      </w:r>
      <w:proofErr w:type="gramEnd"/>
      <w:r w:rsidRPr="008B3B02">
        <w:t xml:space="preserve"> security awareness </w:t>
      </w:r>
      <w:r w:rsidR="0050484A">
        <w:t xml:space="preserve">refresher </w:t>
      </w:r>
      <w:r w:rsidRPr="008B3B02">
        <w:t>training.</w:t>
      </w:r>
    </w:p>
    <w:p w14:paraId="51E17FAD" w14:textId="677169F5" w:rsidR="00F2011E" w:rsidRDefault="0050484A" w:rsidP="007F116B">
      <w:pPr>
        <w:pStyle w:val="PolicyText2"/>
        <w:numPr>
          <w:ilvl w:val="0"/>
          <w:numId w:val="40"/>
        </w:numPr>
      </w:pPr>
      <w:r>
        <w:t>U</w:t>
      </w:r>
      <w:r w:rsidR="00F2011E" w:rsidRPr="008B3B02">
        <w:t xml:space="preserve">sers sign an acknowledgement stating they have read and understand </w:t>
      </w:r>
      <w:r w:rsidR="00C60265">
        <w:t xml:space="preserve">[LEP] </w:t>
      </w:r>
      <w:r>
        <w:t xml:space="preserve">acceptable use </w:t>
      </w:r>
      <w:r w:rsidR="00F2011E" w:rsidRPr="008B3B02">
        <w:t>requirements regarding computer and information security policies and procedures.</w:t>
      </w:r>
    </w:p>
    <w:p w14:paraId="52EBDF45" w14:textId="1F64572F" w:rsidR="00F2011E" w:rsidRDefault="00F2011E" w:rsidP="007F116B">
      <w:pPr>
        <w:pStyle w:val="PolicyText2"/>
        <w:numPr>
          <w:ilvl w:val="0"/>
          <w:numId w:val="40"/>
        </w:numPr>
      </w:pPr>
      <w:r w:rsidRPr="008B3B02">
        <w:t xml:space="preserve">Staff </w:t>
      </w:r>
      <w:proofErr w:type="gramStart"/>
      <w:r w:rsidRPr="008B3B02">
        <w:t>must be provided</w:t>
      </w:r>
      <w:proofErr w:type="gramEnd"/>
      <w:r w:rsidRPr="008B3B02">
        <w:t xml:space="preserve"> with sufficient training and supporting reference materials to allow them to protect </w:t>
      </w:r>
      <w:r w:rsidR="00C60265">
        <w:t xml:space="preserve">[LEP] </w:t>
      </w:r>
      <w:r w:rsidR="0050484A">
        <w:t>data and assets</w:t>
      </w:r>
      <w:r w:rsidRPr="008B3B02">
        <w:t>.</w:t>
      </w:r>
    </w:p>
    <w:p w14:paraId="3DE14896" w14:textId="1B22C175" w:rsidR="00F2011E" w:rsidRDefault="00C60265" w:rsidP="007F116B">
      <w:pPr>
        <w:pStyle w:val="PolicyText2"/>
        <w:numPr>
          <w:ilvl w:val="0"/>
          <w:numId w:val="40"/>
        </w:numPr>
      </w:pPr>
      <w:r>
        <w:t>The [Insert Appropriate Role]</w:t>
      </w:r>
      <w:r w:rsidR="0050484A">
        <w:t xml:space="preserve"> or their designee shall </w:t>
      </w:r>
      <w:r w:rsidR="00F2011E" w:rsidRPr="008B3B02">
        <w:t xml:space="preserve">prepare, maintain, and distribute </w:t>
      </w:r>
      <w:r w:rsidR="0050484A">
        <w:t>an information security manual</w:t>
      </w:r>
      <w:r w:rsidR="00F2011E" w:rsidRPr="008B3B02">
        <w:t xml:space="preserve"> that concisely describe information security policies and procedures.</w:t>
      </w:r>
    </w:p>
    <w:p w14:paraId="06AA7943" w14:textId="22D3319B" w:rsidR="0050484A" w:rsidRDefault="00F2011E" w:rsidP="007F116B">
      <w:pPr>
        <w:pStyle w:val="PolicyText2"/>
        <w:numPr>
          <w:ilvl w:val="0"/>
          <w:numId w:val="40"/>
        </w:numPr>
      </w:pPr>
      <w:r w:rsidRPr="0050484A">
        <w:t xml:space="preserve">Cloud computing </w:t>
      </w:r>
      <w:r w:rsidR="0050484A" w:rsidRPr="0050484A">
        <w:t xml:space="preserve">and outsourcing </w:t>
      </w:r>
      <w:r w:rsidRPr="0050484A">
        <w:t xml:space="preserve">security awareness training shall address multi-tenant, nationality, and cloud delivery models.  </w:t>
      </w:r>
    </w:p>
    <w:p w14:paraId="54FABFDA" w14:textId="325FE181" w:rsidR="00F2011E" w:rsidRDefault="00F2011E" w:rsidP="007F116B">
      <w:pPr>
        <w:pStyle w:val="PolicyText2"/>
        <w:numPr>
          <w:ilvl w:val="0"/>
          <w:numId w:val="40"/>
        </w:numPr>
      </w:pPr>
      <w:proofErr w:type="gramStart"/>
      <w:r w:rsidRPr="0050484A">
        <w:t>Staff are</w:t>
      </w:r>
      <w:proofErr w:type="gramEnd"/>
      <w:r w:rsidRPr="0050484A">
        <w:t xml:space="preserve"> aware </w:t>
      </w:r>
      <w:r w:rsidR="0050484A">
        <w:t xml:space="preserve">and accept </w:t>
      </w:r>
      <w:r w:rsidRPr="0050484A">
        <w:t>the risks</w:t>
      </w:r>
      <w:r w:rsidR="0050484A">
        <w:t>,</w:t>
      </w:r>
      <w:r w:rsidRPr="0050484A">
        <w:t xml:space="preserve"> </w:t>
      </w:r>
      <w:r w:rsidR="0050484A">
        <w:t>r</w:t>
      </w:r>
      <w:r w:rsidRPr="0050484A">
        <w:t>esponsibilities</w:t>
      </w:r>
      <w:r w:rsidR="0050484A">
        <w:t>, and limitations</w:t>
      </w:r>
      <w:r w:rsidR="00C60265">
        <w:t xml:space="preserve"> related to </w:t>
      </w:r>
      <w:r w:rsidR="00731E5C">
        <w:t xml:space="preserve">the </w:t>
      </w:r>
      <w:r w:rsidR="00C60265">
        <w:t>Bring Your O</w:t>
      </w:r>
      <w:r w:rsidRPr="0050484A">
        <w:t>w</w:t>
      </w:r>
      <w:r w:rsidR="00C60265">
        <w:t>n D</w:t>
      </w:r>
      <w:r w:rsidR="0050484A">
        <w:t>evice (</w:t>
      </w:r>
      <w:r w:rsidR="00C60265">
        <w:t>“</w:t>
      </w:r>
      <w:r w:rsidR="0050484A">
        <w:t>BYOD</w:t>
      </w:r>
      <w:r w:rsidR="00C60265">
        <w:t>”</w:t>
      </w:r>
      <w:r w:rsidRPr="0050484A">
        <w:t>)</w:t>
      </w:r>
      <w:r w:rsidR="00C60265">
        <w:t xml:space="preserve"> </w:t>
      </w:r>
      <w:r w:rsidR="00731E5C">
        <w:t>P</w:t>
      </w:r>
      <w:r w:rsidR="0050484A">
        <w:t>olicy</w:t>
      </w:r>
      <w:r w:rsidRPr="0050484A">
        <w:t>.</w:t>
      </w:r>
    </w:p>
    <w:p w14:paraId="0550D470" w14:textId="31AAD5FD" w:rsidR="00F8712A" w:rsidRDefault="00F8712A" w:rsidP="007F116B">
      <w:pPr>
        <w:pStyle w:val="Heading3"/>
      </w:pPr>
      <w:r>
        <w:t>MANAGEMENT IMPLEMENTATION</w:t>
      </w:r>
    </w:p>
    <w:p w14:paraId="177A38F3" w14:textId="56846ACF" w:rsidR="00F2011E" w:rsidRPr="00121736" w:rsidRDefault="00F2011E" w:rsidP="007F116B">
      <w:pPr>
        <w:pStyle w:val="PolicyText2"/>
      </w:pPr>
      <w:r w:rsidRPr="00121736">
        <w:t xml:space="preserve">The </w:t>
      </w:r>
      <w:r w:rsidR="00C60265">
        <w:t xml:space="preserve">[Insert Appropriate Role] </w:t>
      </w:r>
      <w:r w:rsidR="0050484A">
        <w:t xml:space="preserve">or their designee </w:t>
      </w:r>
      <w:r w:rsidRPr="00121736">
        <w:t>shall:</w:t>
      </w:r>
    </w:p>
    <w:p w14:paraId="46E784F7" w14:textId="61C70103" w:rsidR="00F2011E" w:rsidRPr="00121736" w:rsidRDefault="00F2011E" w:rsidP="007F116B">
      <w:pPr>
        <w:pStyle w:val="PolicyText2"/>
        <w:numPr>
          <w:ilvl w:val="0"/>
          <w:numId w:val="41"/>
        </w:numPr>
      </w:pPr>
      <w:r w:rsidRPr="00121736">
        <w:t>Develop and maintain a communications process to communicate new security program</w:t>
      </w:r>
      <w:r w:rsidR="0050484A">
        <w:t>s and</w:t>
      </w:r>
      <w:r w:rsidRPr="00121736">
        <w:t xml:space="preserve"> items of interest.</w:t>
      </w:r>
    </w:p>
    <w:p w14:paraId="3AE4C488" w14:textId="2A7EBC37" w:rsidR="00272D88" w:rsidRPr="00272D88" w:rsidRDefault="00272D88" w:rsidP="007F116B">
      <w:pPr>
        <w:pStyle w:val="PolicyText2"/>
        <w:numPr>
          <w:ilvl w:val="0"/>
          <w:numId w:val="41"/>
        </w:numPr>
      </w:pPr>
      <w:r>
        <w:t xml:space="preserve">Ensure that </w:t>
      </w:r>
      <w:proofErr w:type="gramStart"/>
      <w:r>
        <w:t>s</w:t>
      </w:r>
      <w:r w:rsidR="00F2011E" w:rsidRPr="00272D88">
        <w:t xml:space="preserve">taff responsible for implementing </w:t>
      </w:r>
      <w:r w:rsidR="00515B11">
        <w:t>[Insert Appropriate Department]</w:t>
      </w:r>
      <w:r w:rsidR="0050484A" w:rsidRPr="00272D88">
        <w:t xml:space="preserve"> safeguards receive</w:t>
      </w:r>
      <w:proofErr w:type="gramEnd"/>
      <w:r w:rsidR="00F2011E" w:rsidRPr="00272D88">
        <w:t xml:space="preserve"> training in security best practices.</w:t>
      </w:r>
    </w:p>
    <w:p w14:paraId="75547636" w14:textId="3CB9DC6D" w:rsidR="003E192C" w:rsidRPr="003E192C" w:rsidRDefault="00F2011E" w:rsidP="007F116B">
      <w:pPr>
        <w:pStyle w:val="PolicyText2"/>
        <w:numPr>
          <w:ilvl w:val="0"/>
          <w:numId w:val="41"/>
        </w:numPr>
      </w:pPr>
      <w:r w:rsidRPr="00272D88">
        <w:t>Ensure periodic security reminders (flyers or posters, emails, v</w:t>
      </w:r>
      <w:r w:rsidR="00731E5C">
        <w:t>erbal updates at meetings) keep</w:t>
      </w:r>
      <w:r w:rsidR="00272D88" w:rsidRPr="00272D88">
        <w:t xml:space="preserve"> </w:t>
      </w:r>
      <w:r w:rsidR="00515B11">
        <w:t>[LEP]</w:t>
      </w:r>
      <w:r w:rsidR="00731E5C">
        <w:t xml:space="preserve"> staff</w:t>
      </w:r>
      <w:r w:rsidR="00515B11">
        <w:t xml:space="preserve"> </w:t>
      </w:r>
      <w:r w:rsidRPr="00272D88">
        <w:t xml:space="preserve">up-to-date on new and emerging threats and security best practices.  The </w:t>
      </w:r>
      <w:proofErr w:type="gramStart"/>
      <w:r w:rsidRPr="00272D88">
        <w:t>frequency and method of delivery of such remind</w:t>
      </w:r>
      <w:r w:rsidR="00272D88" w:rsidRPr="00272D88">
        <w:t xml:space="preserve">ers shall be determined by the </w:t>
      </w:r>
      <w:r w:rsidR="00515B11">
        <w:t>[Insert Appropriate Role]</w:t>
      </w:r>
      <w:proofErr w:type="gramEnd"/>
      <w:r w:rsidRPr="00272D88">
        <w:t>.</w:t>
      </w:r>
    </w:p>
    <w:p w14:paraId="4447E988" w14:textId="33EB450F" w:rsidR="003E192C" w:rsidRPr="003E192C" w:rsidRDefault="003E192C" w:rsidP="007F116B">
      <w:pPr>
        <w:pStyle w:val="Heading2"/>
        <w:numPr>
          <w:ilvl w:val="0"/>
          <w:numId w:val="38"/>
        </w:numPr>
        <w:tabs>
          <w:tab w:val="clear" w:pos="720"/>
          <w:tab w:val="num" w:pos="360"/>
        </w:tabs>
      </w:pPr>
      <w:r w:rsidRPr="003E192C">
        <w:lastRenderedPageBreak/>
        <w:t>Audit Controls and Management</w:t>
      </w:r>
    </w:p>
    <w:p w14:paraId="15D6E040" w14:textId="0C3AEBC5" w:rsidR="003E192C" w:rsidRDefault="003E192C" w:rsidP="007F116B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515B11">
        <w:t xml:space="preserve">[LEP] </w:t>
      </w:r>
      <w:r w:rsidRPr="003E192C">
        <w:t xml:space="preserve">internal </w:t>
      </w:r>
      <w:r w:rsidR="00272D88">
        <w:t>operations</w:t>
      </w:r>
      <w:r w:rsidRPr="003E192C">
        <w:t>.</w:t>
      </w:r>
      <w:r w:rsidR="00272D88">
        <w:t xml:space="preserve">  Examples of management controls include:</w:t>
      </w:r>
    </w:p>
    <w:p w14:paraId="6F65A28E" w14:textId="17CC5897" w:rsidR="00272D88" w:rsidRDefault="00272D88" w:rsidP="007F116B">
      <w:pPr>
        <w:pStyle w:val="PolicyText1"/>
        <w:numPr>
          <w:ilvl w:val="0"/>
          <w:numId w:val="42"/>
        </w:numPr>
      </w:pPr>
      <w:r>
        <w:t>Documented information security training plan with evidence of consistent update and version control of the document</w:t>
      </w:r>
    </w:p>
    <w:p w14:paraId="291A2157" w14:textId="156F4750" w:rsidR="00272D88" w:rsidRDefault="00272D88" w:rsidP="007F116B">
      <w:pPr>
        <w:pStyle w:val="PolicyText1"/>
        <w:numPr>
          <w:ilvl w:val="0"/>
          <w:numId w:val="42"/>
        </w:numPr>
      </w:pPr>
      <w:r>
        <w:t>On-demand review of existing training program information and implementation within the organization</w:t>
      </w:r>
    </w:p>
    <w:p w14:paraId="6A7DD4E7" w14:textId="3E1223AD" w:rsidR="00272D88" w:rsidRDefault="00272D88" w:rsidP="007F116B">
      <w:pPr>
        <w:pStyle w:val="PolicyText1"/>
        <w:numPr>
          <w:ilvl w:val="0"/>
          <w:numId w:val="42"/>
        </w:numPr>
      </w:pPr>
      <w:r>
        <w:t>Completion and employee acceptanc</w:t>
      </w:r>
      <w:r w:rsidR="00A80AA9">
        <w:t>e logs for completed education</w:t>
      </w:r>
    </w:p>
    <w:p w14:paraId="785D9B00" w14:textId="690F9337" w:rsidR="00272D88" w:rsidRDefault="00272D88" w:rsidP="007F116B">
      <w:pPr>
        <w:pStyle w:val="PolicyText1"/>
        <w:numPr>
          <w:ilvl w:val="0"/>
          <w:numId w:val="42"/>
        </w:numPr>
      </w:pPr>
      <w:r>
        <w:t>Completion rate statistics</w:t>
      </w:r>
    </w:p>
    <w:p w14:paraId="3A103D38" w14:textId="757688F6" w:rsidR="00272D88" w:rsidRPr="00272D88" w:rsidRDefault="00272D88" w:rsidP="007F116B">
      <w:pPr>
        <w:pStyle w:val="PolicyText1"/>
        <w:numPr>
          <w:ilvl w:val="0"/>
          <w:numId w:val="42"/>
        </w:numPr>
      </w:pPr>
      <w:r>
        <w:t>On-demand evidence of continuing education and reminders are in place</w:t>
      </w:r>
      <w:bookmarkStart w:id="0" w:name="_GoBack"/>
      <w:bookmarkEnd w:id="0"/>
    </w:p>
    <w:p w14:paraId="1C096EAE" w14:textId="3BF3AD0B" w:rsidR="003E192C" w:rsidRPr="003E192C" w:rsidRDefault="003E192C" w:rsidP="007F116B">
      <w:pPr>
        <w:pStyle w:val="Heading2"/>
      </w:pPr>
      <w:r w:rsidRPr="003E192C">
        <w:t xml:space="preserve">Enforcement  </w:t>
      </w:r>
    </w:p>
    <w:p w14:paraId="30E7BAD1" w14:textId="57D4355E" w:rsidR="003E192C" w:rsidRPr="003E192C" w:rsidRDefault="003E192C" w:rsidP="007F116B">
      <w:pPr>
        <w:pStyle w:val="PolicyText1"/>
      </w:pPr>
      <w:r w:rsidRPr="003E192C">
        <w:t>Staff members found in policy violation may be subject to disciplinary action, up to and including termination</w:t>
      </w:r>
      <w:r w:rsidR="006B17C8">
        <w:t>.</w:t>
      </w:r>
    </w:p>
    <w:p w14:paraId="44F6A0D8" w14:textId="3BBB6FE9" w:rsidR="003E192C" w:rsidRPr="003E192C" w:rsidRDefault="003E192C" w:rsidP="007F116B">
      <w:pPr>
        <w:pStyle w:val="Heading2"/>
      </w:pPr>
      <w:r w:rsidRPr="003E192C">
        <w:t>Distribution</w:t>
      </w:r>
    </w:p>
    <w:p w14:paraId="44854BCB" w14:textId="51F1C17F" w:rsidR="003E192C" w:rsidRPr="003E192C" w:rsidRDefault="003E192C" w:rsidP="007F116B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515B11">
        <w:t xml:space="preserve">[LEP] </w:t>
      </w:r>
      <w:r w:rsidR="00731E5C">
        <w:t xml:space="preserve">staff </w:t>
      </w:r>
      <w:r w:rsidRPr="003E192C">
        <w:t xml:space="preserve">using </w:t>
      </w:r>
      <w:r w:rsidR="00272D88">
        <w:t xml:space="preserve">or accessing </w:t>
      </w:r>
      <w:r w:rsidR="00515B11">
        <w:t>[LEP]</w:t>
      </w:r>
      <w:r w:rsidRPr="003E192C">
        <w:t xml:space="preserve"> </w:t>
      </w:r>
      <w:r w:rsidR="00272D88">
        <w:t>information resources and assets</w:t>
      </w:r>
      <w:r w:rsidRPr="003E192C">
        <w:t>.</w:t>
      </w:r>
    </w:p>
    <w:p w14:paraId="48B995F8" w14:textId="77777777" w:rsidR="003E192C" w:rsidRPr="003E192C" w:rsidRDefault="003E192C" w:rsidP="007F116B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3F1A7E3E" w14:textId="77777777" w:rsidTr="007531D3">
        <w:tc>
          <w:tcPr>
            <w:tcW w:w="1137" w:type="dxa"/>
            <w:shd w:val="clear" w:color="auto" w:fill="C0C0C0"/>
          </w:tcPr>
          <w:p w14:paraId="12BB222A" w14:textId="77777777" w:rsidR="003E192C" w:rsidRPr="003E192C" w:rsidRDefault="003E192C" w:rsidP="007F116B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301A5B48" w14:textId="77777777" w:rsidR="003E192C" w:rsidRPr="003E192C" w:rsidRDefault="003E192C" w:rsidP="007F116B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7E2CB191" w14:textId="77777777" w:rsidR="003E192C" w:rsidRPr="003E192C" w:rsidRDefault="003E192C" w:rsidP="007F116B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13A514C5" w14:textId="77777777" w:rsidR="003E192C" w:rsidRPr="003E192C" w:rsidRDefault="003E192C" w:rsidP="007F116B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79DA6494" w14:textId="77777777" w:rsidTr="007531D3">
        <w:tc>
          <w:tcPr>
            <w:tcW w:w="1137" w:type="dxa"/>
            <w:shd w:val="clear" w:color="auto" w:fill="auto"/>
          </w:tcPr>
          <w:p w14:paraId="7669DE99" w14:textId="77777777" w:rsidR="003E192C" w:rsidRPr="003E192C" w:rsidRDefault="003E192C" w:rsidP="007F116B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568D77C3" w14:textId="77777777" w:rsidR="003E192C" w:rsidRPr="003E192C" w:rsidRDefault="00272D88" w:rsidP="007F116B">
            <w:pPr>
              <w:pStyle w:val="PolicyText1"/>
            </w:pPr>
            <w:r>
              <w:t>10</w:t>
            </w:r>
            <w:r w:rsidR="003E192C" w:rsidRPr="003E192C">
              <w:t>/</w:t>
            </w:r>
            <w:r>
              <w:t>20</w:t>
            </w:r>
            <w:r w:rsidR="003E192C" w:rsidRPr="003E192C">
              <w:t>2016</w:t>
            </w:r>
          </w:p>
        </w:tc>
        <w:tc>
          <w:tcPr>
            <w:tcW w:w="4104" w:type="dxa"/>
            <w:shd w:val="clear" w:color="auto" w:fill="auto"/>
          </w:tcPr>
          <w:p w14:paraId="0C384823" w14:textId="77777777" w:rsidR="003E192C" w:rsidRPr="003E192C" w:rsidRDefault="003E192C" w:rsidP="007F116B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66342773" w14:textId="77777777" w:rsidR="003E192C" w:rsidRPr="003E192C" w:rsidRDefault="003E192C" w:rsidP="007F116B">
            <w:pPr>
              <w:pStyle w:val="PolicyText1"/>
            </w:pPr>
          </w:p>
        </w:tc>
      </w:tr>
      <w:tr w:rsidR="003E192C" w:rsidRPr="003E192C" w14:paraId="4397E2C6" w14:textId="77777777" w:rsidTr="007531D3">
        <w:tc>
          <w:tcPr>
            <w:tcW w:w="1137" w:type="dxa"/>
            <w:shd w:val="clear" w:color="auto" w:fill="auto"/>
          </w:tcPr>
          <w:p w14:paraId="4A5180FE" w14:textId="6919C3B9" w:rsidR="003E192C" w:rsidRPr="003E192C" w:rsidRDefault="003E192C" w:rsidP="007F116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33CE7A99" w14:textId="2D71280A" w:rsidR="003E192C" w:rsidRPr="003E192C" w:rsidRDefault="003E192C" w:rsidP="007F116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13420FC2" w14:textId="6624D0F5" w:rsidR="003E192C" w:rsidRPr="003E192C" w:rsidRDefault="003E192C" w:rsidP="007F116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8634696" w14:textId="77777777" w:rsidR="003E192C" w:rsidRPr="003E192C" w:rsidRDefault="003E192C" w:rsidP="007F116B">
            <w:pPr>
              <w:pStyle w:val="PolicyText1"/>
            </w:pPr>
          </w:p>
        </w:tc>
      </w:tr>
      <w:tr w:rsidR="003E192C" w:rsidRPr="003E192C" w14:paraId="034E7430" w14:textId="77777777" w:rsidTr="007531D3">
        <w:tc>
          <w:tcPr>
            <w:tcW w:w="1137" w:type="dxa"/>
            <w:shd w:val="clear" w:color="auto" w:fill="auto"/>
          </w:tcPr>
          <w:p w14:paraId="34E3B08E" w14:textId="77777777" w:rsidR="003E192C" w:rsidRPr="003E192C" w:rsidRDefault="003E192C" w:rsidP="007F116B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DF8FD46" w14:textId="77777777" w:rsidR="003E192C" w:rsidRPr="003E192C" w:rsidRDefault="003E192C" w:rsidP="007F116B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7419170E" w14:textId="77777777" w:rsidR="003E192C" w:rsidRPr="003E192C" w:rsidRDefault="003E192C" w:rsidP="007F116B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1966FDF" w14:textId="77777777" w:rsidR="003E192C" w:rsidRPr="003E192C" w:rsidRDefault="003E192C" w:rsidP="007F116B">
            <w:pPr>
              <w:pStyle w:val="PolicyText1"/>
            </w:pPr>
          </w:p>
        </w:tc>
      </w:tr>
    </w:tbl>
    <w:p w14:paraId="0B59C7C8" w14:textId="77777777" w:rsidR="003E192C" w:rsidRPr="003E192C" w:rsidRDefault="003E192C" w:rsidP="003E192C">
      <w:pPr>
        <w:rPr>
          <w:rFonts w:ascii="Arial" w:hAnsi="Arial" w:cs="Arial"/>
        </w:rPr>
      </w:pPr>
    </w:p>
    <w:p w14:paraId="0E51FB8E" w14:textId="77777777" w:rsidR="003E192C" w:rsidRPr="003E192C" w:rsidRDefault="003E192C" w:rsidP="003E192C"/>
    <w:p w14:paraId="7A2C3D64" w14:textId="77777777"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C74A" w14:textId="77777777" w:rsidR="005E16D4" w:rsidRDefault="005E16D4" w:rsidP="00333141">
      <w:pPr>
        <w:spacing w:after="0" w:line="240" w:lineRule="auto"/>
      </w:pPr>
      <w:r>
        <w:separator/>
      </w:r>
    </w:p>
  </w:endnote>
  <w:endnote w:type="continuationSeparator" w:id="0">
    <w:p w14:paraId="7607E81E" w14:textId="77777777" w:rsidR="005E16D4" w:rsidRDefault="005E16D4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2A53" w14:textId="7815EE7C" w:rsidR="00333141" w:rsidRPr="00333141" w:rsidRDefault="00515B11" w:rsidP="00333141">
    <w:pPr>
      <w:pStyle w:val="Footer"/>
    </w:pPr>
    <w:r>
      <w:tab/>
    </w:r>
    <w:r>
      <w:tab/>
    </w:r>
    <w:r w:rsidR="007F116B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A325D" w14:textId="77777777" w:rsidR="005E16D4" w:rsidRDefault="005E16D4" w:rsidP="00333141">
      <w:pPr>
        <w:spacing w:after="0" w:line="240" w:lineRule="auto"/>
      </w:pPr>
      <w:r>
        <w:separator/>
      </w:r>
    </w:p>
  </w:footnote>
  <w:footnote w:type="continuationSeparator" w:id="0">
    <w:p w14:paraId="3287AA44" w14:textId="77777777" w:rsidR="005E16D4" w:rsidRDefault="005E16D4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33249" w14:textId="360171BA" w:rsidR="00F411E3" w:rsidRDefault="005E16D4">
    <w:pPr>
      <w:pStyle w:val="Header"/>
    </w:pPr>
    <w:r>
      <w:rPr>
        <w:noProof/>
      </w:rPr>
      <w:pict w14:anchorId="2F6AF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340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465C6C0C" w14:textId="77777777" w:rsidTr="00731E5C">
      <w:tc>
        <w:tcPr>
          <w:tcW w:w="4701" w:type="pct"/>
        </w:tcPr>
        <w:p w14:paraId="0DD07034" w14:textId="3538E176" w:rsidR="00333141" w:rsidRPr="0030192B" w:rsidRDefault="005E16D4" w:rsidP="008A1CBA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97950">
                <w:t>Information Security Training Policy</w:t>
              </w:r>
            </w:sdtContent>
          </w:sdt>
        </w:p>
      </w:tc>
      <w:tc>
        <w:tcPr>
          <w:tcW w:w="299" w:type="pct"/>
        </w:tcPr>
        <w:p w14:paraId="106D2621" w14:textId="70C86BA5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A80AA9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29381D22" w14:textId="0E78EA39" w:rsidR="00333141" w:rsidRDefault="005E16D4">
    <w:pPr>
      <w:pStyle w:val="Header"/>
    </w:pPr>
    <w:r>
      <w:rPr>
        <w:noProof/>
      </w:rPr>
      <w:pict w14:anchorId="43CAFE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341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9E965" w14:textId="0246C71C" w:rsidR="00F411E3" w:rsidRDefault="005E16D4">
    <w:pPr>
      <w:pStyle w:val="Header"/>
    </w:pPr>
    <w:r>
      <w:rPr>
        <w:noProof/>
      </w:rPr>
      <w:pict w14:anchorId="70943F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339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1D3"/>
    <w:multiLevelType w:val="hybridMultilevel"/>
    <w:tmpl w:val="11125A3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AFC"/>
    <w:multiLevelType w:val="hybridMultilevel"/>
    <w:tmpl w:val="DE90D752"/>
    <w:lvl w:ilvl="0" w:tplc="5044BD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40B6"/>
    <w:multiLevelType w:val="hybridMultilevel"/>
    <w:tmpl w:val="85DE11A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2C7"/>
    <w:multiLevelType w:val="hybridMultilevel"/>
    <w:tmpl w:val="58C02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E70D3"/>
    <w:multiLevelType w:val="hybridMultilevel"/>
    <w:tmpl w:val="39C4831E"/>
    <w:lvl w:ilvl="0" w:tplc="5044BD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0B19"/>
    <w:multiLevelType w:val="hybridMultilevel"/>
    <w:tmpl w:val="BE5E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F25BE5"/>
    <w:multiLevelType w:val="hybridMultilevel"/>
    <w:tmpl w:val="C1F0B946"/>
    <w:lvl w:ilvl="0" w:tplc="E856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4D06"/>
    <w:multiLevelType w:val="multilevel"/>
    <w:tmpl w:val="24ECF22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C1174"/>
    <w:multiLevelType w:val="hybridMultilevel"/>
    <w:tmpl w:val="850C84A0"/>
    <w:lvl w:ilvl="0" w:tplc="E5D0E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329E7"/>
    <w:multiLevelType w:val="hybridMultilevel"/>
    <w:tmpl w:val="67FA7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6830CD"/>
    <w:multiLevelType w:val="hybridMultilevel"/>
    <w:tmpl w:val="5A3292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6406B"/>
    <w:multiLevelType w:val="hybridMultilevel"/>
    <w:tmpl w:val="F69A3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393746"/>
    <w:multiLevelType w:val="hybridMultilevel"/>
    <w:tmpl w:val="5AC2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4782B"/>
    <w:multiLevelType w:val="multilevel"/>
    <w:tmpl w:val="D69A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037A3B"/>
    <w:multiLevelType w:val="hybridMultilevel"/>
    <w:tmpl w:val="0330817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58133A"/>
    <w:multiLevelType w:val="hybridMultilevel"/>
    <w:tmpl w:val="A1F6CA4C"/>
    <w:lvl w:ilvl="0" w:tplc="5044BDC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0"/>
  </w:num>
  <w:num w:numId="5">
    <w:abstractNumId w:val="31"/>
  </w:num>
  <w:num w:numId="6">
    <w:abstractNumId w:val="1"/>
  </w:num>
  <w:num w:numId="7">
    <w:abstractNumId w:val="13"/>
  </w:num>
  <w:num w:numId="8">
    <w:abstractNumId w:val="40"/>
  </w:num>
  <w:num w:numId="9">
    <w:abstractNumId w:val="28"/>
  </w:num>
  <w:num w:numId="10">
    <w:abstractNumId w:val="18"/>
  </w:num>
  <w:num w:numId="11">
    <w:abstractNumId w:val="19"/>
  </w:num>
  <w:num w:numId="12">
    <w:abstractNumId w:val="17"/>
  </w:num>
  <w:num w:numId="13">
    <w:abstractNumId w:val="15"/>
  </w:num>
  <w:num w:numId="14">
    <w:abstractNumId w:val="21"/>
  </w:num>
  <w:num w:numId="15">
    <w:abstractNumId w:val="41"/>
  </w:num>
  <w:num w:numId="16">
    <w:abstractNumId w:val="33"/>
  </w:num>
  <w:num w:numId="17">
    <w:abstractNumId w:val="10"/>
  </w:num>
  <w:num w:numId="18">
    <w:abstractNumId w:val="20"/>
  </w:num>
  <w:num w:numId="19">
    <w:abstractNumId w:val="24"/>
  </w:num>
  <w:num w:numId="20">
    <w:abstractNumId w:val="38"/>
  </w:num>
  <w:num w:numId="21">
    <w:abstractNumId w:val="16"/>
  </w:num>
  <w:num w:numId="22">
    <w:abstractNumId w:val="5"/>
  </w:num>
  <w:num w:numId="23">
    <w:abstractNumId w:val="8"/>
  </w:num>
  <w:num w:numId="24">
    <w:abstractNumId w:val="23"/>
  </w:num>
  <w:num w:numId="25">
    <w:abstractNumId w:val="26"/>
  </w:num>
  <w:num w:numId="26">
    <w:abstractNumId w:val="25"/>
  </w:num>
  <w:num w:numId="27">
    <w:abstractNumId w:val="30"/>
  </w:num>
  <w:num w:numId="28">
    <w:abstractNumId w:val="6"/>
  </w:num>
  <w:num w:numId="29">
    <w:abstractNumId w:val="22"/>
  </w:num>
  <w:num w:numId="30">
    <w:abstractNumId w:val="12"/>
  </w:num>
  <w:num w:numId="31">
    <w:abstractNumId w:val="36"/>
  </w:num>
  <w:num w:numId="32">
    <w:abstractNumId w:val="37"/>
  </w:num>
  <w:num w:numId="33">
    <w:abstractNumId w:val="39"/>
  </w:num>
  <w:num w:numId="34">
    <w:abstractNumId w:val="34"/>
  </w:num>
  <w:num w:numId="35">
    <w:abstractNumId w:val="2"/>
  </w:num>
  <w:num w:numId="36">
    <w:abstractNumId w:val="9"/>
  </w:num>
  <w:num w:numId="37">
    <w:abstractNumId w:val="32"/>
  </w:num>
  <w:num w:numId="3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4"/>
  </w:num>
  <w:num w:numId="41">
    <w:abstractNumId w:val="29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42EDA"/>
    <w:rsid w:val="00140385"/>
    <w:rsid w:val="001B1F8A"/>
    <w:rsid w:val="00272D88"/>
    <w:rsid w:val="00294C42"/>
    <w:rsid w:val="00316176"/>
    <w:rsid w:val="00333141"/>
    <w:rsid w:val="00334B56"/>
    <w:rsid w:val="00347EBF"/>
    <w:rsid w:val="003E192C"/>
    <w:rsid w:val="004276FA"/>
    <w:rsid w:val="004A7EB0"/>
    <w:rsid w:val="0050484A"/>
    <w:rsid w:val="00515B11"/>
    <w:rsid w:val="005E16D4"/>
    <w:rsid w:val="006B17C8"/>
    <w:rsid w:val="00731E5C"/>
    <w:rsid w:val="00797950"/>
    <w:rsid w:val="007A769B"/>
    <w:rsid w:val="007A7EC7"/>
    <w:rsid w:val="007F116B"/>
    <w:rsid w:val="00820FBC"/>
    <w:rsid w:val="00843848"/>
    <w:rsid w:val="008A1CBA"/>
    <w:rsid w:val="00957D64"/>
    <w:rsid w:val="009862FB"/>
    <w:rsid w:val="00A1040A"/>
    <w:rsid w:val="00A367FC"/>
    <w:rsid w:val="00A755FE"/>
    <w:rsid w:val="00A80AA9"/>
    <w:rsid w:val="00AD0C90"/>
    <w:rsid w:val="00AF3C6F"/>
    <w:rsid w:val="00B50C2A"/>
    <w:rsid w:val="00B51496"/>
    <w:rsid w:val="00B84FC6"/>
    <w:rsid w:val="00C60265"/>
    <w:rsid w:val="00C80FD3"/>
    <w:rsid w:val="00D9229E"/>
    <w:rsid w:val="00DD41A7"/>
    <w:rsid w:val="00F2011E"/>
    <w:rsid w:val="00F411E3"/>
    <w:rsid w:val="00F72E40"/>
    <w:rsid w:val="00F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985A13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5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E5C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731E5C"/>
    <w:pPr>
      <w:keepNext/>
      <w:keepLines/>
      <w:numPr>
        <w:numId w:val="43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731E5C"/>
    <w:pPr>
      <w:keepNext/>
      <w:keepLines/>
      <w:numPr>
        <w:numId w:val="24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731E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1E5C"/>
  </w:style>
  <w:style w:type="paragraph" w:styleId="Header">
    <w:name w:val="header"/>
    <w:basedOn w:val="Normal"/>
    <w:link w:val="HeaderChar"/>
    <w:uiPriority w:val="99"/>
    <w:unhideWhenUsed/>
    <w:rsid w:val="0073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C"/>
  </w:style>
  <w:style w:type="paragraph" w:styleId="Footer">
    <w:name w:val="footer"/>
    <w:basedOn w:val="Normal"/>
    <w:link w:val="FooterChar"/>
    <w:uiPriority w:val="99"/>
    <w:unhideWhenUsed/>
    <w:rsid w:val="0073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C"/>
  </w:style>
  <w:style w:type="paragraph" w:styleId="BalloonText">
    <w:name w:val="Balloon Text"/>
    <w:basedOn w:val="Normal"/>
    <w:link w:val="BalloonTextChar"/>
    <w:uiPriority w:val="99"/>
    <w:semiHidden/>
    <w:unhideWhenUsed/>
    <w:rsid w:val="0073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1E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1E5C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731E5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731E5C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731E5C"/>
    <w:pPr>
      <w:ind w:left="720"/>
      <w:contextualSpacing/>
    </w:pPr>
  </w:style>
  <w:style w:type="table" w:styleId="TableGrid">
    <w:name w:val="Table Grid"/>
    <w:basedOn w:val="TableNormal"/>
    <w:uiPriority w:val="39"/>
    <w:rsid w:val="00731E5C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7FC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731E5C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731E5C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218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Information Security Training Policy</vt:lpstr>
    </vt:vector>
  </TitlesOfParts>
  <Company>Hewlett-Packard Company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Training Policy</dc:title>
  <dc:creator>Pat Bush</dc:creator>
  <cp:lastModifiedBy>Stacey, Jill</cp:lastModifiedBy>
  <cp:revision>20</cp:revision>
  <dcterms:created xsi:type="dcterms:W3CDTF">2016-11-14T17:52:00Z</dcterms:created>
  <dcterms:modified xsi:type="dcterms:W3CDTF">2017-02-28T16:11:00Z</dcterms:modified>
</cp:coreProperties>
</file>