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55F" w:rsidRDefault="00C6555F" w:rsidP="009B4F51">
      <w:pPr>
        <w:pStyle w:val="Heading1"/>
        <w:rPr>
          <w:rFonts w:ascii="Museo 500" w:hAnsi="Museo 500"/>
          <w:sz w:val="36"/>
        </w:rPr>
      </w:pPr>
      <w:r>
        <w:t>Removable Media Policy</w:t>
      </w:r>
    </w:p>
    <w:p w:rsidR="003E192C" w:rsidRPr="003E192C" w:rsidRDefault="003E192C" w:rsidP="009B4F51">
      <w:pPr>
        <w:pStyle w:val="Heading2"/>
      </w:pPr>
      <w:r w:rsidRPr="003E192C">
        <w:t>Overview</w:t>
      </w:r>
    </w:p>
    <w:p w:rsidR="009B4F51" w:rsidRDefault="00F72527" w:rsidP="009B4F51">
      <w:pPr>
        <w:pStyle w:val="PolicyText1"/>
        <w:rPr>
          <w:rFonts w:ascii="Museo 500" w:eastAsiaTheme="majorEastAsia" w:hAnsi="Museo 500" w:cstheme="majorBidi"/>
          <w:b/>
          <w:bCs/>
          <w:color w:val="365F91" w:themeColor="accent1" w:themeShade="BF"/>
          <w:sz w:val="36"/>
          <w:szCs w:val="28"/>
        </w:rPr>
      </w:pPr>
      <w:r>
        <w:t xml:space="preserve">Removable </w:t>
      </w:r>
      <w:r w:rsidR="00C6555F">
        <w:t>m</w:t>
      </w:r>
      <w:r>
        <w:t>edia takes</w:t>
      </w:r>
      <w:r w:rsidR="00C6555F">
        <w:t xml:space="preserve"> many forms today (jump drives</w:t>
      </w:r>
      <w:r>
        <w:t>, flash memory storag</w:t>
      </w:r>
      <w:r w:rsidR="00C6555F">
        <w:t>e, portable storage devices, etc.</w:t>
      </w:r>
      <w:r>
        <w:t xml:space="preserve">).  </w:t>
      </w:r>
      <w:r w:rsidR="00C6555F">
        <w:t xml:space="preserve">Removable media is </w:t>
      </w:r>
      <w:r>
        <w:t xml:space="preserve">personal, removable, and portable </w:t>
      </w:r>
      <w:r w:rsidR="00C6555F">
        <w:t xml:space="preserve">which </w:t>
      </w:r>
      <w:r>
        <w:t xml:space="preserve">introduces risk into the organization whenever it </w:t>
      </w:r>
      <w:proofErr w:type="gramStart"/>
      <w:r>
        <w:t>is used</w:t>
      </w:r>
      <w:proofErr w:type="gramEnd"/>
      <w:r>
        <w:t xml:space="preserve"> to store </w:t>
      </w:r>
      <w:r w:rsidR="00C6555F">
        <w:t>sensitive information</w:t>
      </w:r>
      <w:r w:rsidR="00834449">
        <w:t xml:space="preserve">. </w:t>
      </w:r>
      <w:r>
        <w:t xml:space="preserve"> Aside from the chance for loss and theft, removable media format storage </w:t>
      </w:r>
      <w:r w:rsidRPr="00C81209">
        <w:t>is a well-known source of malware infections and</w:t>
      </w:r>
      <w:r>
        <w:t xml:space="preserve"> </w:t>
      </w:r>
      <w:proofErr w:type="gramStart"/>
      <w:r w:rsidRPr="00C81209">
        <w:t>has been directly tied</w:t>
      </w:r>
      <w:proofErr w:type="gramEnd"/>
      <w:r w:rsidRPr="00C81209">
        <w:t xml:space="preserve"> to the loss of information.</w:t>
      </w:r>
      <w:r>
        <w:br/>
      </w:r>
      <w:r>
        <w:br/>
      </w:r>
      <w:r w:rsidR="009B4F51">
        <w:rPr>
          <w:rStyle w:val="Heading2Char"/>
        </w:rPr>
        <w:t xml:space="preserve">2.  </w:t>
      </w:r>
      <w:r w:rsidR="003E192C" w:rsidRPr="009B4F51">
        <w:rPr>
          <w:rStyle w:val="Heading2Char"/>
        </w:rPr>
        <w:t>Purpose</w:t>
      </w:r>
    </w:p>
    <w:p w:rsidR="00F72527" w:rsidRPr="002D5BB3" w:rsidRDefault="00F72527" w:rsidP="009B4F51">
      <w:pPr>
        <w:pStyle w:val="PolicyText1"/>
      </w:pPr>
      <w:r w:rsidRPr="00CE617A">
        <w:t xml:space="preserve">This policy </w:t>
      </w:r>
      <w:proofErr w:type="gramStart"/>
      <w:r w:rsidRPr="00C81209">
        <w:t>is established</w:t>
      </w:r>
      <w:proofErr w:type="gramEnd"/>
      <w:r w:rsidRPr="00C81209">
        <w:t xml:space="preserve"> to minimize the risk of loss or exposure of </w:t>
      </w:r>
      <w:r w:rsidR="00C6555F">
        <w:t>sensitive</w:t>
      </w:r>
      <w:r w:rsidRPr="00C81209">
        <w:t xml:space="preserve"> maintained by </w:t>
      </w:r>
      <w:r w:rsidR="00C6555F">
        <w:t xml:space="preserve">[LEP] </w:t>
      </w:r>
      <w:r w:rsidR="00E03ACE">
        <w:t xml:space="preserve">as well as reducing exposure to external sources of malware and virus exploit in the </w:t>
      </w:r>
      <w:r w:rsidR="00C6555F">
        <w:t xml:space="preserve">[LEP] </w:t>
      </w:r>
      <w:r w:rsidR="00E03ACE">
        <w:t>environment</w:t>
      </w:r>
      <w:r>
        <w:t>.</w:t>
      </w:r>
    </w:p>
    <w:p w:rsidR="003E192C" w:rsidRPr="003E192C" w:rsidRDefault="003E192C" w:rsidP="009B4F51">
      <w:pPr>
        <w:pStyle w:val="Heading2"/>
        <w:numPr>
          <w:ilvl w:val="0"/>
          <w:numId w:val="33"/>
        </w:numPr>
        <w:tabs>
          <w:tab w:val="clear" w:pos="720"/>
          <w:tab w:val="num" w:pos="360"/>
        </w:tabs>
      </w:pPr>
      <w:r w:rsidRPr="003E192C">
        <w:t>Scope</w:t>
      </w:r>
    </w:p>
    <w:p w:rsidR="003E192C" w:rsidRPr="003E192C" w:rsidRDefault="003E192C" w:rsidP="009B4F51">
      <w:pPr>
        <w:pStyle w:val="PolicyText1"/>
      </w:pPr>
      <w:r w:rsidRPr="003E192C">
        <w:t xml:space="preserve">This policy applies to all </w:t>
      </w:r>
      <w:r w:rsidR="00C6555F">
        <w:t xml:space="preserve">[LEP] </w:t>
      </w:r>
      <w:r w:rsidRPr="003E192C">
        <w:t>staff</w:t>
      </w:r>
      <w:r w:rsidR="00E03ACE">
        <w:t xml:space="preserve"> using</w:t>
      </w:r>
      <w:r w:rsidR="00834449">
        <w:t xml:space="preserve"> </w:t>
      </w:r>
      <w:r w:rsidR="00C6555F">
        <w:t>[LEP]</w:t>
      </w:r>
      <w:r w:rsidR="00834449">
        <w:t xml:space="preserve"> resources</w:t>
      </w:r>
      <w:r w:rsidRPr="003E192C">
        <w:t>.</w:t>
      </w:r>
    </w:p>
    <w:p w:rsidR="00565603" w:rsidRDefault="003E192C" w:rsidP="009B4F51">
      <w:pPr>
        <w:pStyle w:val="Heading2"/>
      </w:pPr>
      <w:r w:rsidRPr="003E192C">
        <w:t>Policy</w:t>
      </w:r>
    </w:p>
    <w:p w:rsidR="00565603" w:rsidRDefault="00565603" w:rsidP="009B4F51">
      <w:pPr>
        <w:pStyle w:val="Heading3"/>
      </w:pPr>
      <w:r>
        <w:t>General</w:t>
      </w:r>
    </w:p>
    <w:p w:rsidR="00D13596" w:rsidRPr="00633748" w:rsidRDefault="00D13596" w:rsidP="009B4F51">
      <w:pPr>
        <w:pStyle w:val="PolicyText2"/>
      </w:pPr>
      <w:r w:rsidRPr="00633748">
        <w:t xml:space="preserve">For the purposes of definition, the following items shall fall under the category of </w:t>
      </w:r>
      <w:r w:rsidR="00574F6A" w:rsidRPr="00633748">
        <w:t>removable</w:t>
      </w:r>
      <w:r w:rsidRPr="00633748">
        <w:t xml:space="preserve"> media:</w:t>
      </w:r>
    </w:p>
    <w:p w:rsidR="00D13596" w:rsidRPr="00633748" w:rsidRDefault="00D13596" w:rsidP="009B4F51">
      <w:pPr>
        <w:pStyle w:val="PolicyText2"/>
        <w:numPr>
          <w:ilvl w:val="0"/>
          <w:numId w:val="34"/>
        </w:numPr>
      </w:pPr>
      <w:r w:rsidRPr="00633748">
        <w:t xml:space="preserve">Flash </w:t>
      </w:r>
      <w:r w:rsidR="00574F6A" w:rsidRPr="00633748">
        <w:t xml:space="preserve">(Jump) </w:t>
      </w:r>
      <w:r w:rsidRPr="00633748">
        <w:t>Drives</w:t>
      </w:r>
      <w:r w:rsidR="00574F6A" w:rsidRPr="00633748">
        <w:t xml:space="preserve"> and flash memory storage</w:t>
      </w:r>
    </w:p>
    <w:p w:rsidR="00574F6A" w:rsidRPr="00633748" w:rsidRDefault="00574F6A" w:rsidP="009B4F51">
      <w:pPr>
        <w:pStyle w:val="PolicyText2"/>
        <w:numPr>
          <w:ilvl w:val="0"/>
          <w:numId w:val="34"/>
        </w:numPr>
      </w:pPr>
      <w:r w:rsidRPr="00633748">
        <w:t>SD Storage</w:t>
      </w:r>
    </w:p>
    <w:p w:rsidR="00574F6A" w:rsidRPr="00633748" w:rsidRDefault="00574F6A" w:rsidP="009B4F51">
      <w:pPr>
        <w:pStyle w:val="PolicyText2"/>
        <w:numPr>
          <w:ilvl w:val="0"/>
          <w:numId w:val="34"/>
        </w:numPr>
      </w:pPr>
      <w:r w:rsidRPr="00633748">
        <w:t>Removable fixed drives and portable caddies</w:t>
      </w:r>
    </w:p>
    <w:p w:rsidR="00574F6A" w:rsidRPr="00633748" w:rsidRDefault="00574F6A" w:rsidP="009B4F51">
      <w:pPr>
        <w:pStyle w:val="PolicyText2"/>
        <w:numPr>
          <w:ilvl w:val="0"/>
          <w:numId w:val="34"/>
        </w:numPr>
      </w:pPr>
      <w:r w:rsidRPr="00633748">
        <w:t>R/W Compact Disk or DVD media</w:t>
      </w:r>
    </w:p>
    <w:p w:rsidR="00574F6A" w:rsidRPr="00633748" w:rsidRDefault="00574F6A" w:rsidP="009B4F51">
      <w:pPr>
        <w:pStyle w:val="PolicyText2"/>
        <w:numPr>
          <w:ilvl w:val="0"/>
          <w:numId w:val="34"/>
        </w:numPr>
      </w:pPr>
      <w:r w:rsidRPr="00633748">
        <w:t>USB remote storage devices</w:t>
      </w:r>
    </w:p>
    <w:p w:rsidR="00574F6A" w:rsidRPr="00633748" w:rsidRDefault="00574F6A" w:rsidP="009B4F51">
      <w:pPr>
        <w:pStyle w:val="PolicyText2"/>
      </w:pPr>
      <w:r w:rsidRPr="00633748">
        <w:t xml:space="preserve">Removable media storage of any type </w:t>
      </w:r>
      <w:proofErr w:type="gramStart"/>
      <w:r w:rsidRPr="00633748">
        <w:t>shall generally be disallowed</w:t>
      </w:r>
      <w:proofErr w:type="gramEnd"/>
      <w:r w:rsidRPr="00633748">
        <w:t xml:space="preserve"> in any form or function within the </w:t>
      </w:r>
      <w:r w:rsidR="00C6555F">
        <w:t xml:space="preserve">[LEP] </w:t>
      </w:r>
      <w:r w:rsidRPr="00633748">
        <w:t xml:space="preserve">operational environment.  Personal storage devices shall not </w:t>
      </w:r>
      <w:proofErr w:type="gramStart"/>
      <w:r w:rsidRPr="00633748">
        <w:t>be used</w:t>
      </w:r>
      <w:proofErr w:type="gramEnd"/>
      <w:r w:rsidR="00E44EFB">
        <w:t xml:space="preserve"> for storage of any [LEP]</w:t>
      </w:r>
      <w:r w:rsidRPr="00633748">
        <w:t xml:space="preserve"> informati</w:t>
      </w:r>
      <w:r w:rsidR="00E44EFB">
        <w:t xml:space="preserve">on or be used with [LEP] </w:t>
      </w:r>
      <w:r w:rsidRPr="00633748">
        <w:t>hardware.  Exceptions to this policy shall be considered only in unique and rare cases.   These requests shall requ</w:t>
      </w:r>
      <w:r w:rsidR="00C6555F">
        <w:t xml:space="preserve">ire written approval of the [Insert Appropriate Role] </w:t>
      </w:r>
      <w:r w:rsidRPr="00633748">
        <w:t xml:space="preserve">and be granted only for justifiable business purposes.  </w:t>
      </w:r>
    </w:p>
    <w:p w:rsidR="00D13596" w:rsidRDefault="00633748" w:rsidP="009B4F51">
      <w:pPr>
        <w:pStyle w:val="Heading3"/>
      </w:pPr>
      <w:r>
        <w:t xml:space="preserve">Exception </w:t>
      </w:r>
      <w:r w:rsidR="00D13596">
        <w:t>Policy</w:t>
      </w:r>
    </w:p>
    <w:p w:rsidR="00F72527" w:rsidRPr="00C81209" w:rsidRDefault="00F72527" w:rsidP="009B4F51">
      <w:pPr>
        <w:pStyle w:val="PolicyText2"/>
      </w:pPr>
      <w:r w:rsidRPr="00C81209">
        <w:t xml:space="preserve">The </w:t>
      </w:r>
      <w:r w:rsidR="00C6555F">
        <w:t>[Insert Appropriate Role]</w:t>
      </w:r>
      <w:r w:rsidRPr="00C81209">
        <w:t xml:space="preserve"> </w:t>
      </w:r>
      <w:r w:rsidR="00E03ACE">
        <w:t xml:space="preserve">or their designee </w:t>
      </w:r>
      <w:r w:rsidRPr="00C81209">
        <w:t>shall ensure:</w:t>
      </w:r>
    </w:p>
    <w:p w:rsidR="00574F6A" w:rsidRDefault="00D13596" w:rsidP="009B4F51">
      <w:pPr>
        <w:pStyle w:val="PolicyText2"/>
        <w:numPr>
          <w:ilvl w:val="0"/>
          <w:numId w:val="36"/>
        </w:numPr>
      </w:pPr>
      <w:r>
        <w:t xml:space="preserve">Computer policy and procedures exist to scan all removable media </w:t>
      </w:r>
      <w:r w:rsidR="00E44EFB">
        <w:t>when connected to a [LEP]</w:t>
      </w:r>
      <w:r>
        <w:t xml:space="preserve"> asset and disallow saving of information to these devi</w:t>
      </w:r>
      <w:r w:rsidR="00E44EFB">
        <w:t>ces under a normal user context</w:t>
      </w:r>
    </w:p>
    <w:p w:rsidR="00F72527" w:rsidRPr="00C81209" w:rsidRDefault="00574F6A" w:rsidP="009B4F51">
      <w:pPr>
        <w:pStyle w:val="PolicyText2"/>
        <w:numPr>
          <w:ilvl w:val="0"/>
          <w:numId w:val="36"/>
        </w:numPr>
      </w:pPr>
      <w:r>
        <w:t xml:space="preserve">Policy exception logs </w:t>
      </w:r>
      <w:r w:rsidR="00E44EFB">
        <w:t>are maintained by the [LEP]</w:t>
      </w:r>
    </w:p>
    <w:p w:rsidR="00E44EFB" w:rsidRDefault="00D13596" w:rsidP="009B4F51">
      <w:pPr>
        <w:pStyle w:val="PolicyText2"/>
        <w:numPr>
          <w:ilvl w:val="0"/>
          <w:numId w:val="36"/>
        </w:numPr>
      </w:pPr>
      <w:r w:rsidRPr="00D13596">
        <w:lastRenderedPageBreak/>
        <w:t xml:space="preserve">Any removable media specifically approved for special case use shall be organizationally encrypted in a similar fashion to </w:t>
      </w:r>
      <w:r w:rsidR="00E44EFB">
        <w:t>remote assets such as laptops</w:t>
      </w:r>
    </w:p>
    <w:p w:rsidR="00D13596" w:rsidRDefault="00D13596" w:rsidP="009B4F51">
      <w:pPr>
        <w:pStyle w:val="PolicyText2"/>
        <w:numPr>
          <w:ilvl w:val="0"/>
          <w:numId w:val="36"/>
        </w:numPr>
      </w:pPr>
      <w:r w:rsidRPr="00D13596">
        <w:t>Information saved to the device shall carry the same public-private key combination as</w:t>
      </w:r>
      <w:r w:rsidR="00E44EFB">
        <w:t>sociated with the approved user</w:t>
      </w:r>
    </w:p>
    <w:p w:rsidR="00574F6A" w:rsidRDefault="00D13596" w:rsidP="009B4F51">
      <w:pPr>
        <w:pStyle w:val="PolicyText2"/>
        <w:numPr>
          <w:ilvl w:val="0"/>
          <w:numId w:val="36"/>
        </w:numPr>
      </w:pPr>
      <w:r>
        <w:t xml:space="preserve">For approved </w:t>
      </w:r>
      <w:r w:rsidR="00574F6A">
        <w:t xml:space="preserve">removable media policy </w:t>
      </w:r>
      <w:r>
        <w:t>exceptions</w:t>
      </w:r>
      <w:r w:rsidR="004966B0">
        <w:t>, users of removable media shall ensure</w:t>
      </w:r>
      <w:r w:rsidR="00574F6A">
        <w:t>:</w:t>
      </w:r>
      <w:r>
        <w:t xml:space="preserve"> </w:t>
      </w:r>
    </w:p>
    <w:p w:rsidR="00E44EFB" w:rsidRDefault="00574F6A" w:rsidP="009B4F51">
      <w:pPr>
        <w:pStyle w:val="PolicyText2"/>
        <w:numPr>
          <w:ilvl w:val="1"/>
          <w:numId w:val="36"/>
        </w:numPr>
      </w:pPr>
      <w:r>
        <w:t>M</w:t>
      </w:r>
      <w:r w:rsidR="00D13596" w:rsidRPr="00574F6A">
        <w:t xml:space="preserve">edia shall be backed up as part of the </w:t>
      </w:r>
      <w:r>
        <w:t xml:space="preserve">primary </w:t>
      </w:r>
      <w:r w:rsidR="00D13596" w:rsidRPr="00574F6A">
        <w:t>a</w:t>
      </w:r>
      <w:r w:rsidR="00E44EFB">
        <w:t>sset associated with the user</w:t>
      </w:r>
    </w:p>
    <w:p w:rsidR="00574F6A" w:rsidRDefault="00D13596" w:rsidP="009B4F51">
      <w:pPr>
        <w:pStyle w:val="PolicyText2"/>
        <w:numPr>
          <w:ilvl w:val="1"/>
          <w:numId w:val="36"/>
        </w:numPr>
      </w:pPr>
      <w:r w:rsidRPr="00574F6A">
        <w:t xml:space="preserve">All </w:t>
      </w:r>
      <w:r w:rsidR="00C6555F">
        <w:t xml:space="preserve">[LEP] </w:t>
      </w:r>
      <w:r w:rsidRPr="00574F6A">
        <w:t xml:space="preserve">device backup and security protocols shall </w:t>
      </w:r>
      <w:r w:rsidR="00E44EFB">
        <w:t>be followed and remain in place</w:t>
      </w:r>
    </w:p>
    <w:p w:rsidR="00574F6A" w:rsidRDefault="00F72527" w:rsidP="009B4F51">
      <w:pPr>
        <w:pStyle w:val="PolicyText2"/>
        <w:numPr>
          <w:ilvl w:val="1"/>
          <w:numId w:val="36"/>
        </w:numPr>
      </w:pPr>
      <w:r w:rsidRPr="00574F6A">
        <w:t xml:space="preserve">Removable </w:t>
      </w:r>
      <w:r w:rsidR="00574F6A">
        <w:t>m</w:t>
      </w:r>
      <w:r w:rsidRPr="00574F6A">
        <w:t>edia may not be connected to</w:t>
      </w:r>
      <w:r w:rsidR="00574F6A">
        <w:t>,</w:t>
      </w:r>
      <w:r w:rsidRPr="00574F6A">
        <w:t xml:space="preserve"> or used</w:t>
      </w:r>
      <w:r w:rsidR="00574F6A">
        <w:t>,</w:t>
      </w:r>
      <w:r w:rsidRPr="00574F6A">
        <w:t xml:space="preserve"> in </w:t>
      </w:r>
      <w:r w:rsidR="00574F6A" w:rsidRPr="00574F6A">
        <w:t xml:space="preserve">personal or home </w:t>
      </w:r>
      <w:r w:rsidR="00E44EFB">
        <w:t>computers</w:t>
      </w:r>
    </w:p>
    <w:p w:rsidR="00574F6A" w:rsidRDefault="00F72527" w:rsidP="009B4F51">
      <w:pPr>
        <w:pStyle w:val="PolicyText2"/>
        <w:numPr>
          <w:ilvl w:val="1"/>
          <w:numId w:val="36"/>
        </w:numPr>
      </w:pPr>
      <w:r w:rsidRPr="00574F6A">
        <w:t xml:space="preserve">Data shall be copied or stored on </w:t>
      </w:r>
      <w:r w:rsidR="00574F6A">
        <w:t>r</w:t>
      </w:r>
      <w:r w:rsidRPr="00574F6A">
        <w:t xml:space="preserve">emovable </w:t>
      </w:r>
      <w:r w:rsidR="00574F6A">
        <w:t>m</w:t>
      </w:r>
      <w:r w:rsidRPr="00574F6A">
        <w:t xml:space="preserve">edia only by authorized </w:t>
      </w:r>
      <w:r w:rsidR="00574F6A">
        <w:t xml:space="preserve">users </w:t>
      </w:r>
      <w:r w:rsidRPr="00574F6A">
        <w:t>in the p</w:t>
      </w:r>
      <w:r w:rsidR="00E44EFB">
        <w:t>erformance of official duties</w:t>
      </w:r>
    </w:p>
    <w:p w:rsidR="00574F6A" w:rsidRDefault="00F72527" w:rsidP="009B4F51">
      <w:pPr>
        <w:pStyle w:val="PolicyText2"/>
        <w:numPr>
          <w:ilvl w:val="1"/>
          <w:numId w:val="36"/>
        </w:numPr>
      </w:pPr>
      <w:r w:rsidRPr="00574F6A">
        <w:t xml:space="preserve">Removable </w:t>
      </w:r>
      <w:r w:rsidR="00834449">
        <w:t>m</w:t>
      </w:r>
      <w:r w:rsidRPr="00574F6A">
        <w:t>edia containing sensitive information shall have an external l</w:t>
      </w:r>
      <w:r w:rsidR="00E44EFB">
        <w:t>abel that is marked and dated</w:t>
      </w:r>
    </w:p>
    <w:p w:rsidR="00574F6A" w:rsidRDefault="00F72527" w:rsidP="009B4F51">
      <w:pPr>
        <w:pStyle w:val="PolicyText2"/>
        <w:numPr>
          <w:ilvl w:val="1"/>
          <w:numId w:val="36"/>
        </w:numPr>
      </w:pPr>
      <w:r w:rsidRPr="00574F6A">
        <w:t>Except for backups</w:t>
      </w:r>
      <w:r w:rsidR="004966B0">
        <w:t xml:space="preserve"> user</w:t>
      </w:r>
      <w:r w:rsidRPr="00574F6A">
        <w:t xml:space="preserve"> shall prohibit copying, moving or storing sensitive data on local </w:t>
      </w:r>
      <w:r w:rsidR="00E44EFB">
        <w:t>hard drives and removable media</w:t>
      </w:r>
    </w:p>
    <w:p w:rsidR="00574F6A" w:rsidRDefault="00F72527" w:rsidP="009B4F51">
      <w:pPr>
        <w:pStyle w:val="PolicyText2"/>
        <w:numPr>
          <w:ilvl w:val="1"/>
          <w:numId w:val="36"/>
        </w:numPr>
      </w:pPr>
      <w:r w:rsidRPr="00574F6A">
        <w:t xml:space="preserve">Media containing information shall be protected against unauthorized </w:t>
      </w:r>
      <w:r w:rsidR="00E44EFB">
        <w:t>access, misuse, or corruption</w:t>
      </w:r>
    </w:p>
    <w:p w:rsidR="00574F6A" w:rsidRDefault="00F72527" w:rsidP="009B4F51">
      <w:pPr>
        <w:pStyle w:val="PolicyText2"/>
        <w:numPr>
          <w:ilvl w:val="1"/>
          <w:numId w:val="36"/>
        </w:numPr>
      </w:pPr>
      <w:r w:rsidRPr="00574F6A">
        <w:t xml:space="preserve">When in transit, sensitive data stored on </w:t>
      </w:r>
      <w:r w:rsidR="00574F6A">
        <w:t>removable m</w:t>
      </w:r>
      <w:r w:rsidRPr="00574F6A">
        <w:t>edia must not be left unattended</w:t>
      </w:r>
      <w:r w:rsidR="004966B0">
        <w:t xml:space="preserve"> </w:t>
      </w:r>
      <w:r w:rsidRPr="00574F6A">
        <w:t xml:space="preserve">and must remain in an authorized employee’s </w:t>
      </w:r>
      <w:r w:rsidR="00E44EFB">
        <w:t>physical control at all times</w:t>
      </w:r>
    </w:p>
    <w:p w:rsidR="00E44EFB" w:rsidRDefault="00F72527" w:rsidP="009B4F51">
      <w:pPr>
        <w:pStyle w:val="PolicyText2"/>
        <w:numPr>
          <w:ilvl w:val="1"/>
          <w:numId w:val="36"/>
        </w:numPr>
      </w:pPr>
      <w:r w:rsidRPr="00574F6A">
        <w:t xml:space="preserve">Physical controls shall be provided for </w:t>
      </w:r>
      <w:r w:rsidR="00574F6A" w:rsidRPr="00574F6A">
        <w:t>removable m</w:t>
      </w:r>
      <w:r w:rsidRPr="00574F6A">
        <w:t>edia containing sensitive</w:t>
      </w:r>
      <w:r w:rsidR="00C6555F">
        <w:t xml:space="preserve"> information</w:t>
      </w:r>
    </w:p>
    <w:p w:rsidR="00574F6A" w:rsidRDefault="00574F6A" w:rsidP="009B4F51">
      <w:pPr>
        <w:pStyle w:val="PolicyText2"/>
        <w:numPr>
          <w:ilvl w:val="1"/>
          <w:numId w:val="36"/>
        </w:numPr>
      </w:pPr>
      <w:r w:rsidRPr="00574F6A">
        <w:t>Removable m</w:t>
      </w:r>
      <w:r w:rsidR="00F72527" w:rsidRPr="00574F6A">
        <w:t xml:space="preserve">edia </w:t>
      </w:r>
      <w:r w:rsidRPr="00574F6A">
        <w:t xml:space="preserve">shall </w:t>
      </w:r>
      <w:r w:rsidR="00F72527" w:rsidRPr="00574F6A">
        <w:t>be kept in a secure safe or a locked cabinet and returned to safe stor</w:t>
      </w:r>
      <w:r w:rsidR="00E44EFB">
        <w:t>age at the end of each work day</w:t>
      </w:r>
    </w:p>
    <w:p w:rsidR="00F72527" w:rsidRPr="003E192C" w:rsidRDefault="00F72527" w:rsidP="009B4F51">
      <w:pPr>
        <w:pStyle w:val="PolicyText2"/>
        <w:numPr>
          <w:ilvl w:val="1"/>
          <w:numId w:val="36"/>
        </w:numPr>
      </w:pPr>
      <w:r w:rsidRPr="004966B0">
        <w:t xml:space="preserve">Staff shall adhere to the requirements </w:t>
      </w:r>
      <w:r w:rsidR="004966B0" w:rsidRPr="004966B0">
        <w:t xml:space="preserve">applicable disposal policy and procedures </w:t>
      </w:r>
      <w:r w:rsidRPr="004966B0">
        <w:t xml:space="preserve">when </w:t>
      </w:r>
      <w:r w:rsidR="00834449">
        <w:t xml:space="preserve">decommissioning </w:t>
      </w:r>
      <w:r w:rsidR="004966B0" w:rsidRPr="004966B0">
        <w:t>removable media</w:t>
      </w:r>
    </w:p>
    <w:p w:rsidR="003E192C" w:rsidRPr="003E192C" w:rsidRDefault="003E192C" w:rsidP="009B4F51">
      <w:pPr>
        <w:pStyle w:val="Heading2"/>
      </w:pPr>
      <w:r w:rsidRPr="003E192C">
        <w:t>Audit Controls and Management</w:t>
      </w:r>
    </w:p>
    <w:p w:rsidR="003E192C" w:rsidRDefault="003E192C" w:rsidP="009B4F51">
      <w:pPr>
        <w:pStyle w:val="PolicyText1"/>
      </w:pPr>
      <w:r w:rsidRPr="003E192C">
        <w:t xml:space="preserve">On-demand documented procedures and evidence of practice should be in place for this operational policy as part of the </w:t>
      </w:r>
      <w:r w:rsidR="00C6555F">
        <w:t xml:space="preserve">[LEP] </w:t>
      </w:r>
      <w:r w:rsidRPr="003E192C">
        <w:t>internal</w:t>
      </w:r>
      <w:r w:rsidR="004966B0">
        <w:t xml:space="preserve"> procedures</w:t>
      </w:r>
      <w:r w:rsidRPr="003E192C">
        <w:t>.</w:t>
      </w:r>
      <w:r w:rsidR="004966B0">
        <w:t xml:space="preserve">  Examples of suitable controls and practices include:</w:t>
      </w:r>
    </w:p>
    <w:p w:rsidR="004966B0" w:rsidRPr="004966B0" w:rsidRDefault="004966B0" w:rsidP="009B4F51">
      <w:pPr>
        <w:pStyle w:val="PolicyText1"/>
        <w:numPr>
          <w:ilvl w:val="0"/>
          <w:numId w:val="37"/>
        </w:numPr>
      </w:pPr>
      <w:r w:rsidRPr="004966B0">
        <w:t>Anecdotal exception and approval documents for staff requesting removable media access</w:t>
      </w:r>
    </w:p>
    <w:p w:rsidR="004966B0" w:rsidRPr="004966B0" w:rsidRDefault="004966B0" w:rsidP="009B4F51">
      <w:pPr>
        <w:pStyle w:val="PolicyText1"/>
        <w:numPr>
          <w:ilvl w:val="0"/>
          <w:numId w:val="37"/>
        </w:numPr>
      </w:pPr>
      <w:r w:rsidRPr="004966B0">
        <w:t>Computer group policy supporting removable media encryption and security controls</w:t>
      </w:r>
    </w:p>
    <w:p w:rsidR="004966B0" w:rsidRPr="004966B0" w:rsidRDefault="004966B0" w:rsidP="009B4F51">
      <w:pPr>
        <w:pStyle w:val="PolicyText1"/>
        <w:numPr>
          <w:ilvl w:val="0"/>
          <w:numId w:val="37"/>
        </w:numPr>
      </w:pPr>
      <w:r w:rsidRPr="004966B0">
        <w:t>On-demand operations logs for approved removable media users</w:t>
      </w:r>
      <w:bookmarkStart w:id="0" w:name="_GoBack"/>
      <w:bookmarkEnd w:id="0"/>
    </w:p>
    <w:p w:rsidR="003E192C" w:rsidRPr="003E192C" w:rsidRDefault="003E192C" w:rsidP="009B4F51">
      <w:pPr>
        <w:pStyle w:val="Heading2"/>
      </w:pPr>
      <w:r w:rsidRPr="003E192C">
        <w:lastRenderedPageBreak/>
        <w:t xml:space="preserve">Enforcement  </w:t>
      </w:r>
    </w:p>
    <w:p w:rsidR="003E192C" w:rsidRPr="003E192C" w:rsidRDefault="003E192C" w:rsidP="009B4F51">
      <w:pPr>
        <w:pStyle w:val="PolicyText1"/>
      </w:pPr>
      <w:r w:rsidRPr="003E192C">
        <w:t>Staff members found in policy violation may be subject to disciplinary action, up to and including termination.</w:t>
      </w:r>
    </w:p>
    <w:p w:rsidR="003E192C" w:rsidRPr="003E192C" w:rsidRDefault="003E192C" w:rsidP="009B4F51">
      <w:pPr>
        <w:pStyle w:val="Heading2"/>
      </w:pPr>
      <w:r w:rsidRPr="003E192C">
        <w:t>Distribution</w:t>
      </w:r>
    </w:p>
    <w:p w:rsidR="003E192C" w:rsidRPr="003E192C" w:rsidRDefault="003E192C" w:rsidP="009B4F51">
      <w:pPr>
        <w:pStyle w:val="PolicyText1"/>
      </w:pPr>
      <w:r w:rsidRPr="003E192C">
        <w:t xml:space="preserve">This policy is to </w:t>
      </w:r>
      <w:proofErr w:type="gramStart"/>
      <w:r w:rsidRPr="003E192C">
        <w:t>be distributed</w:t>
      </w:r>
      <w:proofErr w:type="gramEnd"/>
      <w:r w:rsidRPr="003E192C">
        <w:t xml:space="preserve"> to all </w:t>
      </w:r>
      <w:r w:rsidR="00C6555F">
        <w:t xml:space="preserve">[LEP] </w:t>
      </w:r>
      <w:r w:rsidRPr="003E192C">
        <w:t>staff.</w:t>
      </w:r>
    </w:p>
    <w:p w:rsidR="003E192C" w:rsidRPr="003E192C" w:rsidRDefault="003E192C" w:rsidP="009B4F51">
      <w:pPr>
        <w:pStyle w:val="Heading2"/>
      </w:pPr>
      <w:r w:rsidRPr="003E192C">
        <w:t>Policy Version History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1401"/>
        <w:gridCol w:w="4104"/>
        <w:gridCol w:w="2214"/>
      </w:tblGrid>
      <w:tr w:rsidR="003E192C" w:rsidRPr="003E192C" w:rsidTr="007531D3">
        <w:tc>
          <w:tcPr>
            <w:tcW w:w="1137" w:type="dxa"/>
            <w:shd w:val="clear" w:color="auto" w:fill="C0C0C0"/>
          </w:tcPr>
          <w:p w:rsidR="003E192C" w:rsidRPr="003E192C" w:rsidRDefault="003E192C" w:rsidP="009B4F51">
            <w:pPr>
              <w:pStyle w:val="PolicyText1"/>
            </w:pPr>
            <w:r w:rsidRPr="003E192C">
              <w:t>Version</w:t>
            </w:r>
          </w:p>
        </w:tc>
        <w:tc>
          <w:tcPr>
            <w:tcW w:w="1401" w:type="dxa"/>
            <w:shd w:val="clear" w:color="auto" w:fill="C0C0C0"/>
          </w:tcPr>
          <w:p w:rsidR="003E192C" w:rsidRPr="003E192C" w:rsidRDefault="003E192C" w:rsidP="009B4F51">
            <w:pPr>
              <w:pStyle w:val="PolicyText1"/>
            </w:pPr>
            <w:r w:rsidRPr="003E192C">
              <w:t>Date</w:t>
            </w:r>
          </w:p>
        </w:tc>
        <w:tc>
          <w:tcPr>
            <w:tcW w:w="4104" w:type="dxa"/>
            <w:shd w:val="clear" w:color="auto" w:fill="C0C0C0"/>
          </w:tcPr>
          <w:p w:rsidR="003E192C" w:rsidRPr="003E192C" w:rsidRDefault="003E192C" w:rsidP="009B4F51">
            <w:pPr>
              <w:pStyle w:val="PolicyText1"/>
            </w:pPr>
            <w:r w:rsidRPr="003E192C">
              <w:t>Description</w:t>
            </w:r>
          </w:p>
        </w:tc>
        <w:tc>
          <w:tcPr>
            <w:tcW w:w="2214" w:type="dxa"/>
            <w:shd w:val="clear" w:color="auto" w:fill="C0C0C0"/>
          </w:tcPr>
          <w:p w:rsidR="003E192C" w:rsidRPr="003E192C" w:rsidRDefault="003E192C" w:rsidP="009B4F51">
            <w:pPr>
              <w:pStyle w:val="PolicyText1"/>
            </w:pPr>
            <w:r w:rsidRPr="003E192C">
              <w:t>Approved By</w:t>
            </w: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  <w:r w:rsidRPr="003E192C">
              <w:t>1.0</w:t>
            </w:r>
          </w:p>
        </w:tc>
        <w:tc>
          <w:tcPr>
            <w:tcW w:w="1401" w:type="dxa"/>
            <w:shd w:val="clear" w:color="auto" w:fill="auto"/>
          </w:tcPr>
          <w:p w:rsidR="003E192C" w:rsidRPr="003E192C" w:rsidRDefault="004966B0" w:rsidP="009B4F51">
            <w:pPr>
              <w:pStyle w:val="PolicyText1"/>
            </w:pPr>
            <w:r>
              <w:t>12/02</w:t>
            </w:r>
            <w:r w:rsidR="003E192C" w:rsidRPr="003E192C">
              <w:t>/2016</w:t>
            </w: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  <w:r w:rsidRPr="003E192C">
              <w:t>Initial Policy Drafted</w:t>
            </w: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</w:p>
        </w:tc>
      </w:tr>
      <w:tr w:rsidR="003E192C" w:rsidRPr="003E192C" w:rsidTr="007531D3">
        <w:tc>
          <w:tcPr>
            <w:tcW w:w="1137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</w:p>
        </w:tc>
        <w:tc>
          <w:tcPr>
            <w:tcW w:w="1401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</w:p>
        </w:tc>
        <w:tc>
          <w:tcPr>
            <w:tcW w:w="4104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</w:p>
        </w:tc>
        <w:tc>
          <w:tcPr>
            <w:tcW w:w="2214" w:type="dxa"/>
            <w:shd w:val="clear" w:color="auto" w:fill="auto"/>
          </w:tcPr>
          <w:p w:rsidR="003E192C" w:rsidRPr="003E192C" w:rsidRDefault="003E192C" w:rsidP="009B4F51">
            <w:pPr>
              <w:pStyle w:val="PolicyText1"/>
            </w:pPr>
          </w:p>
        </w:tc>
      </w:tr>
    </w:tbl>
    <w:p w:rsidR="003E192C" w:rsidRPr="003E192C" w:rsidRDefault="003E192C" w:rsidP="003E192C">
      <w:pPr>
        <w:rPr>
          <w:rFonts w:ascii="Arial" w:hAnsi="Arial" w:cs="Arial"/>
        </w:rPr>
      </w:pPr>
    </w:p>
    <w:p w:rsidR="003E192C" w:rsidRPr="003E192C" w:rsidRDefault="003E192C" w:rsidP="003E192C"/>
    <w:p w:rsidR="00A755FE" w:rsidRDefault="00A755FE" w:rsidP="00AF3C6F"/>
    <w:sectPr w:rsidR="00A755FE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9A3" w:rsidRDefault="00E139A3" w:rsidP="00333141">
      <w:pPr>
        <w:spacing w:after="0" w:line="240" w:lineRule="auto"/>
      </w:pPr>
      <w:r>
        <w:separator/>
      </w:r>
    </w:p>
  </w:endnote>
  <w:endnote w:type="continuationSeparator" w:id="0">
    <w:p w:rsidR="00E139A3" w:rsidRDefault="00E139A3" w:rsidP="00333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useo 5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3141" w:rsidRPr="00333141" w:rsidRDefault="00C6555F" w:rsidP="00333141">
    <w:pPr>
      <w:pStyle w:val="Footer"/>
    </w:pPr>
    <w:r>
      <w:tab/>
    </w:r>
    <w:r>
      <w:tab/>
    </w:r>
    <w:r w:rsidR="009B4F51">
      <w:t xml:space="preserve">Sample </w:t>
    </w:r>
    <w:r w:rsidR="00333141">
      <w:t>IT Security Policies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9A3" w:rsidRDefault="00E139A3" w:rsidP="00333141">
      <w:pPr>
        <w:spacing w:after="0" w:line="240" w:lineRule="auto"/>
      </w:pPr>
      <w:r>
        <w:separator/>
      </w:r>
    </w:p>
  </w:footnote>
  <w:footnote w:type="continuationSeparator" w:id="0">
    <w:p w:rsidR="00E139A3" w:rsidRDefault="00E139A3" w:rsidP="003331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8C" w:rsidRDefault="00E139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3289" o:spid="_x0000_s2050" type="#_x0000_t136" style="position:absolute;margin-left:0;margin-top:0;width:461.9pt;height:197.95pt;rotation:315;z-index:-25164185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19" w:type="pct"/>
      <w:tblBorders>
        <w:bottom w:val="single" w:sz="4" w:space="0" w:color="auto"/>
        <w:insideH w:val="single" w:sz="4" w:space="0" w:color="BFBFBF"/>
        <w:insideV w:val="single" w:sz="4" w:space="0" w:color="auto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9010"/>
      <w:gridCol w:w="573"/>
    </w:tblGrid>
    <w:tr w:rsidR="00333141" w:rsidRPr="0025191F" w:rsidTr="00E44EFB">
      <w:tc>
        <w:tcPr>
          <w:tcW w:w="4701" w:type="pct"/>
        </w:tcPr>
        <w:p w:rsidR="00333141" w:rsidRPr="0030192B" w:rsidRDefault="00E139A3" w:rsidP="003E192C">
          <w:pPr>
            <w:pStyle w:val="NoSpacing"/>
            <w:jc w:val="right"/>
            <w:rPr>
              <w:rFonts w:eastAsia="Cambria"/>
              <w:color w:val="984806" w:themeColor="accent6" w:themeShade="80"/>
            </w:rPr>
          </w:pPr>
          <w:sdt>
            <w:sdtPr>
              <w:alias w:val="Title"/>
              <w:id w:val="1399401465"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="00DD0F14">
                <w:t>Removable Media</w:t>
              </w:r>
              <w:r w:rsidR="00C6555F">
                <w:t xml:space="preserve"> Policy</w:t>
              </w:r>
            </w:sdtContent>
          </w:sdt>
        </w:p>
      </w:tc>
      <w:tc>
        <w:tcPr>
          <w:tcW w:w="299" w:type="pct"/>
        </w:tcPr>
        <w:p w:rsidR="00333141" w:rsidRPr="0030192B" w:rsidRDefault="00333141" w:rsidP="00BE36DC">
          <w:pPr>
            <w:ind w:right="-360"/>
            <w:rPr>
              <w:rFonts w:eastAsia="Cambria"/>
              <w:b/>
              <w:color w:val="984806" w:themeColor="accent6" w:themeShade="80"/>
              <w:szCs w:val="20"/>
            </w:rPr>
          </w:pPr>
          <w:r w:rsidRPr="00CF122E">
            <w:rPr>
              <w:b/>
              <w:color w:val="595959" w:themeColor="text1" w:themeTint="A6"/>
              <w:szCs w:val="20"/>
            </w:rPr>
            <w:fldChar w:fldCharType="begin"/>
          </w:r>
          <w:r w:rsidRPr="00CF122E">
            <w:rPr>
              <w:b/>
              <w:color w:val="595959" w:themeColor="text1" w:themeTint="A6"/>
              <w:szCs w:val="20"/>
            </w:rPr>
            <w:instrText xml:space="preserve"> PAGE   \* MERGEFORMAT </w:instrText>
          </w:r>
          <w:r w:rsidRPr="00CF122E">
            <w:rPr>
              <w:b/>
              <w:color w:val="595959" w:themeColor="text1" w:themeTint="A6"/>
              <w:szCs w:val="20"/>
            </w:rPr>
            <w:fldChar w:fldCharType="separate"/>
          </w:r>
          <w:r w:rsidR="00E44EFB">
            <w:rPr>
              <w:b/>
              <w:noProof/>
              <w:color w:val="595959" w:themeColor="text1" w:themeTint="A6"/>
              <w:szCs w:val="20"/>
            </w:rPr>
            <w:t>3</w:t>
          </w:r>
          <w:r w:rsidRPr="00CF122E">
            <w:rPr>
              <w:b/>
              <w:color w:val="595959" w:themeColor="text1" w:themeTint="A6"/>
              <w:szCs w:val="20"/>
            </w:rPr>
            <w:fldChar w:fldCharType="end"/>
          </w:r>
        </w:p>
      </w:tc>
    </w:tr>
  </w:tbl>
  <w:p w:rsidR="00333141" w:rsidRDefault="00E139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3290" o:spid="_x0000_s2051" type="#_x0000_t136" style="position:absolute;margin-left:0;margin-top:0;width:461.9pt;height:197.95pt;rotation:315;z-index:-25163980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4D8C" w:rsidRDefault="00E139A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553288" o:spid="_x0000_s2049" type="#_x0000_t136" style="position:absolute;margin-left:0;margin-top:0;width:461.9pt;height:197.95pt;rotation:315;z-index:-2516439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SAMPL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63470"/>
    <w:multiLevelType w:val="hybridMultilevel"/>
    <w:tmpl w:val="F286B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1F28FE"/>
    <w:multiLevelType w:val="hybridMultilevel"/>
    <w:tmpl w:val="AD425D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63409"/>
    <w:multiLevelType w:val="hybridMultilevel"/>
    <w:tmpl w:val="1068B9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D1C1355"/>
    <w:multiLevelType w:val="hybridMultilevel"/>
    <w:tmpl w:val="B4B631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9771230"/>
    <w:multiLevelType w:val="hybridMultilevel"/>
    <w:tmpl w:val="F92CBCB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F57281"/>
    <w:multiLevelType w:val="hybridMultilevel"/>
    <w:tmpl w:val="F6A82DA2"/>
    <w:lvl w:ilvl="0" w:tplc="2118D934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A343D"/>
    <w:multiLevelType w:val="hybridMultilevel"/>
    <w:tmpl w:val="D9FE972A"/>
    <w:lvl w:ilvl="0" w:tplc="2CA40FD2">
      <w:start w:val="1"/>
      <w:numFmt w:val="decimal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7B6D1A"/>
    <w:multiLevelType w:val="hybridMultilevel"/>
    <w:tmpl w:val="B532B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05C28"/>
    <w:multiLevelType w:val="hybridMultilevel"/>
    <w:tmpl w:val="833E522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FD05C2"/>
    <w:multiLevelType w:val="hybridMultilevel"/>
    <w:tmpl w:val="4BD82CF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0C2C71"/>
    <w:multiLevelType w:val="hybridMultilevel"/>
    <w:tmpl w:val="4D90F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F08AA"/>
    <w:multiLevelType w:val="multilevel"/>
    <w:tmpl w:val="77ECF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2" w15:restartNumberingAfterBreak="0">
    <w:nsid w:val="2D80524A"/>
    <w:multiLevelType w:val="hybridMultilevel"/>
    <w:tmpl w:val="6EC4AE8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E6C1491"/>
    <w:multiLevelType w:val="hybridMultilevel"/>
    <w:tmpl w:val="67686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AE7997"/>
    <w:multiLevelType w:val="hybridMultilevel"/>
    <w:tmpl w:val="F36613E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7196F40"/>
    <w:multiLevelType w:val="hybridMultilevel"/>
    <w:tmpl w:val="C62E8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4C7B6E"/>
    <w:multiLevelType w:val="hybridMultilevel"/>
    <w:tmpl w:val="1286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F503ED"/>
    <w:multiLevelType w:val="hybridMultilevel"/>
    <w:tmpl w:val="80942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E123BF"/>
    <w:multiLevelType w:val="hybridMultilevel"/>
    <w:tmpl w:val="34005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3A0627"/>
    <w:multiLevelType w:val="hybridMultilevel"/>
    <w:tmpl w:val="8834C2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576129"/>
    <w:multiLevelType w:val="hybridMultilevel"/>
    <w:tmpl w:val="40707ECC"/>
    <w:lvl w:ilvl="0" w:tplc="CB426200">
      <w:start w:val="1"/>
      <w:numFmt w:val="upperLetter"/>
      <w:pStyle w:val="Heading3"/>
      <w:lvlText w:val="%1."/>
      <w:lvlJc w:val="left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u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64674"/>
    <w:multiLevelType w:val="hybridMultilevel"/>
    <w:tmpl w:val="491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FA19AD"/>
    <w:multiLevelType w:val="hybridMultilevel"/>
    <w:tmpl w:val="6E506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5D49A2"/>
    <w:multiLevelType w:val="hybridMultilevel"/>
    <w:tmpl w:val="1D523B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C4A76C0"/>
    <w:multiLevelType w:val="hybridMultilevel"/>
    <w:tmpl w:val="CC68546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E443EB0"/>
    <w:multiLevelType w:val="multilevel"/>
    <w:tmpl w:val="31166A62"/>
    <w:lvl w:ilvl="0">
      <w:start w:val="1"/>
      <w:numFmt w:val="decimal"/>
      <w:pStyle w:val="Heading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589F0EFA"/>
    <w:multiLevelType w:val="hybridMultilevel"/>
    <w:tmpl w:val="8D825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156FC4"/>
    <w:multiLevelType w:val="hybridMultilevel"/>
    <w:tmpl w:val="27A2C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6D0E5B"/>
    <w:multiLevelType w:val="hybridMultilevel"/>
    <w:tmpl w:val="E6B8BB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0715FB9"/>
    <w:multiLevelType w:val="hybridMultilevel"/>
    <w:tmpl w:val="3292941C"/>
    <w:lvl w:ilvl="0" w:tplc="0A1AC3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10F13C9"/>
    <w:multiLevelType w:val="hybridMultilevel"/>
    <w:tmpl w:val="98568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B16F0"/>
    <w:multiLevelType w:val="hybridMultilevel"/>
    <w:tmpl w:val="6ECC2C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3D3DDA"/>
    <w:multiLevelType w:val="hybridMultilevel"/>
    <w:tmpl w:val="300E11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5CC69D9"/>
    <w:multiLevelType w:val="hybridMultilevel"/>
    <w:tmpl w:val="DFC64C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7596D24"/>
    <w:multiLevelType w:val="hybridMultilevel"/>
    <w:tmpl w:val="A7B42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A79497C"/>
    <w:multiLevelType w:val="hybridMultilevel"/>
    <w:tmpl w:val="9B6059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7FB102B0"/>
    <w:multiLevelType w:val="hybridMultilevel"/>
    <w:tmpl w:val="84B44F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7"/>
  </w:num>
  <w:num w:numId="3">
    <w:abstractNumId w:val="9"/>
  </w:num>
  <w:num w:numId="4">
    <w:abstractNumId w:val="26"/>
  </w:num>
  <w:num w:numId="5">
    <w:abstractNumId w:val="4"/>
  </w:num>
  <w:num w:numId="6">
    <w:abstractNumId w:val="16"/>
  </w:num>
  <w:num w:numId="7">
    <w:abstractNumId w:val="13"/>
  </w:num>
  <w:num w:numId="8">
    <w:abstractNumId w:val="10"/>
  </w:num>
  <w:num w:numId="9">
    <w:abstractNumId w:val="18"/>
  </w:num>
  <w:num w:numId="10">
    <w:abstractNumId w:val="36"/>
  </w:num>
  <w:num w:numId="11">
    <w:abstractNumId w:val="30"/>
  </w:num>
  <w:num w:numId="12">
    <w:abstractNumId w:val="7"/>
  </w:num>
  <w:num w:numId="13">
    <w:abstractNumId w:val="17"/>
  </w:num>
  <w:num w:numId="14">
    <w:abstractNumId w:val="22"/>
  </w:num>
  <w:num w:numId="15">
    <w:abstractNumId w:val="34"/>
  </w:num>
  <w:num w:numId="16">
    <w:abstractNumId w:val="12"/>
  </w:num>
  <w:num w:numId="17">
    <w:abstractNumId w:val="1"/>
  </w:num>
  <w:num w:numId="18">
    <w:abstractNumId w:val="5"/>
  </w:num>
  <w:num w:numId="19">
    <w:abstractNumId w:val="20"/>
  </w:num>
  <w:num w:numId="20">
    <w:abstractNumId w:val="24"/>
  </w:num>
  <w:num w:numId="21">
    <w:abstractNumId w:val="23"/>
  </w:num>
  <w:num w:numId="22">
    <w:abstractNumId w:val="28"/>
  </w:num>
  <w:num w:numId="23">
    <w:abstractNumId w:val="3"/>
  </w:num>
  <w:num w:numId="24">
    <w:abstractNumId w:val="19"/>
  </w:num>
  <w:num w:numId="25">
    <w:abstractNumId w:val="8"/>
  </w:num>
  <w:num w:numId="26">
    <w:abstractNumId w:val="32"/>
  </w:num>
  <w:num w:numId="27">
    <w:abstractNumId w:val="33"/>
  </w:num>
  <w:num w:numId="28">
    <w:abstractNumId w:val="35"/>
  </w:num>
  <w:num w:numId="29">
    <w:abstractNumId w:val="31"/>
  </w:num>
  <w:num w:numId="30">
    <w:abstractNumId w:val="0"/>
  </w:num>
  <w:num w:numId="31">
    <w:abstractNumId w:val="6"/>
  </w:num>
  <w:num w:numId="32">
    <w:abstractNumId w:val="11"/>
  </w:num>
  <w:num w:numId="3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"/>
  </w:num>
  <w:num w:numId="35">
    <w:abstractNumId w:val="14"/>
  </w:num>
  <w:num w:numId="36">
    <w:abstractNumId w:val="15"/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linkStyles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141"/>
    <w:rsid w:val="00140385"/>
    <w:rsid w:val="00333141"/>
    <w:rsid w:val="00347EBF"/>
    <w:rsid w:val="003E192C"/>
    <w:rsid w:val="003E244C"/>
    <w:rsid w:val="004966B0"/>
    <w:rsid w:val="00565603"/>
    <w:rsid w:val="00574F6A"/>
    <w:rsid w:val="00624D8C"/>
    <w:rsid w:val="00633748"/>
    <w:rsid w:val="007B72FD"/>
    <w:rsid w:val="00834449"/>
    <w:rsid w:val="009B4F51"/>
    <w:rsid w:val="00A755FE"/>
    <w:rsid w:val="00AF3C6F"/>
    <w:rsid w:val="00B50C2A"/>
    <w:rsid w:val="00BC03DC"/>
    <w:rsid w:val="00BF538C"/>
    <w:rsid w:val="00C6555F"/>
    <w:rsid w:val="00D13596"/>
    <w:rsid w:val="00DD0F14"/>
    <w:rsid w:val="00E03ACE"/>
    <w:rsid w:val="00E139A3"/>
    <w:rsid w:val="00E44EFB"/>
    <w:rsid w:val="00ED2420"/>
    <w:rsid w:val="00F72527"/>
    <w:rsid w:val="00F7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6EB5D9CF-693F-4A16-835C-FB265E910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4EFB"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44EFB"/>
    <w:pPr>
      <w:keepNext/>
      <w:keepLines/>
      <w:spacing w:after="240" w:line="240" w:lineRule="auto"/>
      <w:outlineLvl w:val="0"/>
    </w:pPr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paragraph" w:styleId="Heading2">
    <w:name w:val="heading 2"/>
    <w:aliases w:val="PolicyHeading 2"/>
    <w:basedOn w:val="Normal"/>
    <w:next w:val="PolicyText1"/>
    <w:link w:val="Heading2Char"/>
    <w:autoRedefine/>
    <w:uiPriority w:val="9"/>
    <w:unhideWhenUsed/>
    <w:qFormat/>
    <w:rsid w:val="00E44EFB"/>
    <w:pPr>
      <w:keepNext/>
      <w:keepLines/>
      <w:numPr>
        <w:numId w:val="38"/>
      </w:numPr>
      <w:spacing w:after="240" w:line="240" w:lineRule="auto"/>
      <w:ind w:left="360" w:hanging="360"/>
      <w:outlineLvl w:val="1"/>
    </w:pPr>
    <w:rPr>
      <w:rFonts w:ascii="Arial" w:eastAsiaTheme="majorEastAsia" w:hAnsi="Arial" w:cstheme="majorBidi"/>
      <w:b/>
      <w:bCs/>
      <w:sz w:val="24"/>
      <w:szCs w:val="26"/>
    </w:rPr>
  </w:style>
  <w:style w:type="paragraph" w:styleId="Heading3">
    <w:name w:val="heading 3"/>
    <w:aliases w:val="PolicyHeading 3"/>
    <w:basedOn w:val="Normal"/>
    <w:next w:val="PolicyText2"/>
    <w:link w:val="Heading3Char"/>
    <w:autoRedefine/>
    <w:uiPriority w:val="9"/>
    <w:unhideWhenUsed/>
    <w:qFormat/>
    <w:rsid w:val="00E44EFB"/>
    <w:pPr>
      <w:keepNext/>
      <w:keepLines/>
      <w:numPr>
        <w:numId w:val="19"/>
      </w:numPr>
      <w:spacing w:after="240" w:line="240" w:lineRule="auto"/>
      <w:ind w:right="720"/>
      <w:outlineLvl w:val="2"/>
    </w:pPr>
    <w:rPr>
      <w:rFonts w:ascii="Arial" w:eastAsiaTheme="majorEastAsia" w:hAnsi="Arial" w:cstheme="majorBidi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  <w:rsid w:val="00E44EFB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E44EFB"/>
  </w:style>
  <w:style w:type="paragraph" w:styleId="Header">
    <w:name w:val="header"/>
    <w:basedOn w:val="Normal"/>
    <w:link w:val="HeaderChar"/>
    <w:uiPriority w:val="99"/>
    <w:unhideWhenUsed/>
    <w:rsid w:val="00E44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4EFB"/>
  </w:style>
  <w:style w:type="paragraph" w:styleId="Footer">
    <w:name w:val="footer"/>
    <w:basedOn w:val="Normal"/>
    <w:link w:val="FooterChar"/>
    <w:uiPriority w:val="99"/>
    <w:unhideWhenUsed/>
    <w:rsid w:val="00E44E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4EFB"/>
  </w:style>
  <w:style w:type="paragraph" w:styleId="BalloonText">
    <w:name w:val="Balloon Text"/>
    <w:basedOn w:val="Normal"/>
    <w:link w:val="BalloonTextChar"/>
    <w:uiPriority w:val="99"/>
    <w:semiHidden/>
    <w:unhideWhenUsed/>
    <w:rsid w:val="00E44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EF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44EF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44EFB"/>
    <w:rPr>
      <w:rFonts w:ascii="Arial" w:eastAsiaTheme="majorEastAsia" w:hAnsi="Arial" w:cstheme="majorBidi"/>
      <w:b/>
      <w:bCs/>
      <w:color w:val="365F91" w:themeColor="accent1" w:themeShade="BF"/>
      <w:sz w:val="32"/>
      <w:szCs w:val="28"/>
    </w:rPr>
  </w:style>
  <w:style w:type="character" w:customStyle="1" w:styleId="Heading2Char">
    <w:name w:val="Heading 2 Char"/>
    <w:aliases w:val="PolicyHeading 2 Char"/>
    <w:basedOn w:val="DefaultParagraphFont"/>
    <w:link w:val="Heading2"/>
    <w:uiPriority w:val="9"/>
    <w:rsid w:val="00E44EFB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PolicyHeading 3 Char"/>
    <w:basedOn w:val="DefaultParagraphFont"/>
    <w:link w:val="Heading3"/>
    <w:uiPriority w:val="9"/>
    <w:rsid w:val="00E44EFB"/>
    <w:rPr>
      <w:rFonts w:ascii="Arial" w:eastAsiaTheme="majorEastAsia" w:hAnsi="Arial" w:cstheme="majorBidi"/>
      <w:b/>
      <w:bCs/>
      <w:sz w:val="20"/>
    </w:rPr>
  </w:style>
  <w:style w:type="paragraph" w:styleId="ListParagraph">
    <w:name w:val="List Paragraph"/>
    <w:basedOn w:val="Normal"/>
    <w:uiPriority w:val="34"/>
    <w:qFormat/>
    <w:rsid w:val="00E44EFB"/>
    <w:pPr>
      <w:ind w:left="720"/>
      <w:contextualSpacing/>
    </w:pPr>
  </w:style>
  <w:style w:type="table" w:styleId="TableGrid">
    <w:name w:val="Table Grid"/>
    <w:basedOn w:val="TableNormal"/>
    <w:uiPriority w:val="39"/>
    <w:rsid w:val="00E44EFB"/>
    <w:pPr>
      <w:spacing w:after="0" w:line="240" w:lineRule="auto"/>
    </w:pPr>
    <w:rPr>
      <w:rFonts w:eastAsiaTheme="minorEastAsia"/>
      <w:lang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olicyText1">
    <w:name w:val="PolicyText1"/>
    <w:basedOn w:val="Normal"/>
    <w:qFormat/>
    <w:rsid w:val="00E44EFB"/>
    <w:pPr>
      <w:spacing w:after="240" w:line="240" w:lineRule="auto"/>
    </w:pPr>
    <w:rPr>
      <w:rFonts w:ascii="Arial" w:hAnsi="Arial" w:cs="Arial"/>
      <w:sz w:val="20"/>
      <w:szCs w:val="20"/>
    </w:rPr>
  </w:style>
  <w:style w:type="paragraph" w:customStyle="1" w:styleId="PolicyText2">
    <w:name w:val="PolicyText2"/>
    <w:basedOn w:val="Normal"/>
    <w:autoRedefine/>
    <w:qFormat/>
    <w:rsid w:val="00E44EFB"/>
    <w:pPr>
      <w:spacing w:after="240" w:line="240" w:lineRule="auto"/>
      <w:ind w:left="360" w:right="720"/>
    </w:pPr>
    <w:rPr>
      <w:rFonts w:ascii="Arial" w:hAnsi="Arial" w:cs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5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acey_J\Documents\Custom%20Office%20Templates\IT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 Policy Template</Template>
  <TotalTime>57</TotalTime>
  <Pages>3</Pages>
  <Words>609</Words>
  <Characters>3474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CDE IT Security Policies – Removable Media</vt:lpstr>
    </vt:vector>
  </TitlesOfParts>
  <Company>Hewlett-Packard Company</Company>
  <LinksUpToDate>false</LinksUpToDate>
  <CharactersWithSpaces>4075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Removable Media Policy</dc:title>
  <dc:creator>Pat Bush</dc:creator>
  <cp:lastModifiedBy>Stacey, Jill</cp:lastModifiedBy>
  <cp:revision>11</cp:revision>
  <dcterms:created xsi:type="dcterms:W3CDTF">2016-12-02T13:03:00Z</dcterms:created>
  <dcterms:modified xsi:type="dcterms:W3CDTF">2017-02-27T23:35:00Z</dcterms:modified>
</cp:coreProperties>
</file>