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61" w:rsidRDefault="00E82D61" w:rsidP="00A71288">
      <w:pPr>
        <w:pStyle w:val="Heading1"/>
        <w:rPr>
          <w:rFonts w:ascii="Museo 500" w:hAnsi="Museo 500"/>
          <w:sz w:val="36"/>
        </w:rPr>
      </w:pPr>
      <w:r>
        <w:t xml:space="preserve">Outsourcing </w:t>
      </w:r>
      <w:r w:rsidRPr="003A47EF">
        <w:t>Policy</w:t>
      </w:r>
    </w:p>
    <w:p w:rsidR="003E192C" w:rsidRPr="003E192C" w:rsidRDefault="003E192C" w:rsidP="00A71288">
      <w:pPr>
        <w:pStyle w:val="Heading2"/>
      </w:pPr>
      <w:r w:rsidRPr="003E192C">
        <w:t>Overview</w:t>
      </w:r>
      <w:r w:rsidR="00A71288">
        <w:tab/>
      </w:r>
    </w:p>
    <w:p w:rsidR="003E192C" w:rsidRPr="003E192C" w:rsidRDefault="00E82D61" w:rsidP="00A71288">
      <w:pPr>
        <w:pStyle w:val="PolicyText1"/>
      </w:pPr>
      <w:r>
        <w:t xml:space="preserve">[LEP] </w:t>
      </w:r>
      <w:r w:rsidR="00362E21" w:rsidRPr="00462C82">
        <w:t xml:space="preserve">uses </w:t>
      </w:r>
      <w:r w:rsidR="003A47EF">
        <w:t xml:space="preserve">service and facility </w:t>
      </w:r>
      <w:r w:rsidR="00362E21" w:rsidRPr="00462C82">
        <w:t xml:space="preserve">outsourcing as a means of reducing costs, accessing specialist expertise, and providing greater focus on non-core functions.  </w:t>
      </w:r>
      <w:r w:rsidR="00362E21">
        <w:t xml:space="preserve">While this service offering provides great benefit to </w:t>
      </w:r>
      <w:r>
        <w:t xml:space="preserve">[LEP] </w:t>
      </w:r>
      <w:r w:rsidR="00065E84">
        <w:t xml:space="preserve">and its customers, </w:t>
      </w:r>
      <w:r w:rsidR="00362E21" w:rsidRPr="00462C82">
        <w:t>process</w:t>
      </w:r>
      <w:r w:rsidR="00065E84">
        <w:t>es</w:t>
      </w:r>
      <w:r w:rsidR="00362E21" w:rsidRPr="00462C82">
        <w:t xml:space="preserve"> </w:t>
      </w:r>
      <w:proofErr w:type="gramStart"/>
      <w:r w:rsidR="00362E21" w:rsidRPr="00462C82">
        <w:t xml:space="preserve">must be </w:t>
      </w:r>
      <w:r w:rsidR="00362E21">
        <w:t xml:space="preserve">carefully </w:t>
      </w:r>
      <w:r w:rsidR="00362E21" w:rsidRPr="00462C82">
        <w:t>managed</w:t>
      </w:r>
      <w:proofErr w:type="gramEnd"/>
      <w:r w:rsidR="00362E21" w:rsidRPr="00462C82">
        <w:t xml:space="preserve"> to ensure </w:t>
      </w:r>
      <w:r w:rsidR="00362E21">
        <w:t xml:space="preserve">service levels are maintained </w:t>
      </w:r>
      <w:r w:rsidR="00362E21" w:rsidRPr="00462C82">
        <w:t>and risks remain within acceptable levels</w:t>
      </w:r>
      <w:r w:rsidR="00362E21" w:rsidRPr="00176F61">
        <w:t>.</w:t>
      </w:r>
    </w:p>
    <w:p w:rsidR="003E192C" w:rsidRPr="003E192C" w:rsidRDefault="003E192C" w:rsidP="00A71288">
      <w:pPr>
        <w:pStyle w:val="Heading2"/>
      </w:pPr>
      <w:r w:rsidRPr="003E192C">
        <w:t>Purpose</w:t>
      </w:r>
    </w:p>
    <w:p w:rsidR="00B06FFC" w:rsidRPr="000576EE" w:rsidRDefault="00B06FFC" w:rsidP="00A71288">
      <w:pPr>
        <w:pStyle w:val="PolicyText1"/>
      </w:pPr>
      <w:r w:rsidRPr="00462C82">
        <w:t xml:space="preserve">Outsourcing involves the use of </w:t>
      </w:r>
      <w:r>
        <w:t>a third party service provider in any number of operational functions</w:t>
      </w:r>
      <w:r w:rsidRPr="00462C82">
        <w:t xml:space="preserve"> to perform </w:t>
      </w:r>
      <w:r>
        <w:t xml:space="preserve">ongoing </w:t>
      </w:r>
      <w:r w:rsidRPr="00462C82">
        <w:t xml:space="preserve">activities (including agreements for a limited period), that would normally be undertaken by </w:t>
      </w:r>
      <w:r w:rsidR="00E82D61">
        <w:t xml:space="preserve">[LEP] </w:t>
      </w:r>
      <w:r>
        <w:t>personnel</w:t>
      </w:r>
      <w:r w:rsidRPr="00462C82">
        <w:t xml:space="preserve">.  This policy </w:t>
      </w:r>
      <w:proofErr w:type="gramStart"/>
      <w:r>
        <w:t>is designed</w:t>
      </w:r>
      <w:proofErr w:type="gramEnd"/>
      <w:r>
        <w:t xml:space="preserve"> to manage</w:t>
      </w:r>
      <w:r w:rsidRPr="00462C82">
        <w:t xml:space="preserve"> the risks </w:t>
      </w:r>
      <w:r>
        <w:t xml:space="preserve">associated with </w:t>
      </w:r>
      <w:r w:rsidRPr="00462C82">
        <w:t>outsourcing</w:t>
      </w:r>
      <w:r>
        <w:t xml:space="preserve"> agreements.</w:t>
      </w:r>
    </w:p>
    <w:p w:rsidR="003E192C" w:rsidRPr="003E192C" w:rsidRDefault="003E192C" w:rsidP="00A71288">
      <w:pPr>
        <w:pStyle w:val="Heading2"/>
      </w:pPr>
      <w:r w:rsidRPr="003E192C">
        <w:t>Scope</w:t>
      </w:r>
    </w:p>
    <w:p w:rsidR="003E192C" w:rsidRPr="003E192C" w:rsidRDefault="003E192C" w:rsidP="00A71288">
      <w:pPr>
        <w:pStyle w:val="PolicyText1"/>
      </w:pPr>
      <w:r w:rsidRPr="003E192C">
        <w:t xml:space="preserve">This policy applies to all </w:t>
      </w:r>
      <w:r w:rsidR="00E82D61">
        <w:t xml:space="preserve">[LEP] </w:t>
      </w:r>
      <w:r w:rsidR="00B06FFC">
        <w:t>management</w:t>
      </w:r>
      <w:r w:rsidR="003A47EF">
        <w:t xml:space="preserve"> and</w:t>
      </w:r>
      <w:r w:rsidR="00B06FFC">
        <w:t xml:space="preserve"> </w:t>
      </w:r>
      <w:r w:rsidRPr="003E192C">
        <w:t xml:space="preserve">staff </w:t>
      </w:r>
      <w:r w:rsidR="00065E84">
        <w:t>involved in procuring</w:t>
      </w:r>
      <w:r w:rsidR="00B06FFC">
        <w:t xml:space="preserve"> outsourced services </w:t>
      </w:r>
      <w:r w:rsidR="003A47EF">
        <w:t xml:space="preserve">across </w:t>
      </w:r>
      <w:r w:rsidR="00E82D61">
        <w:t>[LEP]</w:t>
      </w:r>
      <w:r w:rsidRPr="003E192C">
        <w:t>.</w:t>
      </w:r>
    </w:p>
    <w:p w:rsidR="008C7F1D" w:rsidRDefault="003E192C" w:rsidP="00A71288">
      <w:pPr>
        <w:pStyle w:val="Heading2"/>
      </w:pPr>
      <w:r w:rsidRPr="003E192C">
        <w:t>Policy</w:t>
      </w:r>
    </w:p>
    <w:p w:rsidR="003A47EF" w:rsidRDefault="003A47EF" w:rsidP="00A71288">
      <w:pPr>
        <w:pStyle w:val="Heading3"/>
      </w:pPr>
      <w:r>
        <w:t>GENERAL</w:t>
      </w:r>
    </w:p>
    <w:p w:rsidR="008C7F1D" w:rsidRPr="00462C82" w:rsidRDefault="008C7F1D" w:rsidP="00A71288">
      <w:pPr>
        <w:pStyle w:val="PolicyText2"/>
      </w:pPr>
      <w:r>
        <w:t xml:space="preserve">Management </w:t>
      </w:r>
      <w:r w:rsidRPr="00462C82">
        <w:t xml:space="preserve">shall ensure </w:t>
      </w:r>
      <w:r>
        <w:t xml:space="preserve">all </w:t>
      </w:r>
      <w:r w:rsidRPr="00462C82">
        <w:t xml:space="preserve">outsourcing arrangements do not diminish </w:t>
      </w:r>
      <w:r w:rsidR="00E82D61">
        <w:t>[LEP]</w:t>
      </w:r>
      <w:r>
        <w:t xml:space="preserve">’s </w:t>
      </w:r>
      <w:r w:rsidRPr="00462C82">
        <w:t xml:space="preserve">ability to meet </w:t>
      </w:r>
      <w:r>
        <w:t xml:space="preserve">regulatory, </w:t>
      </w:r>
      <w:r w:rsidRPr="00462C82">
        <w:t>contractual and</w:t>
      </w:r>
      <w:r>
        <w:t>/or</w:t>
      </w:r>
      <w:r w:rsidRPr="00462C82">
        <w:t xml:space="preserve"> compliance obligations.  Procedures </w:t>
      </w:r>
      <w:r w:rsidR="003A47EF">
        <w:t xml:space="preserve">shall </w:t>
      </w:r>
      <w:r w:rsidRPr="00462C82">
        <w:t>be identified to ensure that outsource provider</w:t>
      </w:r>
      <w:r w:rsidR="00832D27">
        <w:t>s employ</w:t>
      </w:r>
      <w:r w:rsidRPr="00462C82">
        <w:t xml:space="preserve"> the same standard of care in performing </w:t>
      </w:r>
      <w:proofErr w:type="gramStart"/>
      <w:r w:rsidRPr="00462C82">
        <w:t>services</w:t>
      </w:r>
      <w:proofErr w:type="gramEnd"/>
      <w:r w:rsidRPr="00462C82">
        <w:t xml:space="preserve"> as would </w:t>
      </w:r>
      <w:r w:rsidR="00E82D61">
        <w:t>[LEP]</w:t>
      </w:r>
      <w:r w:rsidR="00832D27">
        <w:t xml:space="preserve"> </w:t>
      </w:r>
      <w:r>
        <w:t>employee</w:t>
      </w:r>
      <w:r w:rsidR="00832D27">
        <w:t>s</w:t>
      </w:r>
      <w:r w:rsidRPr="00462C82">
        <w:t xml:space="preserve">. </w:t>
      </w:r>
    </w:p>
    <w:p w:rsidR="003A47EF" w:rsidRDefault="003A47EF" w:rsidP="00A71288">
      <w:pPr>
        <w:pStyle w:val="Heading3"/>
      </w:pPr>
      <w:r>
        <w:t>RISK ASSESSMENTS</w:t>
      </w:r>
    </w:p>
    <w:p w:rsidR="008C7F1D" w:rsidRPr="00462C82" w:rsidRDefault="008C7F1D" w:rsidP="00A71288">
      <w:pPr>
        <w:pStyle w:val="PolicyText2"/>
      </w:pPr>
      <w:r w:rsidRPr="00462C82">
        <w:t>Material outsourci</w:t>
      </w:r>
      <w:r w:rsidR="00832D27">
        <w:t>n</w:t>
      </w:r>
      <w:r w:rsidRPr="00462C82">
        <w:t xml:space="preserve">g </w:t>
      </w:r>
      <w:r>
        <w:t>contracts</w:t>
      </w:r>
      <w:r w:rsidRPr="00462C82">
        <w:t xml:space="preserve"> have the potential to significantly </w:t>
      </w:r>
      <w:proofErr w:type="gramStart"/>
      <w:r w:rsidRPr="00462C82">
        <w:t>impact</w:t>
      </w:r>
      <w:proofErr w:type="gramEnd"/>
      <w:r w:rsidRPr="00462C82">
        <w:t xml:space="preserve"> </w:t>
      </w:r>
      <w:r w:rsidR="00E82D61">
        <w:t>[LEP]</w:t>
      </w:r>
      <w:r>
        <w:t xml:space="preserve"> </w:t>
      </w:r>
      <w:r w:rsidRPr="00462C82">
        <w:t xml:space="preserve">business operations, </w:t>
      </w:r>
      <w:r>
        <w:t xml:space="preserve">customer service, and </w:t>
      </w:r>
      <w:r w:rsidRPr="00462C82">
        <w:t xml:space="preserve">reputation.  </w:t>
      </w:r>
      <w:r>
        <w:t xml:space="preserve">As such, management </w:t>
      </w:r>
      <w:r w:rsidRPr="00462C82">
        <w:t>shall use the following indicators to determine outsourcing materiality:</w:t>
      </w:r>
    </w:p>
    <w:p w:rsidR="008C7F1D" w:rsidRPr="00462C82" w:rsidRDefault="008C7F1D" w:rsidP="00A71288">
      <w:pPr>
        <w:pStyle w:val="PolicyText2"/>
        <w:numPr>
          <w:ilvl w:val="0"/>
          <w:numId w:val="35"/>
        </w:numPr>
      </w:pPr>
      <w:r w:rsidRPr="00462C82">
        <w:t>The level of importance of the service provided by the outsourcer</w:t>
      </w:r>
    </w:p>
    <w:p w:rsidR="008C7F1D" w:rsidRPr="00462C82" w:rsidRDefault="008C7F1D" w:rsidP="00A71288">
      <w:pPr>
        <w:pStyle w:val="PolicyText2"/>
        <w:numPr>
          <w:ilvl w:val="0"/>
          <w:numId w:val="35"/>
        </w:numPr>
      </w:pPr>
      <w:r w:rsidRPr="00462C82">
        <w:t xml:space="preserve">The potential </w:t>
      </w:r>
      <w:r w:rsidR="00E82D61">
        <w:t xml:space="preserve">[LEP] </w:t>
      </w:r>
      <w:r w:rsidRPr="00462C82">
        <w:t>impact should the outsourcer be unable to provide services</w:t>
      </w:r>
    </w:p>
    <w:p w:rsidR="008C7F1D" w:rsidRPr="00462C82" w:rsidRDefault="008C7F1D" w:rsidP="00A71288">
      <w:pPr>
        <w:pStyle w:val="PolicyText2"/>
        <w:numPr>
          <w:ilvl w:val="0"/>
          <w:numId w:val="35"/>
        </w:numPr>
      </w:pPr>
      <w:r w:rsidRPr="00462C82">
        <w:t>The potential impact of an outsourcer security breach</w:t>
      </w:r>
    </w:p>
    <w:p w:rsidR="008C7F1D" w:rsidRPr="00462C82" w:rsidRDefault="008C7F1D" w:rsidP="00A71288">
      <w:pPr>
        <w:pStyle w:val="PolicyText2"/>
        <w:numPr>
          <w:ilvl w:val="0"/>
          <w:numId w:val="35"/>
        </w:numPr>
      </w:pPr>
      <w:r w:rsidRPr="00462C82">
        <w:t>Outsourcer costs and related cost controls</w:t>
      </w:r>
    </w:p>
    <w:p w:rsidR="008C7F1D" w:rsidRPr="00462C82" w:rsidRDefault="00832D27" w:rsidP="00A71288">
      <w:pPr>
        <w:pStyle w:val="PolicyText2"/>
      </w:pPr>
      <w:r>
        <w:t>R</w:t>
      </w:r>
      <w:r w:rsidR="008C7F1D" w:rsidRPr="00462C82">
        <w:t xml:space="preserve">isks should be evaluated and analyzed by </w:t>
      </w:r>
      <w:r w:rsidR="00E82D61">
        <w:t xml:space="preserve">[LEP] </w:t>
      </w:r>
      <w:r>
        <w:t xml:space="preserve">management </w:t>
      </w:r>
      <w:proofErr w:type="gramStart"/>
      <w:r w:rsidR="008C7F1D" w:rsidRPr="00462C82">
        <w:t>include</w:t>
      </w:r>
      <w:proofErr w:type="gramEnd"/>
      <w:r w:rsidR="008C7F1D" w:rsidRPr="00462C82">
        <w:t>:</w:t>
      </w:r>
    </w:p>
    <w:p w:rsidR="008C7F1D" w:rsidRPr="00462C82" w:rsidRDefault="008C7F1D" w:rsidP="00A71288">
      <w:pPr>
        <w:pStyle w:val="PolicyText2"/>
        <w:numPr>
          <w:ilvl w:val="0"/>
          <w:numId w:val="36"/>
        </w:numPr>
      </w:pPr>
      <w:r w:rsidRPr="00832D27">
        <w:rPr>
          <w:b/>
        </w:rPr>
        <w:t>Strategic Risk</w:t>
      </w:r>
      <w:r w:rsidRPr="00462C82">
        <w:t xml:space="preserve"> – </w:t>
      </w:r>
      <w:r w:rsidR="00832D27">
        <w:t>Potential the outsourcing agent</w:t>
      </w:r>
      <w:r w:rsidRPr="00462C82">
        <w:t xml:space="preserve"> may conduct business in a manner inconsistent wit</w:t>
      </w:r>
      <w:r w:rsidR="00CE2049">
        <w:t xml:space="preserve">h </w:t>
      </w:r>
      <w:r w:rsidR="00E82D61">
        <w:t xml:space="preserve">[LEP] </w:t>
      </w:r>
      <w:r w:rsidR="00CE2049">
        <w:t>goals and objectives.</w:t>
      </w:r>
    </w:p>
    <w:p w:rsidR="00CE2049" w:rsidRPr="00462C82" w:rsidRDefault="008C7F1D" w:rsidP="00A71288">
      <w:pPr>
        <w:pStyle w:val="PolicyText2"/>
        <w:numPr>
          <w:ilvl w:val="0"/>
          <w:numId w:val="36"/>
        </w:numPr>
      </w:pPr>
      <w:r w:rsidRPr="00832D27">
        <w:rPr>
          <w:b/>
        </w:rPr>
        <w:t>Operational Risk</w:t>
      </w:r>
      <w:r w:rsidRPr="00462C82">
        <w:t xml:space="preserve"> – </w:t>
      </w:r>
      <w:r w:rsidR="00832D27">
        <w:t xml:space="preserve">The potential that </w:t>
      </w:r>
      <w:r w:rsidRPr="00462C82">
        <w:t xml:space="preserve">the </w:t>
      </w:r>
      <w:r w:rsidR="00832D27">
        <w:t xml:space="preserve">service </w:t>
      </w:r>
      <w:r w:rsidRPr="00462C82">
        <w:t>provider experience</w:t>
      </w:r>
      <w:r w:rsidR="00832D27">
        <w:t>s</w:t>
      </w:r>
      <w:r w:rsidRPr="00462C82">
        <w:t xml:space="preserve"> a failure in business operations and </w:t>
      </w:r>
      <w:proofErr w:type="gramStart"/>
      <w:r w:rsidRPr="00462C82">
        <w:t>be</w:t>
      </w:r>
      <w:proofErr w:type="gramEnd"/>
      <w:r w:rsidRPr="00462C82">
        <w:t xml:space="preserve"> unable to meet its contractual service levels or performance obligations</w:t>
      </w:r>
      <w:r w:rsidR="00E82D61">
        <w:t>.</w:t>
      </w:r>
    </w:p>
    <w:p w:rsidR="00CE2049" w:rsidRPr="00462C82" w:rsidRDefault="008C7F1D" w:rsidP="00A71288">
      <w:pPr>
        <w:pStyle w:val="PolicyText2"/>
        <w:numPr>
          <w:ilvl w:val="0"/>
          <w:numId w:val="36"/>
        </w:numPr>
      </w:pPr>
      <w:r w:rsidRPr="00832D27">
        <w:rPr>
          <w:b/>
        </w:rPr>
        <w:lastRenderedPageBreak/>
        <w:t>Compliance</w:t>
      </w:r>
      <w:r w:rsidR="00832D27" w:rsidRPr="00832D27">
        <w:rPr>
          <w:b/>
        </w:rPr>
        <w:t>/Regulatory</w:t>
      </w:r>
      <w:r w:rsidRPr="00832D27">
        <w:rPr>
          <w:b/>
        </w:rPr>
        <w:t xml:space="preserve"> Risk</w:t>
      </w:r>
      <w:r w:rsidRPr="00462C82">
        <w:t xml:space="preserve"> – </w:t>
      </w:r>
      <w:r w:rsidR="00832D27">
        <w:t xml:space="preserve">The potential that service provider failure might cause </w:t>
      </w:r>
      <w:r w:rsidR="00E82D61">
        <w:t xml:space="preserve">[LEP] </w:t>
      </w:r>
      <w:r w:rsidR="00832D27">
        <w:t xml:space="preserve">to face penalties </w:t>
      </w:r>
      <w:r w:rsidRPr="00462C82">
        <w:t xml:space="preserve">related to privacy, security, and regulatory </w:t>
      </w:r>
      <w:r w:rsidR="00832D27">
        <w:t>items</w:t>
      </w:r>
      <w:r w:rsidR="00E82D61">
        <w:t>.</w:t>
      </w:r>
    </w:p>
    <w:p w:rsidR="008C7F1D" w:rsidRPr="00462C82" w:rsidRDefault="008C7F1D" w:rsidP="00A71288">
      <w:pPr>
        <w:pStyle w:val="PolicyText2"/>
        <w:numPr>
          <w:ilvl w:val="0"/>
          <w:numId w:val="36"/>
        </w:numPr>
      </w:pPr>
      <w:r w:rsidRPr="00832D27">
        <w:rPr>
          <w:b/>
        </w:rPr>
        <w:t>Legal Risk</w:t>
      </w:r>
      <w:r w:rsidRPr="00462C82">
        <w:t xml:space="preserve"> – </w:t>
      </w:r>
      <w:r w:rsidR="00832D27">
        <w:t xml:space="preserve">The potential that </w:t>
      </w:r>
      <w:r w:rsidR="00E82D61">
        <w:t xml:space="preserve">[LEP] </w:t>
      </w:r>
      <w:r w:rsidR="00832D27">
        <w:t>might be out of compliance with statute or law should the service provider fail</w:t>
      </w:r>
      <w:r w:rsidR="00E82D61">
        <w:t>.</w:t>
      </w:r>
    </w:p>
    <w:p w:rsidR="00832D27" w:rsidRPr="00832D27" w:rsidRDefault="008C7F1D" w:rsidP="00A71288">
      <w:pPr>
        <w:pStyle w:val="PolicyText2"/>
        <w:numPr>
          <w:ilvl w:val="0"/>
          <w:numId w:val="36"/>
        </w:numPr>
      </w:pPr>
      <w:r w:rsidRPr="00832D27">
        <w:rPr>
          <w:b/>
        </w:rPr>
        <w:t>Termination Risk</w:t>
      </w:r>
      <w:r w:rsidRPr="00832D27">
        <w:t xml:space="preserve"> – </w:t>
      </w:r>
      <w:r w:rsidR="00E82D61">
        <w:t xml:space="preserve">The potential for impacts to [LEP] </w:t>
      </w:r>
      <w:r w:rsidR="00832D27" w:rsidRPr="00832D27">
        <w:t xml:space="preserve">should a termination of services occur with the service provider.   </w:t>
      </w:r>
    </w:p>
    <w:p w:rsidR="003A47EF" w:rsidRDefault="008C7F1D" w:rsidP="00A71288">
      <w:pPr>
        <w:pStyle w:val="PolicyText2"/>
      </w:pPr>
      <w:r w:rsidRPr="00462C82">
        <w:t>Outsourcing to any third party service provider create</w:t>
      </w:r>
      <w:r w:rsidR="00832D27">
        <w:t>s</w:t>
      </w:r>
      <w:r w:rsidRPr="00462C82">
        <w:t xml:space="preserve"> risks that </w:t>
      </w:r>
      <w:proofErr w:type="gramStart"/>
      <w:r w:rsidRPr="00462C82">
        <w:t xml:space="preserve">must be </w:t>
      </w:r>
      <w:r w:rsidR="00832D27">
        <w:t xml:space="preserve">identified and </w:t>
      </w:r>
      <w:r w:rsidRPr="00462C82">
        <w:t>managed</w:t>
      </w:r>
      <w:proofErr w:type="gramEnd"/>
      <w:r w:rsidR="00832D27">
        <w:t xml:space="preserve">.   However, under no circumstances shall any </w:t>
      </w:r>
      <w:r w:rsidR="00663587">
        <w:t xml:space="preserve">supplier </w:t>
      </w:r>
      <w:r w:rsidR="00832D27">
        <w:t xml:space="preserve">provide </w:t>
      </w:r>
      <w:r w:rsidR="00E82D61">
        <w:t xml:space="preserve">[LEP] </w:t>
      </w:r>
      <w:r w:rsidR="00832D27">
        <w:t>s</w:t>
      </w:r>
      <w:r w:rsidR="00D16F1E">
        <w:t xml:space="preserve">ervices outside the </w:t>
      </w:r>
      <w:r w:rsidR="00832D27">
        <w:t xml:space="preserve">United States.  </w:t>
      </w:r>
      <w:r w:rsidRPr="00462C82">
        <w:t xml:space="preserve">Outsourcing </w:t>
      </w:r>
      <w:r w:rsidR="004C518C">
        <w:t xml:space="preserve">engagements </w:t>
      </w:r>
      <w:r w:rsidR="00832D27">
        <w:t xml:space="preserve">using international locations </w:t>
      </w:r>
      <w:proofErr w:type="gramStart"/>
      <w:r w:rsidR="00832D27">
        <w:t>are expressly forbidden</w:t>
      </w:r>
      <w:proofErr w:type="gramEnd"/>
      <w:r w:rsidR="00832D27">
        <w:t xml:space="preserve"> </w:t>
      </w:r>
      <w:r w:rsidR="004C518C">
        <w:t>in form and substance</w:t>
      </w:r>
      <w:r w:rsidR="00832D27">
        <w:t>.</w:t>
      </w:r>
    </w:p>
    <w:p w:rsidR="008C7F1D" w:rsidRPr="00462C82" w:rsidRDefault="00A833A8" w:rsidP="00A71288">
      <w:pPr>
        <w:pStyle w:val="Heading3"/>
      </w:pPr>
      <w:r>
        <w:t>PROCEDURAL IMPLEMENTATION</w:t>
      </w:r>
    </w:p>
    <w:p w:rsidR="008C7F1D" w:rsidRPr="00462C82" w:rsidRDefault="004C518C" w:rsidP="00A71288">
      <w:pPr>
        <w:pStyle w:val="PolicyText2"/>
      </w:pPr>
      <w:r>
        <w:t xml:space="preserve">For each outsourcing engagement, </w:t>
      </w:r>
      <w:r w:rsidR="00E82D61">
        <w:t xml:space="preserve">[LEP] </w:t>
      </w:r>
      <w:r>
        <w:t xml:space="preserve">management shall consider and ensure the following: </w:t>
      </w:r>
    </w:p>
    <w:p w:rsidR="008C7F1D" w:rsidRPr="00462C82" w:rsidRDefault="008C7F1D" w:rsidP="00A71288">
      <w:pPr>
        <w:pStyle w:val="PolicyText2"/>
        <w:numPr>
          <w:ilvl w:val="0"/>
          <w:numId w:val="37"/>
        </w:numPr>
      </w:pPr>
      <w:r w:rsidRPr="00462C82">
        <w:t>The ability of the service provider to comply with its obligations and meet the performance service l</w:t>
      </w:r>
      <w:r w:rsidR="00065E84">
        <w:t>evels required by the [LEP].</w:t>
      </w:r>
    </w:p>
    <w:p w:rsidR="008C7F1D" w:rsidRPr="00462C82" w:rsidRDefault="008C7F1D" w:rsidP="00A71288">
      <w:pPr>
        <w:pStyle w:val="PolicyText2"/>
        <w:numPr>
          <w:ilvl w:val="0"/>
          <w:numId w:val="37"/>
        </w:numPr>
      </w:pPr>
      <w:r w:rsidRPr="00462C82">
        <w:t xml:space="preserve">The compatibility of </w:t>
      </w:r>
      <w:r w:rsidR="00A833A8">
        <w:t>the</w:t>
      </w:r>
      <w:r w:rsidR="00D16F1E">
        <w:t xml:space="preserve"> [Insert Appropriate Department]</w:t>
      </w:r>
      <w:r w:rsidR="00A833A8">
        <w:t xml:space="preserve"> system environment</w:t>
      </w:r>
      <w:r w:rsidR="004C518C">
        <w:t>, delivery philosophy, and implementation logistics</w:t>
      </w:r>
      <w:r w:rsidRPr="00462C82">
        <w:t xml:space="preserve"> with those of the service provider</w:t>
      </w:r>
      <w:r w:rsidR="00065E84">
        <w:t>.</w:t>
      </w:r>
    </w:p>
    <w:p w:rsidR="008C7F1D" w:rsidRPr="00462C82" w:rsidRDefault="004C518C" w:rsidP="00A71288">
      <w:pPr>
        <w:pStyle w:val="PolicyText2"/>
        <w:numPr>
          <w:ilvl w:val="0"/>
          <w:numId w:val="37"/>
        </w:numPr>
      </w:pPr>
      <w:r>
        <w:t xml:space="preserve">Multiple </w:t>
      </w:r>
      <w:r w:rsidR="008C7F1D" w:rsidRPr="00462C82">
        <w:t xml:space="preserve">outsourcing arrangements </w:t>
      </w:r>
      <w:r>
        <w:t xml:space="preserve">that subject </w:t>
      </w:r>
      <w:r w:rsidR="00E82D61">
        <w:t xml:space="preserve">[LEP] </w:t>
      </w:r>
      <w:r>
        <w:t xml:space="preserve">to potential exposure </w:t>
      </w:r>
      <w:r w:rsidR="008C7F1D" w:rsidRPr="00462C82">
        <w:t xml:space="preserve">with </w:t>
      </w:r>
      <w:r>
        <w:t xml:space="preserve">one particular </w:t>
      </w:r>
      <w:r w:rsidR="008C7F1D" w:rsidRPr="00462C82">
        <w:t>service provider</w:t>
      </w:r>
      <w:r>
        <w:t xml:space="preserve"> </w:t>
      </w:r>
      <w:r w:rsidR="00A833A8">
        <w:t xml:space="preserve">shall be </w:t>
      </w:r>
      <w:r>
        <w:t>avoided</w:t>
      </w:r>
      <w:r w:rsidR="00065E84">
        <w:t>.</w:t>
      </w:r>
    </w:p>
    <w:p w:rsidR="004C518C" w:rsidRDefault="004C518C" w:rsidP="00A71288">
      <w:pPr>
        <w:pStyle w:val="PolicyText2"/>
        <w:numPr>
          <w:ilvl w:val="0"/>
          <w:numId w:val="37"/>
        </w:numPr>
      </w:pPr>
      <w:r>
        <w:t>Outsourcing</w:t>
      </w:r>
      <w:r w:rsidR="008C7F1D" w:rsidRPr="00462C82">
        <w:t xml:space="preserve"> </w:t>
      </w:r>
      <w:r>
        <w:t xml:space="preserve">service provider </w:t>
      </w:r>
      <w:proofErr w:type="gramStart"/>
      <w:r w:rsidR="008C7F1D" w:rsidRPr="00462C82">
        <w:t xml:space="preserve">staff </w:t>
      </w:r>
      <w:r>
        <w:t>are</w:t>
      </w:r>
      <w:proofErr w:type="gramEnd"/>
      <w:r>
        <w:t xml:space="preserve"> </w:t>
      </w:r>
      <w:r w:rsidR="00065E84">
        <w:t xml:space="preserve">subjected to </w:t>
      </w:r>
      <w:r>
        <w:t xml:space="preserve">required </w:t>
      </w:r>
      <w:r w:rsidR="00D16F1E">
        <w:t xml:space="preserve">or recommended </w:t>
      </w:r>
      <w:r w:rsidR="008C7F1D" w:rsidRPr="00462C82">
        <w:t xml:space="preserve">background checks </w:t>
      </w:r>
      <w:r>
        <w:t xml:space="preserve">and adhere to all component </w:t>
      </w:r>
      <w:r w:rsidR="00A833A8">
        <w:t xml:space="preserve">state </w:t>
      </w:r>
      <w:r>
        <w:t>laws</w:t>
      </w:r>
      <w:r w:rsidR="00A833A8">
        <w:t>, regulations,</w:t>
      </w:r>
      <w:r>
        <w:t xml:space="preserve"> and statutes.</w:t>
      </w:r>
    </w:p>
    <w:p w:rsidR="00E82D61" w:rsidRDefault="004C518C" w:rsidP="00A71288">
      <w:pPr>
        <w:pStyle w:val="PolicyText2"/>
        <w:numPr>
          <w:ilvl w:val="0"/>
          <w:numId w:val="37"/>
        </w:numPr>
      </w:pPr>
      <w:r>
        <w:t xml:space="preserve">Appropriate </w:t>
      </w:r>
      <w:r w:rsidR="00065E84">
        <w:t>disclosure and</w:t>
      </w:r>
      <w:r>
        <w:t xml:space="preserve"> FERPA notifications</w:t>
      </w:r>
      <w:r w:rsidR="00065E84">
        <w:t>, public transparency requirements,</w:t>
      </w:r>
      <w:r>
        <w:t xml:space="preserve"> and acknowledgements are adhered to when service providers are </w:t>
      </w:r>
      <w:r w:rsidR="00E82D61">
        <w:t>acting on systems with student Personally Identifiable I</w:t>
      </w:r>
      <w:r>
        <w:t xml:space="preserve">nformation (PII). </w:t>
      </w:r>
    </w:p>
    <w:p w:rsidR="004C518C" w:rsidRDefault="00E82D61" w:rsidP="00A71288">
      <w:pPr>
        <w:pStyle w:val="PolicyText2"/>
        <w:numPr>
          <w:ilvl w:val="0"/>
          <w:numId w:val="37"/>
        </w:numPr>
      </w:pPr>
      <w:r>
        <w:t>Proper contractual agreements with the service provider as required by [LEP] policy, regulations, state, and federal laws.</w:t>
      </w:r>
    </w:p>
    <w:p w:rsidR="008C7F1D" w:rsidRPr="00462C82" w:rsidRDefault="004C518C" w:rsidP="00A71288">
      <w:pPr>
        <w:pStyle w:val="PolicyText2"/>
        <w:numPr>
          <w:ilvl w:val="0"/>
          <w:numId w:val="37"/>
        </w:numPr>
      </w:pPr>
      <w:r>
        <w:t xml:space="preserve">The service provider adheres to all applicable state laws and regulations related to service delivery, data privacy, and </w:t>
      </w:r>
      <w:r w:rsidR="00A71288">
        <w:t>public notification/disclosure.</w:t>
      </w:r>
    </w:p>
    <w:p w:rsidR="00A71288" w:rsidRDefault="004C518C" w:rsidP="00A71288">
      <w:pPr>
        <w:pStyle w:val="PolicyText2"/>
        <w:numPr>
          <w:ilvl w:val="0"/>
          <w:numId w:val="37"/>
        </w:numPr>
      </w:pPr>
      <w:r>
        <w:t>O</w:t>
      </w:r>
      <w:r w:rsidR="008C7F1D" w:rsidRPr="00462C82">
        <w:t xml:space="preserve">utsourcing of any activity does not diminish </w:t>
      </w:r>
      <w:r w:rsidR="00E82D61">
        <w:t xml:space="preserve">[LEP] </w:t>
      </w:r>
      <w:r w:rsidR="008C7F1D" w:rsidRPr="00462C82">
        <w:t xml:space="preserve">obligations and those of </w:t>
      </w:r>
      <w:r w:rsidR="00E82D61">
        <w:t>[LEP]</w:t>
      </w:r>
      <w:r>
        <w:t xml:space="preserve"> m</w:t>
      </w:r>
      <w:r w:rsidR="008C7F1D" w:rsidRPr="00462C82">
        <w:t xml:space="preserve">anagement who have the ultimate responsibility for the outsourced </w:t>
      </w:r>
      <w:r>
        <w:t>service</w:t>
      </w:r>
      <w:r w:rsidR="008C7F1D" w:rsidRPr="00462C82">
        <w:t xml:space="preserve">.  Outsourcing a business process or function shall </w:t>
      </w:r>
      <w:r>
        <w:t xml:space="preserve">in no way </w:t>
      </w:r>
      <w:r w:rsidR="008C7F1D" w:rsidRPr="00462C82">
        <w:t>interfere with the ability of a department to effectively oversee and manage its activities.</w:t>
      </w:r>
      <w:r w:rsidR="00A833A8">
        <w:t xml:space="preserve">  </w:t>
      </w:r>
      <w:r w:rsidR="00E82D61">
        <w:t xml:space="preserve">[LEP] </w:t>
      </w:r>
      <w:r w:rsidR="00A833A8">
        <w:t>departments maintain</w:t>
      </w:r>
      <w:r>
        <w:t xml:space="preserve"> full responsibility </w:t>
      </w:r>
      <w:r w:rsidR="008C7F1D" w:rsidRPr="00462C82">
        <w:t xml:space="preserve">for the actions of the outsourcer and the confidentiality of information collected, transmitted, stored, or processed by the third party service provider.  </w:t>
      </w:r>
    </w:p>
    <w:p w:rsidR="008C7F1D" w:rsidRPr="00462C82" w:rsidRDefault="004C518C" w:rsidP="00A71288">
      <w:pPr>
        <w:pStyle w:val="PolicyText2"/>
        <w:numPr>
          <w:ilvl w:val="0"/>
          <w:numId w:val="37"/>
        </w:numPr>
      </w:pPr>
      <w:r>
        <w:t xml:space="preserve">Management </w:t>
      </w:r>
      <w:r w:rsidR="008C7F1D" w:rsidRPr="00462C82">
        <w:t xml:space="preserve">shall consider compliance, contractual, and legal requirements when qualifying, evaluating, and selecting an outsourcer.  </w:t>
      </w:r>
    </w:p>
    <w:p w:rsidR="003E192C" w:rsidRPr="003E192C" w:rsidRDefault="003E192C" w:rsidP="00A71288">
      <w:pPr>
        <w:pStyle w:val="Heading2"/>
      </w:pPr>
      <w:r w:rsidRPr="003E192C">
        <w:lastRenderedPageBreak/>
        <w:t>Audit Controls and Management</w:t>
      </w:r>
    </w:p>
    <w:p w:rsidR="00A833A8" w:rsidRDefault="003E192C" w:rsidP="00A71288">
      <w:pPr>
        <w:pStyle w:val="PolicyText1"/>
      </w:pPr>
      <w:r w:rsidRPr="003E192C">
        <w:t xml:space="preserve">On-demand documented procedures and evidence of practice should be in place for this operational policy as part of </w:t>
      </w:r>
      <w:r w:rsidR="00E82D61">
        <w:t xml:space="preserve">[LEP] </w:t>
      </w:r>
      <w:r w:rsidR="006F7202">
        <w:t xml:space="preserve">management </w:t>
      </w:r>
      <w:r w:rsidR="009711C1">
        <w:t xml:space="preserve">practice.  </w:t>
      </w:r>
      <w:r w:rsidR="00A833A8">
        <w:t>Examples of appropriate audit controls and evidence include:</w:t>
      </w:r>
    </w:p>
    <w:p w:rsidR="00A833A8" w:rsidRPr="00A833A8" w:rsidRDefault="00A833A8" w:rsidP="00A71288">
      <w:pPr>
        <w:pStyle w:val="PolicyText1"/>
        <w:numPr>
          <w:ilvl w:val="0"/>
          <w:numId w:val="38"/>
        </w:numPr>
      </w:pPr>
      <w:r w:rsidRPr="00A833A8">
        <w:t xml:space="preserve">Compliant state </w:t>
      </w:r>
      <w:r w:rsidR="009711C1" w:rsidRPr="00A833A8">
        <w:t>contract</w:t>
      </w:r>
      <w:r w:rsidRPr="00A833A8">
        <w:t>s with third party service p</w:t>
      </w:r>
      <w:r w:rsidR="00065E84">
        <w:t>roviders</w:t>
      </w:r>
    </w:p>
    <w:p w:rsidR="00A833A8" w:rsidRPr="00A833A8" w:rsidRDefault="00A833A8" w:rsidP="00A71288">
      <w:pPr>
        <w:pStyle w:val="PolicyText1"/>
        <w:numPr>
          <w:ilvl w:val="0"/>
          <w:numId w:val="38"/>
        </w:numPr>
      </w:pPr>
      <w:r w:rsidRPr="00A833A8">
        <w:t xml:space="preserve">Established change management and </w:t>
      </w:r>
      <w:r w:rsidR="009711C1" w:rsidRPr="00A833A8">
        <w:t>agency governance practices</w:t>
      </w:r>
    </w:p>
    <w:p w:rsidR="003E192C" w:rsidRPr="00A833A8" w:rsidRDefault="00A833A8" w:rsidP="00A71288">
      <w:pPr>
        <w:pStyle w:val="PolicyText1"/>
        <w:numPr>
          <w:ilvl w:val="0"/>
          <w:numId w:val="38"/>
        </w:numPr>
      </w:pPr>
      <w:r w:rsidRPr="00A833A8">
        <w:t>D</w:t>
      </w:r>
      <w:r w:rsidR="009711C1" w:rsidRPr="00A833A8">
        <w:t xml:space="preserve">ay-to-day </w:t>
      </w:r>
      <w:r w:rsidRPr="00A833A8">
        <w:t xml:space="preserve">observational </w:t>
      </w:r>
      <w:r w:rsidR="009711C1" w:rsidRPr="00A833A8">
        <w:t>operational management</w:t>
      </w:r>
      <w:r w:rsidRPr="00A833A8">
        <w:t xml:space="preserve"> processes, archival documentation of management practice, and anecdotal evidence of compliance</w:t>
      </w:r>
    </w:p>
    <w:p w:rsidR="003E192C" w:rsidRPr="003E192C" w:rsidRDefault="003E192C" w:rsidP="00A71288">
      <w:pPr>
        <w:pStyle w:val="Heading2"/>
      </w:pPr>
      <w:r w:rsidRPr="003E192C">
        <w:t xml:space="preserve">Enforcement  </w:t>
      </w:r>
    </w:p>
    <w:p w:rsidR="003E192C" w:rsidRPr="003E192C" w:rsidRDefault="003E192C" w:rsidP="00A71288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A71288">
      <w:pPr>
        <w:pStyle w:val="Heading2"/>
      </w:pPr>
      <w:r w:rsidRPr="003E192C">
        <w:t>Distribution</w:t>
      </w:r>
    </w:p>
    <w:p w:rsidR="003E192C" w:rsidRPr="003E192C" w:rsidRDefault="003E192C" w:rsidP="00A71288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065E84">
        <w:t>[LEP] staff</w:t>
      </w:r>
      <w:r w:rsidR="009711C1">
        <w:t xml:space="preserve"> responsible for contracting services and outsourcing procurement</w:t>
      </w:r>
      <w:r w:rsidRPr="003E192C">
        <w:t>.</w:t>
      </w:r>
      <w:bookmarkStart w:id="0" w:name="_GoBack"/>
      <w:bookmarkEnd w:id="0"/>
    </w:p>
    <w:p w:rsidR="003E192C" w:rsidRPr="003E192C" w:rsidRDefault="003E192C" w:rsidP="00A71288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A71288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A71288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A71288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A71288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663587" w:rsidP="00A71288">
            <w:pPr>
              <w:pStyle w:val="PolicyText1"/>
            </w:pPr>
            <w:r>
              <w:t>10</w:t>
            </w:r>
            <w:r w:rsidR="003E192C" w:rsidRPr="003E192C">
              <w:t>/</w:t>
            </w:r>
            <w:r>
              <w:t>24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A71288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2D0053" w:rsidRDefault="002D0053" w:rsidP="00AF3C6F"/>
    <w:p w:rsidR="002D0053" w:rsidRPr="002D0053" w:rsidRDefault="002D0053" w:rsidP="002D0053"/>
    <w:p w:rsidR="002D0053" w:rsidRPr="002D0053" w:rsidRDefault="002D0053" w:rsidP="002D0053"/>
    <w:p w:rsidR="002D0053" w:rsidRDefault="002D0053" w:rsidP="002D0053"/>
    <w:p w:rsidR="00A755FE" w:rsidRPr="002D0053" w:rsidRDefault="00A755FE" w:rsidP="002D0053">
      <w:pPr>
        <w:jc w:val="center"/>
      </w:pPr>
    </w:p>
    <w:sectPr w:rsidR="00A755FE" w:rsidRPr="002D005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78" w:rsidRDefault="00F25978" w:rsidP="00333141">
      <w:pPr>
        <w:spacing w:after="0" w:line="240" w:lineRule="auto"/>
      </w:pPr>
      <w:r>
        <w:separator/>
      </w:r>
    </w:p>
  </w:endnote>
  <w:endnote w:type="continuationSeparator" w:id="0">
    <w:p w:rsidR="00F25978" w:rsidRDefault="00F25978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E82D61" w:rsidP="00333141">
    <w:pPr>
      <w:pStyle w:val="Footer"/>
    </w:pPr>
    <w:r>
      <w:tab/>
    </w:r>
    <w:r>
      <w:tab/>
    </w:r>
    <w:r w:rsidR="00A71288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78" w:rsidRDefault="00F25978" w:rsidP="00333141">
      <w:pPr>
        <w:spacing w:after="0" w:line="240" w:lineRule="auto"/>
      </w:pPr>
      <w:r>
        <w:separator/>
      </w:r>
    </w:p>
  </w:footnote>
  <w:footnote w:type="continuationSeparator" w:id="0">
    <w:p w:rsidR="00F25978" w:rsidRDefault="00F25978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53" w:rsidRDefault="00F259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87658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065E84">
      <w:tc>
        <w:tcPr>
          <w:tcW w:w="4701" w:type="pct"/>
        </w:tcPr>
        <w:p w:rsidR="00333141" w:rsidRPr="0030192B" w:rsidRDefault="00F25978" w:rsidP="00E82D61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82D61">
                <w:t>Outsourcing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065E84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F259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87659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53" w:rsidRDefault="00F259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87657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3772"/>
    <w:multiLevelType w:val="multilevel"/>
    <w:tmpl w:val="A1A01CC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FEB"/>
    <w:multiLevelType w:val="hybridMultilevel"/>
    <w:tmpl w:val="BECC478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A06"/>
    <w:multiLevelType w:val="hybridMultilevel"/>
    <w:tmpl w:val="F402B85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4E77DA"/>
    <w:multiLevelType w:val="hybridMultilevel"/>
    <w:tmpl w:val="6EDA3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4F4D5A"/>
    <w:multiLevelType w:val="hybridMultilevel"/>
    <w:tmpl w:val="7E261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DC31C2"/>
    <w:multiLevelType w:val="hybridMultilevel"/>
    <w:tmpl w:val="15AE366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E1D16"/>
    <w:multiLevelType w:val="hybridMultilevel"/>
    <w:tmpl w:val="F95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8C3196"/>
    <w:multiLevelType w:val="hybridMultilevel"/>
    <w:tmpl w:val="FB0239C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B0B01"/>
    <w:multiLevelType w:val="hybridMultilevel"/>
    <w:tmpl w:val="8A2C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E6740"/>
    <w:multiLevelType w:val="hybridMultilevel"/>
    <w:tmpl w:val="036A59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52FD5"/>
    <w:multiLevelType w:val="hybridMultilevel"/>
    <w:tmpl w:val="97C25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2456B7"/>
    <w:multiLevelType w:val="hybridMultilevel"/>
    <w:tmpl w:val="FC3C53C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035D4"/>
    <w:multiLevelType w:val="multilevel"/>
    <w:tmpl w:val="82E2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26"/>
  </w:num>
  <w:num w:numId="5">
    <w:abstractNumId w:val="33"/>
  </w:num>
  <w:num w:numId="6">
    <w:abstractNumId w:val="28"/>
  </w:num>
  <w:num w:numId="7">
    <w:abstractNumId w:val="24"/>
  </w:num>
  <w:num w:numId="8">
    <w:abstractNumId w:val="13"/>
  </w:num>
  <w:num w:numId="9">
    <w:abstractNumId w:val="12"/>
  </w:num>
  <w:num w:numId="10">
    <w:abstractNumId w:val="10"/>
  </w:num>
  <w:num w:numId="11">
    <w:abstractNumId w:val="15"/>
  </w:num>
  <w:num w:numId="12">
    <w:abstractNumId w:val="38"/>
  </w:num>
  <w:num w:numId="13">
    <w:abstractNumId w:val="30"/>
  </w:num>
  <w:num w:numId="14">
    <w:abstractNumId w:val="7"/>
  </w:num>
  <w:num w:numId="15">
    <w:abstractNumId w:val="14"/>
  </w:num>
  <w:num w:numId="16">
    <w:abstractNumId w:val="18"/>
  </w:num>
  <w:num w:numId="17">
    <w:abstractNumId w:val="35"/>
  </w:num>
  <w:num w:numId="18">
    <w:abstractNumId w:val="11"/>
  </w:num>
  <w:num w:numId="19">
    <w:abstractNumId w:val="2"/>
  </w:num>
  <w:num w:numId="20">
    <w:abstractNumId w:val="4"/>
  </w:num>
  <w:num w:numId="21">
    <w:abstractNumId w:val="17"/>
  </w:num>
  <w:num w:numId="22">
    <w:abstractNumId w:val="20"/>
  </w:num>
  <w:num w:numId="23">
    <w:abstractNumId w:val="19"/>
  </w:num>
  <w:num w:numId="24">
    <w:abstractNumId w:val="25"/>
  </w:num>
  <w:num w:numId="25">
    <w:abstractNumId w:val="3"/>
  </w:num>
  <w:num w:numId="26">
    <w:abstractNumId w:val="16"/>
  </w:num>
  <w:num w:numId="27">
    <w:abstractNumId w:val="9"/>
  </w:num>
  <w:num w:numId="28">
    <w:abstractNumId w:val="32"/>
  </w:num>
  <w:num w:numId="29">
    <w:abstractNumId w:val="34"/>
  </w:num>
  <w:num w:numId="30">
    <w:abstractNumId w:val="36"/>
  </w:num>
  <w:num w:numId="31">
    <w:abstractNumId w:val="31"/>
  </w:num>
  <w:num w:numId="32">
    <w:abstractNumId w:val="0"/>
  </w:num>
  <w:num w:numId="33">
    <w:abstractNumId w:val="5"/>
  </w:num>
  <w:num w:numId="34">
    <w:abstractNumId w:val="37"/>
  </w:num>
  <w:num w:numId="35">
    <w:abstractNumId w:val="21"/>
  </w:num>
  <w:num w:numId="36">
    <w:abstractNumId w:val="22"/>
  </w:num>
  <w:num w:numId="37">
    <w:abstractNumId w:val="29"/>
  </w:num>
  <w:num w:numId="38">
    <w:abstractNumId w:val="2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4579E"/>
    <w:rsid w:val="00065E84"/>
    <w:rsid w:val="00140385"/>
    <w:rsid w:val="002D0053"/>
    <w:rsid w:val="002D3607"/>
    <w:rsid w:val="00333141"/>
    <w:rsid w:val="00347EBF"/>
    <w:rsid w:val="00362E21"/>
    <w:rsid w:val="003A47EF"/>
    <w:rsid w:val="003A48FC"/>
    <w:rsid w:val="003E192C"/>
    <w:rsid w:val="004C518C"/>
    <w:rsid w:val="00663587"/>
    <w:rsid w:val="00690B0A"/>
    <w:rsid w:val="006F7202"/>
    <w:rsid w:val="00832D27"/>
    <w:rsid w:val="008C7F1D"/>
    <w:rsid w:val="009711C1"/>
    <w:rsid w:val="00A71288"/>
    <w:rsid w:val="00A755FE"/>
    <w:rsid w:val="00A833A8"/>
    <w:rsid w:val="00AF3C6F"/>
    <w:rsid w:val="00B06FFC"/>
    <w:rsid w:val="00B50C2A"/>
    <w:rsid w:val="00C74E57"/>
    <w:rsid w:val="00CE2049"/>
    <w:rsid w:val="00D16F1E"/>
    <w:rsid w:val="00E82D61"/>
    <w:rsid w:val="00F25978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5E84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065E84"/>
    <w:pPr>
      <w:keepNext/>
      <w:keepLines/>
      <w:numPr>
        <w:numId w:val="39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065E84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065E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5E84"/>
  </w:style>
  <w:style w:type="paragraph" w:styleId="Header">
    <w:name w:val="header"/>
    <w:basedOn w:val="Normal"/>
    <w:link w:val="HeaderChar"/>
    <w:uiPriority w:val="99"/>
    <w:unhideWhenUsed/>
    <w:rsid w:val="00065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84"/>
  </w:style>
  <w:style w:type="paragraph" w:styleId="Footer">
    <w:name w:val="footer"/>
    <w:basedOn w:val="Normal"/>
    <w:link w:val="FooterChar"/>
    <w:uiPriority w:val="99"/>
    <w:unhideWhenUsed/>
    <w:rsid w:val="00065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84"/>
  </w:style>
  <w:style w:type="paragraph" w:styleId="BalloonText">
    <w:name w:val="Balloon Text"/>
    <w:basedOn w:val="Normal"/>
    <w:link w:val="BalloonTextChar"/>
    <w:uiPriority w:val="99"/>
    <w:semiHidden/>
    <w:unhideWhenUsed/>
    <w:rsid w:val="0006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5E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65E84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065E8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065E84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065E84"/>
    <w:pPr>
      <w:ind w:left="720"/>
      <w:contextualSpacing/>
    </w:pPr>
  </w:style>
  <w:style w:type="table" w:styleId="TableGrid">
    <w:name w:val="Table Grid"/>
    <w:basedOn w:val="TableNormal"/>
    <w:uiPriority w:val="39"/>
    <w:rsid w:val="00065E84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065E84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065E84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144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- Outsourcing Policy</vt:lpstr>
    </vt:vector>
  </TitlesOfParts>
  <Company>Hewlett-Packard Company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Outsourcing Policy</dc:title>
  <dc:creator>Pat Bush</dc:creator>
  <cp:lastModifiedBy>Stacey, Jill</cp:lastModifiedBy>
  <cp:revision>12</cp:revision>
  <dcterms:created xsi:type="dcterms:W3CDTF">2016-10-28T14:50:00Z</dcterms:created>
  <dcterms:modified xsi:type="dcterms:W3CDTF">2017-02-27T22:09:00Z</dcterms:modified>
</cp:coreProperties>
</file>