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D9775" w14:textId="77777777" w:rsidR="00EC15F7" w:rsidRPr="006F4BE1" w:rsidRDefault="00EC15F7" w:rsidP="006F4BE1">
      <w:pPr>
        <w:pStyle w:val="Heading1"/>
      </w:pPr>
      <w:r w:rsidRPr="006F4BE1">
        <w:t>Information Systems Audit Policy</w:t>
      </w:r>
    </w:p>
    <w:p w14:paraId="3C08400A" w14:textId="41182DEB" w:rsidR="003E192C" w:rsidRPr="006F4BE1" w:rsidRDefault="003E192C" w:rsidP="006F4BE1">
      <w:pPr>
        <w:pStyle w:val="Heading2"/>
      </w:pPr>
      <w:r w:rsidRPr="006F4BE1">
        <w:t>Overview</w:t>
      </w:r>
    </w:p>
    <w:p w14:paraId="238DA5FD" w14:textId="553A1C04" w:rsidR="003E192C" w:rsidRPr="003E192C" w:rsidRDefault="0050448D" w:rsidP="006F4BE1">
      <w:pPr>
        <w:pStyle w:val="PolicyText1"/>
        <w:rPr>
          <w:rFonts w:ascii="Museo 500" w:eastAsiaTheme="majorEastAsia" w:hAnsi="Museo 500" w:cstheme="majorBidi"/>
          <w:b/>
          <w:bCs/>
          <w:color w:val="365F91" w:themeColor="accent1" w:themeShade="BF"/>
          <w:sz w:val="36"/>
          <w:szCs w:val="28"/>
        </w:rPr>
      </w:pPr>
      <w:r>
        <w:t>Audit</w:t>
      </w:r>
      <w:r w:rsidRPr="001C116C">
        <w:t xml:space="preserve"> controls and </w:t>
      </w:r>
      <w:r>
        <w:t xml:space="preserve">effective security </w:t>
      </w:r>
      <w:r w:rsidRPr="001C116C">
        <w:t xml:space="preserve">safeguards are part of </w:t>
      </w:r>
      <w:r w:rsidR="00DD3578">
        <w:t xml:space="preserve">normal </w:t>
      </w:r>
      <w:r>
        <w:t>operational</w:t>
      </w:r>
      <w:r w:rsidRPr="001C116C">
        <w:t xml:space="preserve"> management process</w:t>
      </w:r>
      <w:r w:rsidR="00DD3578">
        <w:t>es</w:t>
      </w:r>
      <w:r w:rsidRPr="001C116C">
        <w:t xml:space="preserve"> to mitigate, </w:t>
      </w:r>
      <w:r w:rsidR="00DD3578">
        <w:t>control</w:t>
      </w:r>
      <w:r w:rsidRPr="001C116C">
        <w:t xml:space="preserve">, and </w:t>
      </w:r>
      <w:r w:rsidR="00DD3578">
        <w:t xml:space="preserve">minimize </w:t>
      </w:r>
      <w:r w:rsidRPr="001C116C">
        <w:t xml:space="preserve">risks that can </w:t>
      </w:r>
      <w:r>
        <w:t xml:space="preserve">negatively </w:t>
      </w:r>
      <w:proofErr w:type="gramStart"/>
      <w:r w:rsidRPr="001C116C">
        <w:t>impact</w:t>
      </w:r>
      <w:proofErr w:type="gramEnd"/>
      <w:r w:rsidRPr="001C116C">
        <w:t xml:space="preserve"> business operations</w:t>
      </w:r>
      <w:r>
        <w:t xml:space="preserve"> and expose sensitive data</w:t>
      </w:r>
      <w:r w:rsidRPr="001C116C">
        <w:t>.</w:t>
      </w:r>
      <w:r>
        <w:br/>
      </w:r>
      <w:r>
        <w:br/>
      </w:r>
      <w:r w:rsidR="006F4BE1" w:rsidRPr="006F4BE1">
        <w:rPr>
          <w:rStyle w:val="Heading2Char"/>
        </w:rPr>
        <w:t>2.  Purpose</w:t>
      </w:r>
    </w:p>
    <w:p w14:paraId="0C259309" w14:textId="77777777" w:rsidR="0050448D" w:rsidRPr="00E665F0" w:rsidRDefault="0050448D" w:rsidP="006F4BE1">
      <w:pPr>
        <w:pStyle w:val="PolicyText1"/>
      </w:pPr>
      <w:r>
        <w:t>Regular operational, process, and security audits</w:t>
      </w:r>
      <w:r w:rsidRPr="001C116C">
        <w:t xml:space="preserve"> </w:t>
      </w:r>
      <w:r>
        <w:t xml:space="preserve">help to </w:t>
      </w:r>
      <w:r w:rsidRPr="001C116C">
        <w:t xml:space="preserve">ensure that </w:t>
      </w:r>
      <w:r>
        <w:t>proper controls are sufficient and effective at providing informati</w:t>
      </w:r>
      <w:r w:rsidR="00D01ABE">
        <w:t>on confidentiality, protecting Personally Identifiable I</w:t>
      </w:r>
      <w:r>
        <w:t xml:space="preserve">nformation (PII), ensuring system availability, and fostering a higher degree of data integrity.  This policy sets forth </w:t>
      </w:r>
      <w:r w:rsidR="00D01ABE">
        <w:t>[LEP]</w:t>
      </w:r>
      <w:r>
        <w:t xml:space="preserve">’s practice regarding </w:t>
      </w:r>
      <w:r w:rsidR="00D01ABE">
        <w:t>[LEP]</w:t>
      </w:r>
      <w:r>
        <w:t xml:space="preserve"> information system related audits.</w:t>
      </w:r>
    </w:p>
    <w:p w14:paraId="1886759F" w14:textId="5A1687B1" w:rsidR="003E192C" w:rsidRPr="003E192C" w:rsidRDefault="003E192C" w:rsidP="006F4BE1">
      <w:pPr>
        <w:pStyle w:val="Heading2"/>
        <w:numPr>
          <w:ilvl w:val="0"/>
          <w:numId w:val="34"/>
        </w:numPr>
        <w:tabs>
          <w:tab w:val="clear" w:pos="720"/>
          <w:tab w:val="num" w:pos="360"/>
        </w:tabs>
      </w:pPr>
      <w:r w:rsidRPr="003E192C">
        <w:t>Scope</w:t>
      </w:r>
    </w:p>
    <w:p w14:paraId="795B14D2" w14:textId="77777777" w:rsidR="003E192C" w:rsidRPr="003E192C" w:rsidRDefault="003E192C" w:rsidP="006F4BE1">
      <w:pPr>
        <w:pStyle w:val="PolicyText1"/>
      </w:pPr>
      <w:r w:rsidRPr="003E192C">
        <w:t xml:space="preserve">This policy applies to all </w:t>
      </w:r>
      <w:r w:rsidR="00D01ABE">
        <w:t>[LEP]</w:t>
      </w:r>
      <w:r w:rsidRPr="003E192C">
        <w:t xml:space="preserve"> </w:t>
      </w:r>
      <w:r w:rsidR="0050448D">
        <w:t>management and staff involved in the creation</w:t>
      </w:r>
      <w:r w:rsidRPr="003E192C">
        <w:t>, deploy</w:t>
      </w:r>
      <w:r w:rsidR="0050448D">
        <w:t>ment</w:t>
      </w:r>
      <w:r w:rsidRPr="003E192C">
        <w:t xml:space="preserve">, </w:t>
      </w:r>
      <w:r w:rsidR="0050448D">
        <w:t xml:space="preserve">operations, </w:t>
      </w:r>
      <w:r w:rsidRPr="003E192C">
        <w:t xml:space="preserve">or support </w:t>
      </w:r>
      <w:r w:rsidR="0050448D">
        <w:t xml:space="preserve">of </w:t>
      </w:r>
      <w:r w:rsidRPr="003E192C">
        <w:t>application and system software</w:t>
      </w:r>
      <w:r w:rsidR="0050448D">
        <w:t xml:space="preserve"> used throughout the </w:t>
      </w:r>
      <w:r w:rsidR="00D01ABE">
        <w:t>[LEP]</w:t>
      </w:r>
      <w:r w:rsidRPr="003E192C">
        <w:t>.</w:t>
      </w:r>
    </w:p>
    <w:p w14:paraId="363AC81B" w14:textId="31EBC9FE" w:rsidR="003E192C" w:rsidRPr="006F4BE1" w:rsidRDefault="003E192C" w:rsidP="006F4BE1">
      <w:pPr>
        <w:pStyle w:val="Heading2"/>
      </w:pPr>
      <w:r w:rsidRPr="006F4BE1">
        <w:t xml:space="preserve">Policy </w:t>
      </w:r>
    </w:p>
    <w:p w14:paraId="081B8B8E" w14:textId="77777777" w:rsidR="00DD3578" w:rsidRDefault="00DD3578" w:rsidP="006F4BE1">
      <w:pPr>
        <w:pStyle w:val="Heading3"/>
      </w:pPr>
      <w:r>
        <w:t>GENERAL</w:t>
      </w:r>
    </w:p>
    <w:p w14:paraId="23C56E9A" w14:textId="77777777" w:rsidR="0050448D" w:rsidRDefault="0050448D" w:rsidP="006F4BE1">
      <w:pPr>
        <w:pStyle w:val="PolicyText2"/>
      </w:pPr>
      <w:r>
        <w:t xml:space="preserve">A regular and proactive audit policy helps to manage and reduce risks to </w:t>
      </w:r>
      <w:r w:rsidR="00D01ABE">
        <w:t>[LEP]</w:t>
      </w:r>
      <w:r>
        <w:t>’s</w:t>
      </w:r>
      <w:r w:rsidR="00DD3578">
        <w:t xml:space="preserve"> information systems</w:t>
      </w:r>
      <w:r>
        <w:t>, the data it manages, and the users it services.  A security auditor is</w:t>
      </w:r>
      <w:r w:rsidRPr="001C116C">
        <w:t xml:space="preserve"> usually </w:t>
      </w:r>
      <w:r>
        <w:t>an external/</w:t>
      </w:r>
      <w:r w:rsidRPr="001C116C">
        <w:t>independent third part</w:t>
      </w:r>
      <w:r>
        <w:t>y (or at a minimum someone who is not operationally responsible for the area being audited)</w:t>
      </w:r>
      <w:r w:rsidRPr="001C116C">
        <w:t xml:space="preserve">, </w:t>
      </w:r>
      <w:r w:rsidR="00DD3578">
        <w:t xml:space="preserve">who </w:t>
      </w:r>
      <w:r>
        <w:t xml:space="preserve">evaluates </w:t>
      </w:r>
      <w:r w:rsidRPr="001C116C">
        <w:t>system</w:t>
      </w:r>
      <w:r>
        <w:t>s</w:t>
      </w:r>
      <w:r w:rsidRPr="001C116C">
        <w:t xml:space="preserve"> </w:t>
      </w:r>
      <w:r>
        <w:t xml:space="preserve">for best practices and </w:t>
      </w:r>
      <w:r w:rsidR="004B6D24">
        <w:t xml:space="preserve">ensures </w:t>
      </w:r>
      <w:r w:rsidRPr="001C116C">
        <w:t>compliance with</w:t>
      </w:r>
      <w:r w:rsidR="00DD3578">
        <w:t>in</w:t>
      </w:r>
      <w:r w:rsidRPr="001C116C">
        <w:t xml:space="preserve"> an established set of </w:t>
      </w:r>
      <w:r>
        <w:t>requirements and controls</w:t>
      </w:r>
      <w:r w:rsidRPr="001C116C">
        <w:t xml:space="preserve">.  </w:t>
      </w:r>
    </w:p>
    <w:p w14:paraId="6830BD45" w14:textId="3224AA8C" w:rsidR="0050448D" w:rsidRDefault="003638B0" w:rsidP="006F4BE1">
      <w:pPr>
        <w:pStyle w:val="PolicyText2"/>
      </w:pPr>
      <w:r>
        <w:t>T</w:t>
      </w:r>
      <w:r w:rsidR="0050448D">
        <w:t xml:space="preserve">he </w:t>
      </w:r>
      <w:r w:rsidR="006613F3">
        <w:t>[Insert Appropriate Role]</w:t>
      </w:r>
      <w:r w:rsidR="004B6D24">
        <w:t xml:space="preserve"> or their designee</w:t>
      </w:r>
      <w:r w:rsidR="0050448D">
        <w:t xml:space="preserve"> </w:t>
      </w:r>
      <w:r>
        <w:t>uses independent security audit</w:t>
      </w:r>
      <w:r w:rsidR="004B6D24">
        <w:t>s</w:t>
      </w:r>
      <w:r>
        <w:t xml:space="preserve"> to assist </w:t>
      </w:r>
      <w:r w:rsidR="0050448D">
        <w:t xml:space="preserve">in </w:t>
      </w:r>
      <w:r w:rsidR="0050448D" w:rsidRPr="001C116C">
        <w:t>ensur</w:t>
      </w:r>
      <w:r w:rsidR="0050448D">
        <w:t>ing</w:t>
      </w:r>
      <w:r w:rsidR="0050448D" w:rsidRPr="001C116C">
        <w:t xml:space="preserve"> security controls and safeguards are appropriate, sufficient, and effective at treating </w:t>
      </w:r>
      <w:r>
        <w:t xml:space="preserve">operational and security </w:t>
      </w:r>
      <w:r w:rsidR="0050448D" w:rsidRPr="001C116C">
        <w:t xml:space="preserve">risks.  </w:t>
      </w:r>
      <w:r>
        <w:t>Within this framework, t</w:t>
      </w:r>
      <w:r w:rsidR="0050448D" w:rsidRPr="001C116C">
        <w:t xml:space="preserve">he </w:t>
      </w:r>
      <w:r w:rsidR="006613F3">
        <w:t xml:space="preserve">[Insert Appropriate Role] </w:t>
      </w:r>
      <w:r>
        <w:t xml:space="preserve">works with </w:t>
      </w:r>
      <w:r w:rsidR="00D01ABE">
        <w:t>[LEP]</w:t>
      </w:r>
      <w:r w:rsidR="00DD3578">
        <w:t xml:space="preserve"> </w:t>
      </w:r>
      <w:r>
        <w:t>management to define</w:t>
      </w:r>
      <w:r w:rsidR="0050448D">
        <w:t>:</w:t>
      </w:r>
    </w:p>
    <w:p w14:paraId="30D9EA2B" w14:textId="0493B791" w:rsidR="0050448D" w:rsidRPr="001C116C" w:rsidRDefault="0050448D" w:rsidP="006F4BE1">
      <w:pPr>
        <w:pStyle w:val="PolicyText2"/>
        <w:numPr>
          <w:ilvl w:val="0"/>
          <w:numId w:val="35"/>
        </w:numPr>
      </w:pPr>
      <w:r w:rsidRPr="003638B0">
        <w:rPr>
          <w:b/>
        </w:rPr>
        <w:t>Resources</w:t>
      </w:r>
      <w:r w:rsidRPr="001C116C">
        <w:t xml:space="preserve"> – </w:t>
      </w:r>
      <w:r w:rsidR="00225E8D">
        <w:t>I</w:t>
      </w:r>
      <w:r w:rsidRPr="001C116C">
        <w:t>dentify reso</w:t>
      </w:r>
      <w:r w:rsidR="00225E8D">
        <w:t>urces to perform the audit</w:t>
      </w:r>
    </w:p>
    <w:p w14:paraId="32F92EE4" w14:textId="2FF44F3C" w:rsidR="0050448D" w:rsidRPr="001C116C" w:rsidRDefault="003638B0" w:rsidP="006F4BE1">
      <w:pPr>
        <w:pStyle w:val="PolicyText2"/>
        <w:numPr>
          <w:ilvl w:val="0"/>
          <w:numId w:val="35"/>
        </w:numPr>
      </w:pPr>
      <w:r w:rsidRPr="003638B0">
        <w:rPr>
          <w:b/>
        </w:rPr>
        <w:t xml:space="preserve">Audit </w:t>
      </w:r>
      <w:r w:rsidR="0050448D" w:rsidRPr="003638B0">
        <w:rPr>
          <w:b/>
        </w:rPr>
        <w:t>Scope</w:t>
      </w:r>
      <w:r w:rsidR="0050448D" w:rsidRPr="001C116C">
        <w:t xml:space="preserve"> – </w:t>
      </w:r>
      <w:r w:rsidR="00225E8D">
        <w:t>D</w:t>
      </w:r>
      <w:r w:rsidR="0050448D" w:rsidRPr="001C116C">
        <w:t>efine the scope of the system</w:t>
      </w:r>
      <w:r w:rsidR="004B6D24">
        <w:t>s</w:t>
      </w:r>
      <w:r w:rsidR="0050448D" w:rsidRPr="001C116C">
        <w:t xml:space="preserve"> being certified </w:t>
      </w:r>
      <w:r>
        <w:t>and</w:t>
      </w:r>
      <w:r w:rsidR="0050448D" w:rsidRPr="001C116C">
        <w:t xml:space="preserve"> </w:t>
      </w:r>
      <w:r w:rsidR="004B6D24">
        <w:t>their</w:t>
      </w:r>
      <w:r w:rsidR="00225E8D">
        <w:t xml:space="preserve"> boundaries</w:t>
      </w:r>
    </w:p>
    <w:p w14:paraId="1C88AE4E" w14:textId="23D8FB45" w:rsidR="0050448D" w:rsidRPr="001C116C" w:rsidRDefault="0050448D" w:rsidP="006F4BE1">
      <w:pPr>
        <w:pStyle w:val="PolicyText2"/>
        <w:numPr>
          <w:ilvl w:val="0"/>
          <w:numId w:val="35"/>
        </w:numPr>
      </w:pPr>
      <w:r w:rsidRPr="003638B0">
        <w:rPr>
          <w:b/>
        </w:rPr>
        <w:t>Requirements</w:t>
      </w:r>
      <w:r>
        <w:t xml:space="preserve"> – </w:t>
      </w:r>
      <w:r w:rsidR="00225E8D">
        <w:t>P</w:t>
      </w:r>
      <w:r w:rsidRPr="001C116C">
        <w:t xml:space="preserve">repare a list of security </w:t>
      </w:r>
      <w:r w:rsidR="003638B0">
        <w:t xml:space="preserve">and/or privacy </w:t>
      </w:r>
      <w:r w:rsidRPr="001C116C">
        <w:t>requirements th</w:t>
      </w:r>
      <w:r w:rsidR="00225E8D">
        <w:t>at are relevant to the system</w:t>
      </w:r>
    </w:p>
    <w:p w14:paraId="4293B922" w14:textId="7ED85F6A" w:rsidR="00DD3578" w:rsidRDefault="0050448D" w:rsidP="006F4BE1">
      <w:pPr>
        <w:pStyle w:val="PolicyText2"/>
        <w:numPr>
          <w:ilvl w:val="0"/>
          <w:numId w:val="35"/>
        </w:numPr>
      </w:pPr>
      <w:r w:rsidRPr="003638B0">
        <w:rPr>
          <w:b/>
        </w:rPr>
        <w:t>Description</w:t>
      </w:r>
      <w:r w:rsidRPr="001C116C">
        <w:t xml:space="preserve"> – </w:t>
      </w:r>
      <w:r w:rsidR="003638B0">
        <w:t>Technically and functionally d</w:t>
      </w:r>
      <w:r w:rsidRPr="001C116C">
        <w:t xml:space="preserve">escribe the system including </w:t>
      </w:r>
      <w:r w:rsidR="003638B0">
        <w:t xml:space="preserve">functional systems </w:t>
      </w:r>
      <w:r w:rsidRPr="001C116C">
        <w:t xml:space="preserve">description, system </w:t>
      </w:r>
      <w:r w:rsidR="003638B0">
        <w:t>operational environment</w:t>
      </w:r>
      <w:r w:rsidRPr="001C116C">
        <w:t xml:space="preserve">, criticality, system architecture, interfaces, data flow, </w:t>
      </w:r>
      <w:r w:rsidR="003638B0">
        <w:t>and any data privacy /</w:t>
      </w:r>
      <w:r w:rsidR="00225E8D">
        <w:t xml:space="preserve"> system security requirements</w:t>
      </w:r>
    </w:p>
    <w:p w14:paraId="38321C2D" w14:textId="77777777" w:rsidR="00DD3578" w:rsidRPr="00DD3578" w:rsidRDefault="00DD3578" w:rsidP="006F4BE1">
      <w:pPr>
        <w:pStyle w:val="Heading3"/>
      </w:pPr>
      <w:r>
        <w:t>AUDIT SCOPE</w:t>
      </w:r>
    </w:p>
    <w:p w14:paraId="756FC77B" w14:textId="77777777" w:rsidR="0050448D" w:rsidRPr="00730851" w:rsidRDefault="0050448D" w:rsidP="006F4BE1">
      <w:pPr>
        <w:pStyle w:val="PolicyText2"/>
      </w:pPr>
      <w:r>
        <w:t>The</w:t>
      </w:r>
      <w:r w:rsidR="006613F3">
        <w:t xml:space="preserve"> [Insert Appropriate Role] </w:t>
      </w:r>
      <w:r>
        <w:t>consider</w:t>
      </w:r>
      <w:r w:rsidR="003638B0">
        <w:t>s</w:t>
      </w:r>
      <w:r>
        <w:t xml:space="preserve"> the following when determining </w:t>
      </w:r>
      <w:r w:rsidR="00DD3578">
        <w:t xml:space="preserve">organizational </w:t>
      </w:r>
      <w:r>
        <w:t>audit scope:</w:t>
      </w:r>
    </w:p>
    <w:p w14:paraId="5C44B16B" w14:textId="1E4D37C4" w:rsidR="0050448D" w:rsidRPr="007C01BD" w:rsidRDefault="003638B0" w:rsidP="006F4BE1">
      <w:pPr>
        <w:pStyle w:val="PolicyText2"/>
        <w:numPr>
          <w:ilvl w:val="0"/>
          <w:numId w:val="36"/>
        </w:numPr>
      </w:pPr>
      <w:r>
        <w:rPr>
          <w:b/>
        </w:rPr>
        <w:lastRenderedPageBreak/>
        <w:t xml:space="preserve">Security </w:t>
      </w:r>
      <w:r w:rsidR="0050448D" w:rsidRPr="003638B0">
        <w:rPr>
          <w:b/>
        </w:rPr>
        <w:t>Vulnerabilities</w:t>
      </w:r>
      <w:r w:rsidR="0050448D">
        <w:t xml:space="preserve"> –</w:t>
      </w:r>
      <w:r>
        <w:t xml:space="preserve"> Identifies security vulnerabilities</w:t>
      </w:r>
      <w:r w:rsidR="0050448D" w:rsidRPr="007C01BD">
        <w:t xml:space="preserve"> using reputable outside sources, and assign risk ranking</w:t>
      </w:r>
      <w:r>
        <w:t>s</w:t>
      </w:r>
      <w:r w:rsidR="0050448D" w:rsidRPr="007C01BD">
        <w:t xml:space="preserve"> (for example, as “high,” “medium,” or “low”) to newly discovered security vulnerabilities. </w:t>
      </w:r>
    </w:p>
    <w:p w14:paraId="525739E6" w14:textId="4527B2AC" w:rsidR="0050448D" w:rsidRPr="00730851" w:rsidRDefault="003638B0" w:rsidP="006F4BE1">
      <w:pPr>
        <w:pStyle w:val="PolicyText2"/>
        <w:numPr>
          <w:ilvl w:val="0"/>
          <w:numId w:val="36"/>
        </w:numPr>
      </w:pPr>
      <w:r w:rsidRPr="00B118AE">
        <w:rPr>
          <w:b/>
        </w:rPr>
        <w:t>Risk Evaluation</w:t>
      </w:r>
      <w:r w:rsidR="0050448D">
        <w:t xml:space="preserve"> – </w:t>
      </w:r>
      <w:r>
        <w:t>Identifies</w:t>
      </w:r>
      <w:r w:rsidR="0050448D">
        <w:t xml:space="preserve"> m</w:t>
      </w:r>
      <w:r w:rsidR="0050448D" w:rsidRPr="007C01BD">
        <w:t>ethods for evaluating vulnerabilities and assigning risk ratings</w:t>
      </w:r>
      <w:r w:rsidR="00B118AE">
        <w:t xml:space="preserve"> to systems</w:t>
      </w:r>
      <w:r w:rsidR="0050448D" w:rsidRPr="007C01BD">
        <w:t xml:space="preserve">. </w:t>
      </w:r>
      <w:r w:rsidR="0050448D">
        <w:t xml:space="preserve"> </w:t>
      </w:r>
      <w:r w:rsidR="0050448D" w:rsidRPr="007C01BD">
        <w:t xml:space="preserve">Risk rankings </w:t>
      </w:r>
      <w:proofErr w:type="gramStart"/>
      <w:r w:rsidR="0050448D" w:rsidRPr="007C01BD">
        <w:t>should,</w:t>
      </w:r>
      <w:r w:rsidR="0050448D">
        <w:t xml:space="preserve"> </w:t>
      </w:r>
      <w:r w:rsidR="0050448D" w:rsidRPr="007C01BD">
        <w:t>at a minimum, identify</w:t>
      </w:r>
      <w:proofErr w:type="gramEnd"/>
      <w:r w:rsidR="0050448D" w:rsidRPr="007C01BD">
        <w:t xml:space="preserve"> all vulnerabilities considered to be a “high risk” to the environment. </w:t>
      </w:r>
      <w:r w:rsidR="0050448D">
        <w:t xml:space="preserve"> </w:t>
      </w:r>
      <w:r>
        <w:t>V</w:t>
      </w:r>
      <w:r w:rsidR="0050448D" w:rsidRPr="007C01BD">
        <w:t xml:space="preserve">ulnerabilities </w:t>
      </w:r>
      <w:proofErr w:type="gramStart"/>
      <w:r>
        <w:t xml:space="preserve">are </w:t>
      </w:r>
      <w:r w:rsidR="0050448D" w:rsidRPr="007C01BD">
        <w:t>considered</w:t>
      </w:r>
      <w:proofErr w:type="gramEnd"/>
      <w:r w:rsidR="0050448D" w:rsidRPr="007C01BD">
        <w:t xml:space="preserve"> “critical” if they pose an imminent threat to the</w:t>
      </w:r>
      <w:r w:rsidR="0050448D">
        <w:t xml:space="preserve"> </w:t>
      </w:r>
      <w:r w:rsidR="0050448D" w:rsidRPr="007C01BD">
        <w:t xml:space="preserve">environment, impact critical systems, and/or result in a potential </w:t>
      </w:r>
      <w:r w:rsidR="00B118AE">
        <w:t xml:space="preserve">security </w:t>
      </w:r>
      <w:r w:rsidR="0050448D" w:rsidRPr="007C01BD">
        <w:t xml:space="preserve">compromise </w:t>
      </w:r>
      <w:r>
        <w:t xml:space="preserve">or breach </w:t>
      </w:r>
      <w:r w:rsidR="0050448D" w:rsidRPr="007C01BD">
        <w:t xml:space="preserve">if not addressed. </w:t>
      </w:r>
      <w:r w:rsidR="0050448D">
        <w:t xml:space="preserve"> </w:t>
      </w:r>
      <w:r w:rsidR="0050448D" w:rsidRPr="007C01BD">
        <w:t xml:space="preserve">Examples of critical </w:t>
      </w:r>
      <w:r w:rsidR="00B118AE">
        <w:t xml:space="preserve">educational </w:t>
      </w:r>
      <w:r w:rsidR="0050448D" w:rsidRPr="007C01BD">
        <w:t xml:space="preserve">systems </w:t>
      </w:r>
      <w:r w:rsidR="00B118AE">
        <w:t xml:space="preserve">include premise security, </w:t>
      </w:r>
      <w:r>
        <w:t xml:space="preserve">pupil accounting, </w:t>
      </w:r>
      <w:r w:rsidR="00B118AE">
        <w:t xml:space="preserve">learning management, </w:t>
      </w:r>
      <w:proofErr w:type="gramStart"/>
      <w:r>
        <w:t>general</w:t>
      </w:r>
      <w:proofErr w:type="gramEnd"/>
      <w:r>
        <w:t xml:space="preserve"> financial, </w:t>
      </w:r>
      <w:r w:rsidR="00B118AE">
        <w:t xml:space="preserve">and personnel systems. It also includes any </w:t>
      </w:r>
      <w:r w:rsidR="0050448D" w:rsidRPr="007C01BD">
        <w:t xml:space="preserve">public-facing </w:t>
      </w:r>
      <w:r w:rsidR="000F1CDA">
        <w:t>system, database, or transmission mechanism around</w:t>
      </w:r>
      <w:r w:rsidR="0050448D">
        <w:t xml:space="preserve"> sensitive</w:t>
      </w:r>
      <w:r w:rsidR="00D01ABE">
        <w:t xml:space="preserve"> information</w:t>
      </w:r>
      <w:r w:rsidR="0050448D">
        <w:t xml:space="preserve"> </w:t>
      </w:r>
      <w:r w:rsidR="00B118AE">
        <w:t xml:space="preserve">or </w:t>
      </w:r>
      <w:r w:rsidR="00D01ABE">
        <w:t>PII</w:t>
      </w:r>
      <w:r w:rsidR="0050448D">
        <w:t>.</w:t>
      </w:r>
    </w:p>
    <w:p w14:paraId="77551933" w14:textId="3ABDC287" w:rsidR="0050448D" w:rsidRPr="00730851" w:rsidRDefault="0050448D" w:rsidP="006F4BE1">
      <w:pPr>
        <w:pStyle w:val="PolicyText2"/>
        <w:numPr>
          <w:ilvl w:val="0"/>
          <w:numId w:val="36"/>
        </w:numPr>
      </w:pPr>
      <w:r w:rsidRPr="00B118AE">
        <w:rPr>
          <w:b/>
        </w:rPr>
        <w:t xml:space="preserve">Automated </w:t>
      </w:r>
      <w:r w:rsidR="00DD3578">
        <w:rPr>
          <w:b/>
        </w:rPr>
        <w:t xml:space="preserve">Tools </w:t>
      </w:r>
      <w:r>
        <w:t xml:space="preserve">– </w:t>
      </w:r>
      <w:r w:rsidR="00B118AE">
        <w:t xml:space="preserve">Evaluates and recommends </w:t>
      </w:r>
      <w:r>
        <w:t xml:space="preserve">automated </w:t>
      </w:r>
      <w:r w:rsidR="00B118AE">
        <w:t xml:space="preserve">assessment </w:t>
      </w:r>
      <w:r>
        <w:t xml:space="preserve">tools </w:t>
      </w:r>
      <w:r w:rsidR="00B118AE">
        <w:t>a</w:t>
      </w:r>
      <w:r w:rsidR="00D01ABE">
        <w:t>nd ext</w:t>
      </w:r>
      <w:r w:rsidR="00225E8D">
        <w:t>ernal resources</w:t>
      </w:r>
      <w:r w:rsidR="00B118AE">
        <w:t xml:space="preserve"> that are suitable in identifying </w:t>
      </w:r>
      <w:r w:rsidRPr="00730851">
        <w:t>vulnerabilities</w:t>
      </w:r>
      <w:r>
        <w:t xml:space="preserve"> including weak passwords, configuration issues, </w:t>
      </w:r>
      <w:r w:rsidRPr="00730851">
        <w:t>improper access controls</w:t>
      </w:r>
      <w:r>
        <w:t xml:space="preserve">, </w:t>
      </w:r>
      <w:r w:rsidR="00DD3578">
        <w:t xml:space="preserve">network penetration testing, </w:t>
      </w:r>
      <w:r>
        <w:t>and patch management issues.</w:t>
      </w:r>
    </w:p>
    <w:p w14:paraId="16B4A1E8" w14:textId="5202209C" w:rsidR="0050448D" w:rsidRPr="00730851" w:rsidRDefault="0050448D" w:rsidP="006F4BE1">
      <w:pPr>
        <w:pStyle w:val="PolicyText2"/>
        <w:numPr>
          <w:ilvl w:val="0"/>
          <w:numId w:val="36"/>
        </w:numPr>
      </w:pPr>
      <w:r w:rsidRPr="00B118AE">
        <w:rPr>
          <w:b/>
        </w:rPr>
        <w:t xml:space="preserve">Administrative </w:t>
      </w:r>
      <w:r w:rsidR="00DD3578">
        <w:rPr>
          <w:b/>
        </w:rPr>
        <w:t>S</w:t>
      </w:r>
      <w:r w:rsidRPr="00B118AE">
        <w:rPr>
          <w:b/>
        </w:rPr>
        <w:t>afeguards</w:t>
      </w:r>
      <w:r>
        <w:t xml:space="preserve"> – </w:t>
      </w:r>
      <w:r w:rsidR="00B118AE">
        <w:t>Defines prot</w:t>
      </w:r>
      <w:r w:rsidR="00BC5480">
        <w:t>o</w:t>
      </w:r>
      <w:r w:rsidR="00B118AE">
        <w:t xml:space="preserve">cols, </w:t>
      </w:r>
      <w:r>
        <w:t>policies, procedures, training plans and other administrative security controls</w:t>
      </w:r>
      <w:r w:rsidR="00B118AE">
        <w:t xml:space="preserve"> (e.g. – these policies are a good example of a procedural control) useful to an auditor in comparing against </w:t>
      </w:r>
      <w:r w:rsidR="00DD3578">
        <w:t xml:space="preserve">a </w:t>
      </w:r>
      <w:r w:rsidR="00B118AE">
        <w:t>standard</w:t>
      </w:r>
      <w:r w:rsidR="00DD3578">
        <w:t xml:space="preserve"> of operation</w:t>
      </w:r>
      <w:r>
        <w:t>.</w:t>
      </w:r>
    </w:p>
    <w:p w14:paraId="2AB3F5CF" w14:textId="77777777" w:rsidR="0050448D" w:rsidRDefault="0050448D" w:rsidP="006F4BE1">
      <w:pPr>
        <w:pStyle w:val="PolicyText2"/>
        <w:numPr>
          <w:ilvl w:val="0"/>
          <w:numId w:val="36"/>
        </w:numPr>
      </w:pPr>
      <w:r w:rsidRPr="00B118AE">
        <w:rPr>
          <w:b/>
        </w:rPr>
        <w:t xml:space="preserve">Penetration </w:t>
      </w:r>
      <w:r w:rsidR="00DD3578">
        <w:rPr>
          <w:b/>
        </w:rPr>
        <w:t>T</w:t>
      </w:r>
      <w:r w:rsidRPr="00B118AE">
        <w:rPr>
          <w:b/>
        </w:rPr>
        <w:t>esting</w:t>
      </w:r>
      <w:r>
        <w:t xml:space="preserve"> – </w:t>
      </w:r>
      <w:r w:rsidR="00B118AE">
        <w:t xml:space="preserve">Evaluates whether </w:t>
      </w:r>
      <w:r>
        <w:t xml:space="preserve">penetration testing </w:t>
      </w:r>
      <w:proofErr w:type="gramStart"/>
      <w:r>
        <w:t>may be used</w:t>
      </w:r>
      <w:proofErr w:type="gramEnd"/>
      <w:r>
        <w:t xml:space="preserve"> to identify system vulnerabilities.  Examples of penetration testing include evaluations of firewalls and other </w:t>
      </w:r>
      <w:r w:rsidR="00B118AE">
        <w:t xml:space="preserve">external </w:t>
      </w:r>
      <w:r>
        <w:t xml:space="preserve">network entry points, analysis of software applications and websites, </w:t>
      </w:r>
      <w:r w:rsidR="00B118AE">
        <w:t>review of logging and account procedures, social engineering tests of s</w:t>
      </w:r>
      <w:r w:rsidR="004B6D24">
        <w:t>taff.</w:t>
      </w:r>
    </w:p>
    <w:p w14:paraId="54E9C656" w14:textId="77777777" w:rsidR="00DD3578" w:rsidRPr="00DD3578" w:rsidRDefault="00DD3578" w:rsidP="006F4BE1">
      <w:pPr>
        <w:pStyle w:val="Heading3"/>
      </w:pPr>
      <w:r>
        <w:t>AUDIT PROCEDURES</w:t>
      </w:r>
    </w:p>
    <w:p w14:paraId="276ABDAA" w14:textId="77777777" w:rsidR="0050448D" w:rsidRDefault="0050448D" w:rsidP="006F4BE1">
      <w:pPr>
        <w:pStyle w:val="PolicyText2"/>
      </w:pPr>
      <w:r w:rsidRPr="00730851">
        <w:t xml:space="preserve">Access to audit tools shall be controlled and restricted to prevent possible misuse or compromise </w:t>
      </w:r>
      <w:r w:rsidR="000F1CDA">
        <w:t>resources</w:t>
      </w:r>
      <w:r w:rsidRPr="00730851">
        <w:t xml:space="preserve"> and log data.</w:t>
      </w:r>
      <w:r>
        <w:t xml:space="preserve">  Audit requirements and activities involving verification of operational systems </w:t>
      </w:r>
      <w:proofErr w:type="gramStart"/>
      <w:r>
        <w:t xml:space="preserve">shall be carefully planned and agreed to minimize disruptions to </w:t>
      </w:r>
      <w:r w:rsidR="000F1CDA">
        <w:t xml:space="preserve">normal </w:t>
      </w:r>
      <w:r>
        <w:t xml:space="preserve">business </w:t>
      </w:r>
      <w:r w:rsidR="000F1CDA">
        <w:t>operations</w:t>
      </w:r>
      <w:proofErr w:type="gramEnd"/>
      <w:r>
        <w:t>.</w:t>
      </w:r>
    </w:p>
    <w:p w14:paraId="44FAF63A" w14:textId="50E16E1F" w:rsidR="0050448D" w:rsidRDefault="0050448D" w:rsidP="006F4BE1">
      <w:pPr>
        <w:pStyle w:val="PolicyText2"/>
      </w:pPr>
      <w:r w:rsidRPr="001C116C">
        <w:t xml:space="preserve">Where possible, the </w:t>
      </w:r>
      <w:r w:rsidR="006613F3">
        <w:t xml:space="preserve">[Insert Appropriate Role] </w:t>
      </w:r>
      <w:r w:rsidRPr="001C116C">
        <w:t xml:space="preserve">shall use Certified Information Systems Auditors to </w:t>
      </w:r>
      <w:r>
        <w:t>audit</w:t>
      </w:r>
      <w:r w:rsidRPr="001C116C">
        <w:t xml:space="preserve"> the security controls of </w:t>
      </w:r>
      <w:r w:rsidR="00225E8D">
        <w:t>[LEP]</w:t>
      </w:r>
      <w:r w:rsidR="00C16EA5">
        <w:t xml:space="preserve"> </w:t>
      </w:r>
      <w:r w:rsidR="000F1CDA">
        <w:t>s</w:t>
      </w:r>
      <w:r w:rsidRPr="001C116C">
        <w:t xml:space="preserve">ystems.  </w:t>
      </w:r>
      <w:r w:rsidR="000F1CDA">
        <w:t>A</w:t>
      </w:r>
      <w:r>
        <w:t xml:space="preserve">udits </w:t>
      </w:r>
      <w:proofErr w:type="gramStart"/>
      <w:r>
        <w:t>shall be performed</w:t>
      </w:r>
      <w:proofErr w:type="gramEnd"/>
      <w:r>
        <w:t xml:space="preserve"> on a</w:t>
      </w:r>
      <w:r w:rsidR="000F1CDA">
        <w:t xml:space="preserve"> regular basis as defined by law, statute, or executive management protocol.  </w:t>
      </w:r>
    </w:p>
    <w:p w14:paraId="6AC4F63F" w14:textId="77777777" w:rsidR="0050448D" w:rsidRDefault="0050448D" w:rsidP="006F4BE1">
      <w:pPr>
        <w:pStyle w:val="PolicyText2"/>
      </w:pPr>
      <w:r w:rsidRPr="001C116C">
        <w:t>The auditor’s report shall include their project scope, findings, an</w:t>
      </w:r>
      <w:r>
        <w:t>d recommendat</w:t>
      </w:r>
      <w:r w:rsidR="007B00CD">
        <w:t xml:space="preserve">ions to enhance security.  The </w:t>
      </w:r>
      <w:r w:rsidR="006613F3">
        <w:t>[Insert Appropriate Role]</w:t>
      </w:r>
      <w:r>
        <w:t xml:space="preserve"> shall:</w:t>
      </w:r>
    </w:p>
    <w:p w14:paraId="2127AD4C" w14:textId="5D6CB152" w:rsidR="0050448D" w:rsidRDefault="0050448D" w:rsidP="006F4BE1">
      <w:pPr>
        <w:pStyle w:val="PolicyText2"/>
        <w:numPr>
          <w:ilvl w:val="0"/>
          <w:numId w:val="37"/>
        </w:numPr>
      </w:pPr>
      <w:r>
        <w:t>Review the security auditor’s report to confirm the findings and verify the security recommendations are sufficient and effective.</w:t>
      </w:r>
    </w:p>
    <w:p w14:paraId="0A30115B" w14:textId="2DDB859C" w:rsidR="0050448D" w:rsidRDefault="0050448D" w:rsidP="006F4BE1">
      <w:pPr>
        <w:pStyle w:val="PolicyText2"/>
        <w:numPr>
          <w:ilvl w:val="0"/>
          <w:numId w:val="37"/>
        </w:numPr>
      </w:pPr>
      <w:r>
        <w:t>Conv</w:t>
      </w:r>
      <w:r w:rsidR="007B00CD">
        <w:t xml:space="preserve">ey the findings to the </w:t>
      </w:r>
      <w:r w:rsidR="006613F3">
        <w:t xml:space="preserve">[Insert Appropriate Role] </w:t>
      </w:r>
      <w:r>
        <w:t xml:space="preserve">and appropriate </w:t>
      </w:r>
      <w:r w:rsidR="00D01ABE">
        <w:t>[LEP]</w:t>
      </w:r>
      <w:r w:rsidR="007B00CD">
        <w:t xml:space="preserve"> heads </w:t>
      </w:r>
      <w:r>
        <w:t xml:space="preserve">so that </w:t>
      </w:r>
      <w:r w:rsidR="007B00CD">
        <w:t xml:space="preserve">findings and resolutions </w:t>
      </w:r>
      <w:proofErr w:type="gramStart"/>
      <w:r w:rsidR="007B00CD">
        <w:t>can be reviewed, understood, and remedied</w:t>
      </w:r>
      <w:proofErr w:type="gramEnd"/>
      <w:r>
        <w:t>.</w:t>
      </w:r>
    </w:p>
    <w:p w14:paraId="7116943E" w14:textId="1B3FB1CB" w:rsidR="0050448D" w:rsidRDefault="0050448D" w:rsidP="006F4BE1">
      <w:pPr>
        <w:pStyle w:val="PolicyText2"/>
      </w:pPr>
      <w:r>
        <w:t xml:space="preserve">The </w:t>
      </w:r>
      <w:r w:rsidR="006F4BE1">
        <w:t>[Insert Appropriate Role]</w:t>
      </w:r>
      <w:r>
        <w:t xml:space="preserve"> shall p</w:t>
      </w:r>
      <w:r w:rsidRPr="002F69C9">
        <w:t>rovide nece</w:t>
      </w:r>
      <w:r>
        <w:t xml:space="preserve">ssary reporting to </w:t>
      </w:r>
      <w:commentRangeStart w:id="0"/>
      <w:r w:rsidR="00D01ABE">
        <w:t>e</w:t>
      </w:r>
      <w:r w:rsidR="00C16EA5">
        <w:t xml:space="preserve">xecutive </w:t>
      </w:r>
      <w:r w:rsidR="00D01ABE">
        <w:t>m</w:t>
      </w:r>
      <w:r w:rsidR="00C16EA5">
        <w:t>anagement</w:t>
      </w:r>
      <w:r w:rsidR="00D01ABE">
        <w:t xml:space="preserve"> and the Board of Education</w:t>
      </w:r>
      <w:commentRangeEnd w:id="0"/>
      <w:r w:rsidR="006613F3">
        <w:rPr>
          <w:rStyle w:val="CommentReference"/>
        </w:rPr>
        <w:commentReference w:id="0"/>
      </w:r>
      <w:r w:rsidRPr="002F69C9">
        <w:t>.</w:t>
      </w:r>
    </w:p>
    <w:p w14:paraId="0A41F39B" w14:textId="07573C16" w:rsidR="003E192C" w:rsidRPr="003E192C" w:rsidRDefault="003E192C" w:rsidP="006F4BE1">
      <w:pPr>
        <w:pStyle w:val="Heading2"/>
      </w:pPr>
      <w:r w:rsidRPr="003E192C">
        <w:lastRenderedPageBreak/>
        <w:t>Audit Controls and Management</w:t>
      </w:r>
    </w:p>
    <w:p w14:paraId="1F2B3623" w14:textId="77777777" w:rsidR="00561378" w:rsidRDefault="003E192C" w:rsidP="006F4BE1">
      <w:pPr>
        <w:pStyle w:val="PolicyText1"/>
      </w:pPr>
      <w:r w:rsidRPr="003E192C">
        <w:t>On-demand documented procedures and evidence of practice should be in place for this operational policy as part of</w:t>
      </w:r>
      <w:r w:rsidR="00561378">
        <w:t xml:space="preserve"> </w:t>
      </w:r>
      <w:proofErr w:type="gramStart"/>
      <w:r w:rsidR="00561378">
        <w:t>day to day</w:t>
      </w:r>
      <w:proofErr w:type="gramEnd"/>
      <w:r w:rsidR="00561378">
        <w:t xml:space="preserve"> operations</w:t>
      </w:r>
      <w:r w:rsidRPr="003E192C">
        <w:t>.</w:t>
      </w:r>
      <w:r w:rsidR="00561378">
        <w:t xml:space="preserve">  Examples of controls and practices include:</w:t>
      </w:r>
    </w:p>
    <w:p w14:paraId="57C8925D" w14:textId="734A886E" w:rsidR="00561378" w:rsidRDefault="00561378" w:rsidP="006F4BE1">
      <w:pPr>
        <w:pStyle w:val="PolicyText1"/>
        <w:numPr>
          <w:ilvl w:val="0"/>
          <w:numId w:val="38"/>
        </w:numPr>
      </w:pPr>
      <w:r w:rsidRPr="00561378">
        <w:t>Departmental audit procedural documentation</w:t>
      </w:r>
    </w:p>
    <w:p w14:paraId="44A3D5B9" w14:textId="0D60D6C1" w:rsidR="00561378" w:rsidRDefault="00561378" w:rsidP="006F4BE1">
      <w:pPr>
        <w:pStyle w:val="PolicyText1"/>
        <w:numPr>
          <w:ilvl w:val="0"/>
          <w:numId w:val="38"/>
        </w:numPr>
      </w:pPr>
      <w:r w:rsidRPr="00561378">
        <w:t>Software Tools and logs of usage related to penetration testing</w:t>
      </w:r>
    </w:p>
    <w:p w14:paraId="5C4AEF2D" w14:textId="571B6814" w:rsidR="00561378" w:rsidRDefault="00561378" w:rsidP="006F4BE1">
      <w:pPr>
        <w:pStyle w:val="PolicyText1"/>
        <w:numPr>
          <w:ilvl w:val="0"/>
          <w:numId w:val="38"/>
        </w:numPr>
      </w:pPr>
      <w:r w:rsidRPr="00561378">
        <w:t>Procedures around audit processes and response</w:t>
      </w:r>
    </w:p>
    <w:p w14:paraId="41C66A70" w14:textId="5174A96C" w:rsidR="00561378" w:rsidRDefault="00561378" w:rsidP="006F4BE1">
      <w:pPr>
        <w:pStyle w:val="PolicyText1"/>
        <w:numPr>
          <w:ilvl w:val="0"/>
          <w:numId w:val="38"/>
        </w:numPr>
      </w:pPr>
      <w:r w:rsidRPr="00561378">
        <w:t>Documented audit results, finding, action plans, and results</w:t>
      </w:r>
    </w:p>
    <w:p w14:paraId="73EE2366" w14:textId="03946C21" w:rsidR="00561378" w:rsidRPr="00561378" w:rsidRDefault="00561378" w:rsidP="006F4BE1">
      <w:pPr>
        <w:pStyle w:val="PolicyText1"/>
        <w:numPr>
          <w:ilvl w:val="0"/>
          <w:numId w:val="38"/>
        </w:numPr>
      </w:pPr>
      <w:r w:rsidRPr="00561378">
        <w:t>Annual audit calendar schedules as appropriate</w:t>
      </w:r>
    </w:p>
    <w:p w14:paraId="11D102A8" w14:textId="2629F5AA" w:rsidR="003E192C" w:rsidRPr="003E192C" w:rsidRDefault="006F4BE1" w:rsidP="006F4BE1">
      <w:pPr>
        <w:pStyle w:val="Heading2"/>
      </w:pPr>
      <w:r>
        <w:t>E</w:t>
      </w:r>
      <w:r w:rsidR="003E192C" w:rsidRPr="003E192C">
        <w:t xml:space="preserve">nforcement  </w:t>
      </w:r>
    </w:p>
    <w:p w14:paraId="1A5FB196" w14:textId="77777777" w:rsidR="003E192C" w:rsidRPr="003E192C" w:rsidRDefault="003E192C" w:rsidP="006F4BE1">
      <w:pPr>
        <w:pStyle w:val="PolicyText1"/>
      </w:pPr>
      <w:r w:rsidRPr="003E192C">
        <w:t>Staff members found in policy violation may be subject to disciplinary action, up to and including termination.</w:t>
      </w:r>
    </w:p>
    <w:p w14:paraId="642C9710" w14:textId="12D3FD0B" w:rsidR="003E192C" w:rsidRPr="003E192C" w:rsidRDefault="003E192C" w:rsidP="006F4BE1">
      <w:pPr>
        <w:pStyle w:val="Heading2"/>
      </w:pPr>
      <w:r w:rsidRPr="003E192C">
        <w:t>Distribution</w:t>
      </w:r>
    </w:p>
    <w:p w14:paraId="1DAC3D45" w14:textId="77777777" w:rsidR="003E192C" w:rsidRPr="003E192C" w:rsidRDefault="003E192C" w:rsidP="006F4BE1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D01ABE">
        <w:t>[LEP]</w:t>
      </w:r>
      <w:r w:rsidR="00D01ABE" w:rsidRPr="003E192C">
        <w:t xml:space="preserve"> </w:t>
      </w:r>
      <w:r w:rsidRPr="003E192C">
        <w:t>staff.</w:t>
      </w:r>
    </w:p>
    <w:p w14:paraId="73B74E97" w14:textId="77777777" w:rsidR="003E192C" w:rsidRPr="003E192C" w:rsidRDefault="003E192C" w:rsidP="006F4BE1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14:paraId="76CB6A1D" w14:textId="77777777" w:rsidTr="00B118AE">
        <w:tc>
          <w:tcPr>
            <w:tcW w:w="1137" w:type="dxa"/>
            <w:shd w:val="clear" w:color="auto" w:fill="C0C0C0"/>
          </w:tcPr>
          <w:p w14:paraId="5A4EDE7B" w14:textId="77777777" w:rsidR="003E192C" w:rsidRPr="003E192C" w:rsidRDefault="003E192C" w:rsidP="006F4BE1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14:paraId="1EB9F69E" w14:textId="77777777" w:rsidR="003E192C" w:rsidRPr="003E192C" w:rsidRDefault="003E192C" w:rsidP="006F4BE1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14:paraId="5F36CE62" w14:textId="77777777" w:rsidR="003E192C" w:rsidRPr="003E192C" w:rsidRDefault="003E192C" w:rsidP="006F4BE1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14:paraId="54986E47" w14:textId="77777777" w:rsidR="003E192C" w:rsidRPr="003E192C" w:rsidRDefault="003E192C" w:rsidP="006F4BE1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14:paraId="019482F6" w14:textId="77777777" w:rsidTr="00B118AE">
        <w:tc>
          <w:tcPr>
            <w:tcW w:w="1137" w:type="dxa"/>
            <w:shd w:val="clear" w:color="auto" w:fill="auto"/>
          </w:tcPr>
          <w:p w14:paraId="74B2CFF2" w14:textId="77777777" w:rsidR="003E192C" w:rsidRPr="003E192C" w:rsidRDefault="003E192C" w:rsidP="006F4BE1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14:paraId="0AE06909" w14:textId="77777777" w:rsidR="003E192C" w:rsidRPr="003E192C" w:rsidRDefault="00C16EA5" w:rsidP="006F4BE1">
            <w:pPr>
              <w:pStyle w:val="PolicyText1"/>
            </w:pPr>
            <w:r>
              <w:t>11</w:t>
            </w:r>
            <w:r w:rsidR="003E192C" w:rsidRPr="003E192C">
              <w:t>/</w:t>
            </w:r>
            <w:r>
              <w:t>20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14:paraId="5E2A23F5" w14:textId="77777777" w:rsidR="003E192C" w:rsidRPr="003E192C" w:rsidRDefault="003E192C" w:rsidP="006F4BE1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14:paraId="11B255DC" w14:textId="77777777" w:rsidR="003E192C" w:rsidRPr="003E192C" w:rsidRDefault="003E192C" w:rsidP="006F4BE1">
            <w:pPr>
              <w:pStyle w:val="PolicyText1"/>
            </w:pPr>
          </w:p>
        </w:tc>
      </w:tr>
      <w:tr w:rsidR="003E192C" w:rsidRPr="003E192C" w14:paraId="04113280" w14:textId="77777777" w:rsidTr="00B118AE">
        <w:tc>
          <w:tcPr>
            <w:tcW w:w="1137" w:type="dxa"/>
            <w:shd w:val="clear" w:color="auto" w:fill="auto"/>
          </w:tcPr>
          <w:p w14:paraId="3970C706" w14:textId="77777777" w:rsidR="003E192C" w:rsidRPr="003E192C" w:rsidRDefault="003E192C" w:rsidP="006F4BE1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368FF8BD" w14:textId="77777777" w:rsidR="003E192C" w:rsidRPr="003E192C" w:rsidRDefault="003E192C" w:rsidP="006F4BE1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4C463B82" w14:textId="77777777" w:rsidR="003E192C" w:rsidRPr="003E192C" w:rsidRDefault="003E192C" w:rsidP="006F4BE1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3D65C3B1" w14:textId="77777777" w:rsidR="003E192C" w:rsidRPr="003E192C" w:rsidRDefault="003E192C" w:rsidP="006F4BE1">
            <w:pPr>
              <w:pStyle w:val="PolicyText1"/>
            </w:pPr>
          </w:p>
        </w:tc>
      </w:tr>
      <w:tr w:rsidR="003E192C" w:rsidRPr="003E192C" w14:paraId="5B7E3D22" w14:textId="77777777" w:rsidTr="00B118AE">
        <w:tc>
          <w:tcPr>
            <w:tcW w:w="1137" w:type="dxa"/>
            <w:shd w:val="clear" w:color="auto" w:fill="auto"/>
          </w:tcPr>
          <w:p w14:paraId="22CAF9C5" w14:textId="77777777" w:rsidR="003E192C" w:rsidRPr="003E192C" w:rsidRDefault="003E192C" w:rsidP="006F4BE1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14:paraId="5FDCC6EB" w14:textId="77777777" w:rsidR="003E192C" w:rsidRPr="003E192C" w:rsidRDefault="003E192C" w:rsidP="006F4BE1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14:paraId="33C802BC" w14:textId="77777777" w:rsidR="003E192C" w:rsidRPr="003E192C" w:rsidRDefault="003E192C" w:rsidP="006F4BE1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14:paraId="1B1DA637" w14:textId="77777777" w:rsidR="003E192C" w:rsidRPr="003E192C" w:rsidRDefault="003E192C" w:rsidP="006F4BE1">
            <w:pPr>
              <w:pStyle w:val="PolicyText1"/>
            </w:pPr>
          </w:p>
        </w:tc>
      </w:tr>
    </w:tbl>
    <w:p w14:paraId="00FCA8BE" w14:textId="77777777" w:rsidR="003E192C" w:rsidRPr="003E192C" w:rsidRDefault="003E192C" w:rsidP="003E192C">
      <w:pPr>
        <w:rPr>
          <w:rFonts w:ascii="Arial" w:hAnsi="Arial" w:cs="Arial"/>
        </w:rPr>
      </w:pPr>
    </w:p>
    <w:p w14:paraId="77E22CB4" w14:textId="77777777" w:rsidR="003E192C" w:rsidRPr="003E192C" w:rsidRDefault="003E192C" w:rsidP="003E192C"/>
    <w:p w14:paraId="3AD9F1A0" w14:textId="77777777" w:rsidR="00A755FE" w:rsidRDefault="00A755FE" w:rsidP="00AF3C6F">
      <w:bookmarkStart w:id="1" w:name="_GoBack"/>
      <w:bookmarkEnd w:id="1"/>
    </w:p>
    <w:sectPr w:rsidR="00A755F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tacey, Jill" w:date="2017-02-15T11:46:00Z" w:initials="SJ">
    <w:p w14:paraId="24C5FDE0" w14:textId="77777777" w:rsidR="006613F3" w:rsidRDefault="006613F3">
      <w:pPr>
        <w:pStyle w:val="CommentText"/>
      </w:pPr>
      <w:r>
        <w:rPr>
          <w:rStyle w:val="CommentReference"/>
        </w:rPr>
        <w:annotationRef/>
      </w:r>
      <w:r>
        <w:t>Guidance Note: Amend as needed.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C5FDE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DDD2BC" w14:textId="77777777" w:rsidR="006875D0" w:rsidRDefault="006875D0" w:rsidP="00333141">
      <w:pPr>
        <w:spacing w:after="0" w:line="240" w:lineRule="auto"/>
      </w:pPr>
      <w:r>
        <w:separator/>
      </w:r>
    </w:p>
  </w:endnote>
  <w:endnote w:type="continuationSeparator" w:id="0">
    <w:p w14:paraId="25F3311D" w14:textId="77777777" w:rsidR="006875D0" w:rsidRDefault="006875D0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0ACE5" w14:textId="25E97DF3" w:rsidR="00B118AE" w:rsidRPr="00333141" w:rsidRDefault="00D01ABE" w:rsidP="00333141">
    <w:pPr>
      <w:pStyle w:val="Footer"/>
    </w:pPr>
    <w:r>
      <w:tab/>
    </w:r>
    <w:r>
      <w:tab/>
    </w:r>
    <w:r w:rsidR="006F4BE1">
      <w:t xml:space="preserve">Sample </w:t>
    </w:r>
    <w:r w:rsidR="00B118AE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9E5955" w14:textId="77777777" w:rsidR="006875D0" w:rsidRDefault="006875D0" w:rsidP="00333141">
      <w:pPr>
        <w:spacing w:after="0" w:line="240" w:lineRule="auto"/>
      </w:pPr>
      <w:r>
        <w:separator/>
      </w:r>
    </w:p>
  </w:footnote>
  <w:footnote w:type="continuationSeparator" w:id="0">
    <w:p w14:paraId="69C937B1" w14:textId="77777777" w:rsidR="006875D0" w:rsidRDefault="006875D0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F85D3" w14:textId="5202F926" w:rsidR="00DE5F5F" w:rsidRDefault="006875D0">
    <w:pPr>
      <w:pStyle w:val="Header"/>
    </w:pPr>
    <w:r>
      <w:rPr>
        <w:noProof/>
      </w:rPr>
      <w:pict w14:anchorId="635F17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3633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B118AE" w:rsidRPr="0025191F" w14:paraId="28A587C0" w14:textId="77777777" w:rsidTr="00225E8D">
      <w:tc>
        <w:tcPr>
          <w:tcW w:w="4701" w:type="pct"/>
        </w:tcPr>
        <w:p w14:paraId="1E223B97" w14:textId="3B4CA7CD" w:rsidR="00B118AE" w:rsidRPr="0030192B" w:rsidRDefault="006875D0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5C16CC">
                <w:t>Information Systems Audit</w:t>
              </w:r>
              <w:r w:rsidR="00250D74">
                <w:t xml:space="preserve"> Policy</w:t>
              </w:r>
            </w:sdtContent>
          </w:sdt>
        </w:p>
      </w:tc>
      <w:tc>
        <w:tcPr>
          <w:tcW w:w="299" w:type="pct"/>
        </w:tcPr>
        <w:p w14:paraId="2254C20F" w14:textId="77777777" w:rsidR="00B118AE" w:rsidRPr="0030192B" w:rsidRDefault="00B118AE" w:rsidP="00B118AE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225E8D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14:paraId="7155A378" w14:textId="2BE3E7B4" w:rsidR="00B118AE" w:rsidRDefault="006875D0">
    <w:pPr>
      <w:pStyle w:val="Header"/>
    </w:pPr>
    <w:r>
      <w:rPr>
        <w:noProof/>
      </w:rPr>
      <w:pict w14:anchorId="51605E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3634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357A5" w14:textId="7459F292" w:rsidR="00DE5F5F" w:rsidRDefault="006875D0">
    <w:pPr>
      <w:pStyle w:val="Header"/>
    </w:pPr>
    <w:r>
      <w:rPr>
        <w:noProof/>
      </w:rPr>
      <w:pict w14:anchorId="18CFBB8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3632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51F"/>
    <w:multiLevelType w:val="hybridMultilevel"/>
    <w:tmpl w:val="2432D586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B0BA9"/>
    <w:multiLevelType w:val="hybridMultilevel"/>
    <w:tmpl w:val="5366ED5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14FDC"/>
    <w:multiLevelType w:val="multilevel"/>
    <w:tmpl w:val="D0EA5A34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605994"/>
    <w:multiLevelType w:val="hybridMultilevel"/>
    <w:tmpl w:val="AC12DC72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D144D"/>
    <w:multiLevelType w:val="hybridMultilevel"/>
    <w:tmpl w:val="0E44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A92FB7"/>
    <w:multiLevelType w:val="hybridMultilevel"/>
    <w:tmpl w:val="54467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C5424"/>
    <w:multiLevelType w:val="hybridMultilevel"/>
    <w:tmpl w:val="85B274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B758D"/>
    <w:multiLevelType w:val="multilevel"/>
    <w:tmpl w:val="37B20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0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228A1"/>
    <w:multiLevelType w:val="hybridMultilevel"/>
    <w:tmpl w:val="B45CC1A8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041F1F"/>
    <w:multiLevelType w:val="hybridMultilevel"/>
    <w:tmpl w:val="55864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02369"/>
    <w:multiLevelType w:val="hybridMultilevel"/>
    <w:tmpl w:val="4F3C2E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03D49B4"/>
    <w:multiLevelType w:val="hybridMultilevel"/>
    <w:tmpl w:val="9A0C277A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1"/>
  </w:num>
  <w:num w:numId="4">
    <w:abstractNumId w:val="29"/>
  </w:num>
  <w:num w:numId="5">
    <w:abstractNumId w:val="25"/>
  </w:num>
  <w:num w:numId="6">
    <w:abstractNumId w:val="2"/>
  </w:num>
  <w:num w:numId="7">
    <w:abstractNumId w:val="16"/>
  </w:num>
  <w:num w:numId="8">
    <w:abstractNumId w:val="13"/>
  </w:num>
  <w:num w:numId="9">
    <w:abstractNumId w:val="11"/>
  </w:num>
  <w:num w:numId="10">
    <w:abstractNumId w:val="20"/>
  </w:num>
  <w:num w:numId="11">
    <w:abstractNumId w:val="37"/>
  </w:num>
  <w:num w:numId="12">
    <w:abstractNumId w:val="31"/>
  </w:num>
  <w:num w:numId="13">
    <w:abstractNumId w:val="8"/>
  </w:num>
  <w:num w:numId="14">
    <w:abstractNumId w:val="18"/>
  </w:num>
  <w:num w:numId="15">
    <w:abstractNumId w:val="24"/>
  </w:num>
  <w:num w:numId="16">
    <w:abstractNumId w:val="35"/>
  </w:num>
  <w:num w:numId="17">
    <w:abstractNumId w:val="12"/>
  </w:num>
  <w:num w:numId="18">
    <w:abstractNumId w:val="3"/>
  </w:num>
  <w:num w:numId="19">
    <w:abstractNumId w:val="5"/>
  </w:num>
  <w:num w:numId="20">
    <w:abstractNumId w:val="22"/>
  </w:num>
  <w:num w:numId="21">
    <w:abstractNumId w:val="27"/>
  </w:num>
  <w:num w:numId="22">
    <w:abstractNumId w:val="26"/>
  </w:num>
  <w:num w:numId="23">
    <w:abstractNumId w:val="30"/>
  </w:num>
  <w:num w:numId="24">
    <w:abstractNumId w:val="4"/>
  </w:num>
  <w:num w:numId="25">
    <w:abstractNumId w:val="21"/>
  </w:num>
  <w:num w:numId="26">
    <w:abstractNumId w:val="9"/>
  </w:num>
  <w:num w:numId="27">
    <w:abstractNumId w:val="33"/>
  </w:num>
  <w:num w:numId="28">
    <w:abstractNumId w:val="34"/>
  </w:num>
  <w:num w:numId="29">
    <w:abstractNumId w:val="36"/>
  </w:num>
  <w:num w:numId="30">
    <w:abstractNumId w:val="32"/>
  </w:num>
  <w:num w:numId="31">
    <w:abstractNumId w:val="0"/>
  </w:num>
  <w:num w:numId="32">
    <w:abstractNumId w:val="6"/>
  </w:num>
  <w:num w:numId="33">
    <w:abstractNumId w:val="19"/>
  </w:num>
  <w:num w:numId="34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15"/>
  </w:num>
  <w:num w:numId="37">
    <w:abstractNumId w:val="28"/>
  </w:num>
  <w:num w:numId="38">
    <w:abstractNumId w:val="14"/>
  </w:num>
  <w:num w:numId="39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acey, Jill">
    <w15:presenceInfo w15:providerId="AD" w15:userId="S-1-5-21-170422339-1359699126-1544898942-359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0F1CDA"/>
    <w:rsid w:val="00140385"/>
    <w:rsid w:val="00225E8D"/>
    <w:rsid w:val="00250D74"/>
    <w:rsid w:val="00333141"/>
    <w:rsid w:val="00347EBF"/>
    <w:rsid w:val="003638B0"/>
    <w:rsid w:val="003E192C"/>
    <w:rsid w:val="00415BE3"/>
    <w:rsid w:val="004B6D24"/>
    <w:rsid w:val="0050448D"/>
    <w:rsid w:val="00561378"/>
    <w:rsid w:val="005B0E00"/>
    <w:rsid w:val="005C16CC"/>
    <w:rsid w:val="006613F3"/>
    <w:rsid w:val="00670498"/>
    <w:rsid w:val="006875D0"/>
    <w:rsid w:val="006A4C02"/>
    <w:rsid w:val="006F4BE1"/>
    <w:rsid w:val="007B00CD"/>
    <w:rsid w:val="00975A9C"/>
    <w:rsid w:val="00992354"/>
    <w:rsid w:val="00A755FE"/>
    <w:rsid w:val="00AF3C6F"/>
    <w:rsid w:val="00B118AE"/>
    <w:rsid w:val="00B50C2A"/>
    <w:rsid w:val="00BB100B"/>
    <w:rsid w:val="00BC5480"/>
    <w:rsid w:val="00C16EA5"/>
    <w:rsid w:val="00C43D5E"/>
    <w:rsid w:val="00D01ABE"/>
    <w:rsid w:val="00D14E0D"/>
    <w:rsid w:val="00D6486D"/>
    <w:rsid w:val="00D85E6F"/>
    <w:rsid w:val="00DD3578"/>
    <w:rsid w:val="00DE5F5F"/>
    <w:rsid w:val="00EC15F7"/>
    <w:rsid w:val="00F72E40"/>
    <w:rsid w:val="00FB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3F3D210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E8D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25E8D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225E8D"/>
    <w:pPr>
      <w:keepNext/>
      <w:keepLines/>
      <w:numPr>
        <w:numId w:val="39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225E8D"/>
    <w:pPr>
      <w:keepNext/>
      <w:keepLines/>
      <w:numPr>
        <w:numId w:val="20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225E8D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25E8D"/>
  </w:style>
  <w:style w:type="paragraph" w:styleId="Header">
    <w:name w:val="header"/>
    <w:basedOn w:val="Normal"/>
    <w:link w:val="HeaderChar"/>
    <w:uiPriority w:val="99"/>
    <w:unhideWhenUsed/>
    <w:rsid w:val="0022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5E8D"/>
  </w:style>
  <w:style w:type="paragraph" w:styleId="Footer">
    <w:name w:val="footer"/>
    <w:basedOn w:val="Normal"/>
    <w:link w:val="FooterChar"/>
    <w:uiPriority w:val="99"/>
    <w:unhideWhenUsed/>
    <w:rsid w:val="00225E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5E8D"/>
  </w:style>
  <w:style w:type="paragraph" w:styleId="BalloonText">
    <w:name w:val="Balloon Text"/>
    <w:basedOn w:val="Normal"/>
    <w:link w:val="BalloonTextChar"/>
    <w:uiPriority w:val="99"/>
    <w:semiHidden/>
    <w:unhideWhenUsed/>
    <w:rsid w:val="00225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E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25E8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25E8D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225E8D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225E8D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225E8D"/>
    <w:pPr>
      <w:ind w:left="720"/>
      <w:contextualSpacing/>
    </w:pPr>
  </w:style>
  <w:style w:type="table" w:styleId="TableGrid">
    <w:name w:val="Table Grid"/>
    <w:basedOn w:val="TableNormal"/>
    <w:uiPriority w:val="39"/>
    <w:rsid w:val="00225E8D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3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3F3"/>
    <w:rPr>
      <w:b/>
      <w:bCs/>
      <w:sz w:val="20"/>
      <w:szCs w:val="20"/>
    </w:rPr>
  </w:style>
  <w:style w:type="paragraph" w:customStyle="1" w:styleId="PolicyText1">
    <w:name w:val="PolicyText1"/>
    <w:basedOn w:val="Normal"/>
    <w:qFormat/>
    <w:rsid w:val="00225E8D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225E8D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190</TotalTime>
  <Pages>3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- Information Systems Audit</vt:lpstr>
    </vt:vector>
  </TitlesOfParts>
  <Company>Hewlett-Packard Company</Company>
  <LinksUpToDate>false</LinksUpToDate>
  <CharactersWithSpaces>5854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Systems Audit Policy</dc:title>
  <dc:creator>Pat Bush</dc:creator>
  <cp:lastModifiedBy>Stacey, Jill</cp:lastModifiedBy>
  <cp:revision>14</cp:revision>
  <dcterms:created xsi:type="dcterms:W3CDTF">2016-09-20T18:06:00Z</dcterms:created>
  <dcterms:modified xsi:type="dcterms:W3CDTF">2017-02-27T21:25:00Z</dcterms:modified>
</cp:coreProperties>
</file>