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70"/>
      </w:tblGrid>
      <w:tr w:rsidR="009A2EC3" w14:paraId="36011D6A" w14:textId="77777777" w:rsidTr="00C402E0">
        <w:tc>
          <w:tcPr>
            <w:tcW w:w="10770" w:type="dxa"/>
            <w:shd w:val="clear" w:color="auto" w:fill="D9D9D9" w:themeFill="background1" w:themeFillShade="D9"/>
          </w:tcPr>
          <w:p w14:paraId="564F29BD" w14:textId="11BCCC3E" w:rsidR="009A2EC3" w:rsidRPr="009A2EC3" w:rsidRDefault="009A2EC3" w:rsidP="009A2EC3">
            <w:pPr>
              <w:jc w:val="center"/>
              <w:rPr>
                <w:b/>
                <w:sz w:val="28"/>
                <w:szCs w:val="28"/>
              </w:rPr>
            </w:pPr>
            <w:r w:rsidRPr="009A2EC3">
              <w:rPr>
                <w:b/>
                <w:sz w:val="28"/>
                <w:szCs w:val="28"/>
              </w:rPr>
              <w:t>Professional Development Description</w:t>
            </w:r>
          </w:p>
        </w:tc>
      </w:tr>
      <w:tr w:rsidR="009A2EC3" w14:paraId="4290A420" w14:textId="77777777" w:rsidTr="00C402E0">
        <w:tc>
          <w:tcPr>
            <w:tcW w:w="10770" w:type="dxa"/>
          </w:tcPr>
          <w:p w14:paraId="3B8D9B6E" w14:textId="1AAB4441" w:rsidR="009A2EC3" w:rsidRDefault="009A2EC3" w:rsidP="009A2EC3">
            <w:r>
              <w:rPr>
                <w:b/>
                <w:sz w:val="24"/>
                <w:szCs w:val="24"/>
              </w:rPr>
              <w:t>Name of Entity:</w:t>
            </w:r>
            <w:r>
              <w:rPr>
                <w:sz w:val="24"/>
                <w:szCs w:val="24"/>
              </w:rPr>
              <w:t xml:space="preserve">  </w:t>
            </w:r>
            <w:r w:rsidR="00674D5C" w:rsidRPr="00674D5C">
              <w:t>95 Percent Group, LLC</w:t>
            </w:r>
          </w:p>
        </w:tc>
      </w:tr>
      <w:tr w:rsidR="009A2EC3" w14:paraId="788A91D0" w14:textId="77777777" w:rsidTr="00C402E0">
        <w:tc>
          <w:tcPr>
            <w:tcW w:w="10770" w:type="dxa"/>
          </w:tcPr>
          <w:p w14:paraId="41F53F4F" w14:textId="296190BD" w:rsidR="009A2EC3" w:rsidRDefault="009A2EC3" w:rsidP="009A2EC3">
            <w:r>
              <w:rPr>
                <w:b/>
                <w:sz w:val="24"/>
                <w:szCs w:val="24"/>
              </w:rPr>
              <w:t xml:space="preserve">Name of Product: </w:t>
            </w:r>
            <w:r w:rsidR="008A7B4B" w:rsidRPr="008A7B4B">
              <w:rPr>
                <w:bCs/>
              </w:rPr>
              <w:t>Top Ten Tools</w:t>
            </w:r>
          </w:p>
        </w:tc>
      </w:tr>
      <w:tr w:rsidR="009A2EC3" w14:paraId="2731C2D1" w14:textId="77777777" w:rsidTr="00C402E0">
        <w:tc>
          <w:tcPr>
            <w:tcW w:w="10770" w:type="dxa"/>
          </w:tcPr>
          <w:p w14:paraId="7708C9C7" w14:textId="77A41E2E" w:rsidR="009A2EC3" w:rsidRPr="00CE32F1" w:rsidRDefault="009A2EC3" w:rsidP="009A2EC3">
            <w:pPr>
              <w:rPr>
                <w:bCs/>
              </w:rPr>
            </w:pPr>
            <w:r>
              <w:rPr>
                <w:b/>
                <w:sz w:val="24"/>
                <w:szCs w:val="24"/>
              </w:rPr>
              <w:t xml:space="preserve">Publication Year: </w:t>
            </w:r>
            <w:r w:rsidR="00CE32F1">
              <w:rPr>
                <w:bCs/>
              </w:rPr>
              <w:t>2017</w:t>
            </w:r>
          </w:p>
        </w:tc>
      </w:tr>
      <w:tr w:rsidR="009A2EC3" w14:paraId="46E938A3" w14:textId="77777777" w:rsidTr="00C402E0">
        <w:tc>
          <w:tcPr>
            <w:tcW w:w="10770" w:type="dxa"/>
          </w:tcPr>
          <w:p w14:paraId="3B0B9894" w14:textId="5EDA9871" w:rsidR="009A2EC3" w:rsidRDefault="009A2EC3" w:rsidP="009A2EC3">
            <w:r>
              <w:rPr>
                <w:b/>
                <w:sz w:val="24"/>
                <w:szCs w:val="24"/>
              </w:rPr>
              <w:t>Contact Name</w:t>
            </w:r>
            <w:r>
              <w:rPr>
                <w:sz w:val="24"/>
                <w:szCs w:val="24"/>
              </w:rPr>
              <w:t xml:space="preserve">: </w:t>
            </w:r>
            <w:r w:rsidR="00AF3552" w:rsidRPr="00AF3552">
              <w:t>Lia Ferro</w:t>
            </w:r>
          </w:p>
        </w:tc>
      </w:tr>
      <w:tr w:rsidR="009A2EC3" w14:paraId="22FD74BE" w14:textId="77777777" w:rsidTr="00C402E0">
        <w:tc>
          <w:tcPr>
            <w:tcW w:w="10770" w:type="dxa"/>
          </w:tcPr>
          <w:p w14:paraId="7C2E9B01" w14:textId="22B3DB88" w:rsidR="009A2EC3" w:rsidRDefault="009A2EC3" w:rsidP="009A2EC3">
            <w:r>
              <w:rPr>
                <w:b/>
                <w:sz w:val="24"/>
                <w:szCs w:val="24"/>
              </w:rPr>
              <w:t xml:space="preserve">Phone Number: </w:t>
            </w:r>
            <w:r w:rsidR="00AA4C90" w:rsidRPr="00AA4C90">
              <w:rPr>
                <w:bCs/>
              </w:rPr>
              <w:t>(847) 513-9430</w:t>
            </w:r>
          </w:p>
        </w:tc>
      </w:tr>
      <w:tr w:rsidR="009A2EC3" w14:paraId="3DCA5BED" w14:textId="77777777" w:rsidTr="00C402E0">
        <w:tc>
          <w:tcPr>
            <w:tcW w:w="10770" w:type="dxa"/>
          </w:tcPr>
          <w:p w14:paraId="70746EC4" w14:textId="537B0748" w:rsidR="009A2EC3" w:rsidRDefault="009A2EC3" w:rsidP="009A2EC3">
            <w:r>
              <w:rPr>
                <w:b/>
                <w:sz w:val="24"/>
                <w:szCs w:val="24"/>
              </w:rPr>
              <w:t xml:space="preserve">Email Address: </w:t>
            </w:r>
            <w:hyperlink r:id="rId10" w:history="1">
              <w:r w:rsidR="00BE6A7B" w:rsidRPr="00BE6A7B">
                <w:rPr>
                  <w:rStyle w:val="Hyperlink"/>
                  <w:sz w:val="24"/>
                  <w:szCs w:val="24"/>
                </w:rPr>
                <w:t>lferro@95percentgroup.com</w:t>
              </w:r>
            </w:hyperlink>
            <w:r w:rsidR="00BE6A7B">
              <w:rPr>
                <w:b/>
                <w:bCs/>
                <w:sz w:val="24"/>
                <w:szCs w:val="24"/>
              </w:rPr>
              <w:t xml:space="preserve"> </w:t>
            </w:r>
          </w:p>
        </w:tc>
      </w:tr>
      <w:tr w:rsidR="009A2EC3" w14:paraId="754B1FC2" w14:textId="77777777" w:rsidTr="00C402E0">
        <w:tc>
          <w:tcPr>
            <w:tcW w:w="10770" w:type="dxa"/>
          </w:tcPr>
          <w:p w14:paraId="17355D5B" w14:textId="19714B95" w:rsidR="009A2EC3" w:rsidRDefault="009A2EC3" w:rsidP="009A2EC3">
            <w:r>
              <w:rPr>
                <w:b/>
                <w:sz w:val="24"/>
                <w:szCs w:val="24"/>
              </w:rPr>
              <w:t xml:space="preserve">Website: </w:t>
            </w:r>
            <w:hyperlink r:id="rId11" w:history="1">
              <w:r w:rsidR="004D2B3E" w:rsidRPr="004D2B3E">
                <w:rPr>
                  <w:rStyle w:val="Hyperlink"/>
                  <w:sz w:val="24"/>
                  <w:szCs w:val="24"/>
                </w:rPr>
                <w:t>www.95percentgroup.com</w:t>
              </w:r>
            </w:hyperlink>
            <w:r w:rsidR="004D2B3E">
              <w:rPr>
                <w:b/>
                <w:bCs/>
                <w:sz w:val="24"/>
                <w:szCs w:val="24"/>
              </w:rPr>
              <w:t xml:space="preserve"> </w:t>
            </w:r>
          </w:p>
        </w:tc>
      </w:tr>
      <w:tr w:rsidR="00CA4703" w14:paraId="5AAA1BDC" w14:textId="77777777" w:rsidTr="00C402E0">
        <w:tc>
          <w:tcPr>
            <w:tcW w:w="10770" w:type="dxa"/>
          </w:tcPr>
          <w:p w14:paraId="4C0E90D4" w14:textId="77777777" w:rsidR="00CA4703" w:rsidRDefault="00CA4703" w:rsidP="00CA4703">
            <w:pPr>
              <w:rPr>
                <w:b/>
                <w:sz w:val="24"/>
                <w:szCs w:val="24"/>
              </w:rPr>
            </w:pPr>
            <w:r>
              <w:rPr>
                <w:b/>
                <w:sz w:val="24"/>
                <w:szCs w:val="24"/>
              </w:rPr>
              <w:t>Audience:</w:t>
            </w:r>
          </w:p>
          <w:p w14:paraId="65D6F36C" w14:textId="77777777" w:rsidR="00CA4703" w:rsidRPr="009735DA" w:rsidRDefault="004D2B3E" w:rsidP="00CA4703">
            <w:pPr>
              <w:rPr>
                <w:sz w:val="24"/>
                <w:szCs w:val="24"/>
              </w:rPr>
            </w:pPr>
            <w:sdt>
              <w:sdtPr>
                <w:rPr>
                  <w:rFonts w:eastAsiaTheme="minorEastAsia"/>
                  <w:color w:val="000000" w:themeColor="text1"/>
                  <w:sz w:val="24"/>
                  <w:szCs w:val="24"/>
                </w:rPr>
                <w:id w:val="1679315705"/>
                <w14:checkbox>
                  <w14:checked w14:val="0"/>
                  <w14:checkedState w14:val="2612" w14:font="MS Gothic"/>
                  <w14:uncheckedState w14:val="2610" w14:font="MS Gothic"/>
                </w14:checkbox>
              </w:sdtPr>
              <w:sdtEndPr/>
              <w:sdtContent>
                <w:r w:rsidR="00CA4703">
                  <w:rPr>
                    <w:rFonts w:ascii="MS Gothic" w:eastAsia="MS Gothic" w:hAnsi="MS Gothic" w:hint="eastAsia"/>
                    <w:color w:val="000000" w:themeColor="text1"/>
                    <w:sz w:val="24"/>
                    <w:szCs w:val="24"/>
                  </w:rPr>
                  <w:t>☐</w:t>
                </w:r>
              </w:sdtContent>
            </w:sdt>
            <w:r w:rsidR="00CA4703">
              <w:rPr>
                <w:rFonts w:eastAsiaTheme="minorEastAsia"/>
                <w:color w:val="000000" w:themeColor="text1"/>
                <w:sz w:val="24"/>
                <w:szCs w:val="24"/>
              </w:rPr>
              <w:t xml:space="preserve"> </w:t>
            </w:r>
            <w:r w:rsidR="00CA4703">
              <w:rPr>
                <w:sz w:val="24"/>
                <w:szCs w:val="24"/>
              </w:rPr>
              <w:t xml:space="preserve">Principals and </w:t>
            </w:r>
            <w:r w:rsidR="00CA4703">
              <w:t>Administrators</w:t>
            </w:r>
            <w:r w:rsidR="00CA4703">
              <w:rPr>
                <w:sz w:val="24"/>
                <w:szCs w:val="24"/>
              </w:rPr>
              <w:t xml:space="preserve"> </w:t>
            </w:r>
          </w:p>
          <w:p w14:paraId="02457158" w14:textId="77777777" w:rsidR="00CA4703" w:rsidRPr="005146B8" w:rsidRDefault="004D2B3E" w:rsidP="00CA4703">
            <w:pPr>
              <w:rPr>
                <w:rFonts w:eastAsiaTheme="minorEastAsia"/>
                <w:sz w:val="24"/>
                <w:szCs w:val="24"/>
              </w:rPr>
            </w:pPr>
            <w:sdt>
              <w:sdtPr>
                <w:rPr>
                  <w:rFonts w:eastAsiaTheme="minorEastAsia"/>
                  <w:color w:val="000000" w:themeColor="text1"/>
                  <w:sz w:val="24"/>
                  <w:szCs w:val="24"/>
                </w:rPr>
                <w:id w:val="1633132115"/>
                <w14:checkbox>
                  <w14:checked w14:val="1"/>
                  <w14:checkedState w14:val="2612" w14:font="MS Gothic"/>
                  <w14:uncheckedState w14:val="2610" w14:font="MS Gothic"/>
                </w14:checkbox>
              </w:sdtPr>
              <w:sdtEndPr/>
              <w:sdtContent>
                <w:r w:rsidR="00CA4703">
                  <w:rPr>
                    <w:rFonts w:ascii="MS Gothic" w:eastAsia="MS Gothic" w:hAnsi="MS Gothic" w:hint="eastAsia"/>
                    <w:color w:val="000000" w:themeColor="text1"/>
                    <w:sz w:val="24"/>
                    <w:szCs w:val="24"/>
                  </w:rPr>
                  <w:t>☒</w:t>
                </w:r>
              </w:sdtContent>
            </w:sdt>
            <w:r w:rsidR="00CA4703">
              <w:rPr>
                <w:rFonts w:eastAsiaTheme="minorEastAsia"/>
                <w:color w:val="000000" w:themeColor="text1"/>
                <w:sz w:val="24"/>
                <w:szCs w:val="24"/>
              </w:rPr>
              <w:t xml:space="preserve"> K-3 Teachers</w:t>
            </w:r>
            <w:r w:rsidR="00CA4703" w:rsidRPr="005146B8">
              <w:rPr>
                <w:rFonts w:eastAsiaTheme="minorEastAsia"/>
                <w:color w:val="000000" w:themeColor="text1"/>
                <w:sz w:val="24"/>
                <w:szCs w:val="24"/>
              </w:rPr>
              <w:t> </w:t>
            </w:r>
          </w:p>
          <w:p w14:paraId="5C80F7AA" w14:textId="346A5357" w:rsidR="00CA4703" w:rsidRPr="00CA4703" w:rsidRDefault="004D2B3E" w:rsidP="009A2EC3">
            <w:pPr>
              <w:rPr>
                <w:rFonts w:eastAsiaTheme="minorEastAsia"/>
                <w:sz w:val="24"/>
                <w:szCs w:val="24"/>
              </w:rPr>
            </w:pPr>
            <w:sdt>
              <w:sdtPr>
                <w:rPr>
                  <w:rFonts w:eastAsiaTheme="minorEastAsia"/>
                  <w:color w:val="000000" w:themeColor="text1"/>
                  <w:sz w:val="24"/>
                  <w:szCs w:val="24"/>
                </w:rPr>
                <w:id w:val="744462690"/>
                <w14:checkbox>
                  <w14:checked w14:val="0"/>
                  <w14:checkedState w14:val="2612" w14:font="MS Gothic"/>
                  <w14:uncheckedState w14:val="2610" w14:font="MS Gothic"/>
                </w14:checkbox>
              </w:sdtPr>
              <w:sdtEndPr/>
              <w:sdtContent>
                <w:r w:rsidR="00CA4703">
                  <w:rPr>
                    <w:rFonts w:ascii="MS Gothic" w:eastAsia="MS Gothic" w:hAnsi="MS Gothic" w:hint="eastAsia"/>
                    <w:color w:val="000000" w:themeColor="text1"/>
                    <w:sz w:val="24"/>
                    <w:szCs w:val="24"/>
                  </w:rPr>
                  <w:t>☐</w:t>
                </w:r>
              </w:sdtContent>
            </w:sdt>
            <w:r w:rsidR="00CA4703">
              <w:rPr>
                <w:rFonts w:eastAsiaTheme="minorEastAsia"/>
                <w:color w:val="000000" w:themeColor="text1"/>
                <w:sz w:val="24"/>
                <w:szCs w:val="24"/>
              </w:rPr>
              <w:t xml:space="preserve"> K-12 Teachers</w:t>
            </w:r>
            <w:r w:rsidR="00CA4703">
              <w:rPr>
                <w:b/>
                <w:sz w:val="24"/>
                <w:szCs w:val="24"/>
              </w:rPr>
              <w:t xml:space="preserve"> </w:t>
            </w:r>
          </w:p>
        </w:tc>
      </w:tr>
      <w:tr w:rsidR="00CA4703" w14:paraId="31F72EA7" w14:textId="77777777" w:rsidTr="00C402E0">
        <w:tc>
          <w:tcPr>
            <w:tcW w:w="10770" w:type="dxa"/>
          </w:tcPr>
          <w:p w14:paraId="6433A95F" w14:textId="77777777" w:rsidR="00CA4703" w:rsidRDefault="00CA4703" w:rsidP="00CA4703">
            <w:pPr>
              <w:rPr>
                <w:sz w:val="24"/>
                <w:szCs w:val="24"/>
              </w:rPr>
            </w:pPr>
            <w:r>
              <w:rPr>
                <w:b/>
                <w:sz w:val="24"/>
                <w:szCs w:val="24"/>
              </w:rPr>
              <w:t>Delivery Format:</w:t>
            </w:r>
            <w:r>
              <w:rPr>
                <w:sz w:val="24"/>
                <w:szCs w:val="24"/>
              </w:rPr>
              <w:t xml:space="preserve"> </w:t>
            </w:r>
          </w:p>
          <w:p w14:paraId="2CF581F2" w14:textId="77777777" w:rsidR="00CA4703" w:rsidRPr="005146B8" w:rsidRDefault="004D2B3E" w:rsidP="00CA4703">
            <w:pPr>
              <w:rPr>
                <w:rFonts w:eastAsiaTheme="minorEastAsia"/>
                <w:sz w:val="24"/>
                <w:szCs w:val="24"/>
              </w:rPr>
            </w:pPr>
            <w:sdt>
              <w:sdtPr>
                <w:rPr>
                  <w:rFonts w:eastAsiaTheme="minorEastAsia"/>
                  <w:color w:val="000000" w:themeColor="text1"/>
                  <w:sz w:val="24"/>
                  <w:szCs w:val="24"/>
                </w:rPr>
                <w:id w:val="1186640902"/>
                <w14:checkbox>
                  <w14:checked w14:val="0"/>
                  <w14:checkedState w14:val="2612" w14:font="MS Gothic"/>
                  <w14:uncheckedState w14:val="2610" w14:font="MS Gothic"/>
                </w14:checkbox>
              </w:sdtPr>
              <w:sdtEndPr/>
              <w:sdtContent>
                <w:r w:rsidR="00CA4703">
                  <w:rPr>
                    <w:rFonts w:ascii="MS Gothic" w:eastAsia="MS Gothic" w:hAnsi="MS Gothic" w:hint="eastAsia"/>
                    <w:color w:val="000000" w:themeColor="text1"/>
                    <w:sz w:val="24"/>
                    <w:szCs w:val="24"/>
                  </w:rPr>
                  <w:t>☐</w:t>
                </w:r>
              </w:sdtContent>
            </w:sdt>
            <w:r w:rsidR="00CA4703">
              <w:rPr>
                <w:rFonts w:eastAsiaTheme="minorEastAsia"/>
                <w:color w:val="000000" w:themeColor="text1"/>
                <w:sz w:val="24"/>
                <w:szCs w:val="24"/>
              </w:rPr>
              <w:t xml:space="preserve"> </w:t>
            </w:r>
            <w:r w:rsidR="00CA4703" w:rsidRPr="005146B8">
              <w:rPr>
                <w:rFonts w:eastAsiaTheme="minorEastAsia"/>
                <w:color w:val="000000" w:themeColor="text1"/>
                <w:sz w:val="24"/>
                <w:szCs w:val="24"/>
              </w:rPr>
              <w:t>Online asynchronous, independent</w:t>
            </w:r>
          </w:p>
          <w:p w14:paraId="6186F1FC" w14:textId="77777777" w:rsidR="00CA4703" w:rsidRDefault="004D2B3E" w:rsidP="00CA4703">
            <w:pPr>
              <w:rPr>
                <w:rFonts w:eastAsiaTheme="minorEastAsia"/>
                <w:color w:val="000000" w:themeColor="text1"/>
                <w:sz w:val="24"/>
                <w:szCs w:val="24"/>
              </w:rPr>
            </w:pPr>
            <w:sdt>
              <w:sdtPr>
                <w:rPr>
                  <w:rFonts w:eastAsiaTheme="minorEastAsia"/>
                  <w:color w:val="000000" w:themeColor="text1"/>
                  <w:sz w:val="24"/>
                  <w:szCs w:val="24"/>
                </w:rPr>
                <w:id w:val="1853688078"/>
                <w14:checkbox>
                  <w14:checked w14:val="0"/>
                  <w14:checkedState w14:val="2612" w14:font="MS Gothic"/>
                  <w14:uncheckedState w14:val="2610" w14:font="MS Gothic"/>
                </w14:checkbox>
              </w:sdtPr>
              <w:sdtEndPr/>
              <w:sdtContent>
                <w:r w:rsidR="00CA4703">
                  <w:rPr>
                    <w:rFonts w:ascii="MS Gothic" w:eastAsia="MS Gothic" w:hAnsi="MS Gothic" w:hint="eastAsia"/>
                    <w:color w:val="000000" w:themeColor="text1"/>
                    <w:sz w:val="24"/>
                    <w:szCs w:val="24"/>
                  </w:rPr>
                  <w:t>☐</w:t>
                </w:r>
              </w:sdtContent>
            </w:sdt>
            <w:r w:rsidR="00CA4703">
              <w:rPr>
                <w:rFonts w:eastAsiaTheme="minorEastAsia"/>
                <w:color w:val="000000" w:themeColor="text1"/>
                <w:sz w:val="24"/>
                <w:szCs w:val="24"/>
              </w:rPr>
              <w:t xml:space="preserve"> </w:t>
            </w:r>
            <w:r w:rsidR="00CA4703" w:rsidRPr="005146B8">
              <w:rPr>
                <w:rFonts w:eastAsiaTheme="minorEastAsia"/>
                <w:color w:val="000000" w:themeColor="text1"/>
                <w:sz w:val="24"/>
                <w:szCs w:val="24"/>
              </w:rPr>
              <w:t>Online synchronous, live </w:t>
            </w:r>
          </w:p>
          <w:p w14:paraId="10FE3EEB" w14:textId="77777777" w:rsidR="00CA4703" w:rsidRPr="005146B8" w:rsidRDefault="004D2B3E" w:rsidP="00CA4703">
            <w:pPr>
              <w:rPr>
                <w:rFonts w:eastAsiaTheme="minorEastAsia"/>
                <w:sz w:val="24"/>
                <w:szCs w:val="24"/>
              </w:rPr>
            </w:pPr>
            <w:sdt>
              <w:sdtPr>
                <w:rPr>
                  <w:rFonts w:eastAsiaTheme="minorEastAsia"/>
                  <w:color w:val="000000" w:themeColor="text1"/>
                  <w:sz w:val="24"/>
                  <w:szCs w:val="24"/>
                </w:rPr>
                <w:id w:val="-1407455144"/>
                <w14:checkbox>
                  <w14:checked w14:val="1"/>
                  <w14:checkedState w14:val="2612" w14:font="MS Gothic"/>
                  <w14:uncheckedState w14:val="2610" w14:font="MS Gothic"/>
                </w14:checkbox>
              </w:sdtPr>
              <w:sdtEndPr/>
              <w:sdtContent>
                <w:r w:rsidR="00CA4703">
                  <w:rPr>
                    <w:rFonts w:ascii="MS Gothic" w:eastAsia="MS Gothic" w:hAnsi="MS Gothic" w:hint="eastAsia"/>
                    <w:color w:val="000000" w:themeColor="text1"/>
                    <w:sz w:val="24"/>
                    <w:szCs w:val="24"/>
                  </w:rPr>
                  <w:t>☒</w:t>
                </w:r>
              </w:sdtContent>
            </w:sdt>
            <w:r w:rsidR="00CA4703">
              <w:rPr>
                <w:rFonts w:eastAsiaTheme="minorEastAsia"/>
                <w:color w:val="000000" w:themeColor="text1"/>
                <w:sz w:val="24"/>
                <w:szCs w:val="24"/>
              </w:rPr>
              <w:t xml:space="preserve"> </w:t>
            </w:r>
            <w:r w:rsidR="00CA4703" w:rsidRPr="005146B8">
              <w:rPr>
                <w:rFonts w:eastAsiaTheme="minorEastAsia"/>
                <w:color w:val="000000" w:themeColor="text1"/>
                <w:sz w:val="24"/>
                <w:szCs w:val="24"/>
              </w:rPr>
              <w:t>Online with live component</w:t>
            </w:r>
          </w:p>
          <w:p w14:paraId="04C08635" w14:textId="77777777" w:rsidR="00CA4703" w:rsidRDefault="004D2B3E" w:rsidP="00CA4703">
            <w:pPr>
              <w:widowControl w:val="0"/>
              <w:shd w:val="clear" w:color="auto" w:fill="FFFFFF"/>
              <w:rPr>
                <w:rFonts w:eastAsiaTheme="minorEastAsia"/>
                <w:color w:val="000000" w:themeColor="text1"/>
                <w:sz w:val="24"/>
                <w:szCs w:val="24"/>
              </w:rPr>
            </w:pPr>
            <w:sdt>
              <w:sdtPr>
                <w:rPr>
                  <w:rFonts w:eastAsiaTheme="minorEastAsia"/>
                  <w:color w:val="000000" w:themeColor="text1"/>
                  <w:sz w:val="24"/>
                  <w:szCs w:val="24"/>
                </w:rPr>
                <w:id w:val="473097932"/>
                <w14:checkbox>
                  <w14:checked w14:val="0"/>
                  <w14:checkedState w14:val="2612" w14:font="MS Gothic"/>
                  <w14:uncheckedState w14:val="2610" w14:font="MS Gothic"/>
                </w14:checkbox>
              </w:sdtPr>
              <w:sdtEndPr/>
              <w:sdtContent>
                <w:r w:rsidR="00CA4703">
                  <w:rPr>
                    <w:rFonts w:ascii="MS Gothic" w:eastAsia="MS Gothic" w:hAnsi="MS Gothic" w:hint="eastAsia"/>
                    <w:color w:val="000000" w:themeColor="text1"/>
                    <w:sz w:val="24"/>
                    <w:szCs w:val="24"/>
                  </w:rPr>
                  <w:t>☐</w:t>
                </w:r>
              </w:sdtContent>
            </w:sdt>
            <w:r w:rsidR="00CA4703">
              <w:rPr>
                <w:rFonts w:eastAsiaTheme="minorEastAsia"/>
                <w:color w:val="000000" w:themeColor="text1"/>
                <w:sz w:val="24"/>
                <w:szCs w:val="24"/>
              </w:rPr>
              <w:t xml:space="preserve"> </w:t>
            </w:r>
            <w:r w:rsidR="00CA4703" w:rsidRPr="005146B8">
              <w:rPr>
                <w:rFonts w:eastAsiaTheme="minorEastAsia"/>
                <w:color w:val="000000" w:themeColor="text1"/>
                <w:sz w:val="24"/>
                <w:szCs w:val="24"/>
              </w:rPr>
              <w:t>In-person, face-to-face live</w:t>
            </w:r>
          </w:p>
          <w:p w14:paraId="4AFB9E5D" w14:textId="68E941A5" w:rsidR="00CA4703" w:rsidRDefault="004D2B3E" w:rsidP="00CA4703">
            <w:pPr>
              <w:rPr>
                <w:b/>
                <w:sz w:val="24"/>
                <w:szCs w:val="24"/>
              </w:rPr>
            </w:pPr>
            <w:sdt>
              <w:sdtPr>
                <w:rPr>
                  <w:rFonts w:eastAsiaTheme="minorEastAsia"/>
                  <w:color w:val="000000" w:themeColor="text1"/>
                  <w:sz w:val="24"/>
                  <w:szCs w:val="24"/>
                </w:rPr>
                <w:id w:val="-432904114"/>
                <w14:checkbox>
                  <w14:checked w14:val="0"/>
                  <w14:checkedState w14:val="2612" w14:font="MS Gothic"/>
                  <w14:uncheckedState w14:val="2610" w14:font="MS Gothic"/>
                </w14:checkbox>
              </w:sdtPr>
              <w:sdtEndPr/>
              <w:sdtContent>
                <w:r w:rsidR="00CA4703">
                  <w:rPr>
                    <w:rFonts w:ascii="MS Gothic" w:eastAsia="MS Gothic" w:hAnsi="MS Gothic" w:hint="eastAsia"/>
                    <w:color w:val="000000" w:themeColor="text1"/>
                    <w:sz w:val="24"/>
                    <w:szCs w:val="24"/>
                  </w:rPr>
                  <w:t>☐</w:t>
                </w:r>
              </w:sdtContent>
            </w:sdt>
            <w:r w:rsidR="00CA4703">
              <w:rPr>
                <w:rFonts w:eastAsiaTheme="minorEastAsia"/>
                <w:color w:val="000000" w:themeColor="text1"/>
                <w:sz w:val="24"/>
                <w:szCs w:val="24"/>
              </w:rPr>
              <w:t xml:space="preserve"> Hybrid</w:t>
            </w:r>
          </w:p>
        </w:tc>
      </w:tr>
      <w:tr w:rsidR="00CA4703" w14:paraId="1DDEB0EC" w14:textId="77777777" w:rsidTr="00C402E0">
        <w:tc>
          <w:tcPr>
            <w:tcW w:w="10770" w:type="dxa"/>
          </w:tcPr>
          <w:p w14:paraId="72C5807A" w14:textId="454A4612" w:rsidR="00CA4703" w:rsidRPr="00CA4703" w:rsidRDefault="00CA4703" w:rsidP="009A2EC3">
            <w:pPr>
              <w:rPr>
                <w:b/>
              </w:rPr>
            </w:pPr>
            <w:r>
              <w:rPr>
                <w:b/>
                <w:sz w:val="24"/>
                <w:szCs w:val="24"/>
              </w:rPr>
              <w:t xml:space="preserve">Contact Hours: </w:t>
            </w:r>
            <w:r w:rsidRPr="00D00AC1">
              <w:rPr>
                <w:bCs/>
              </w:rPr>
              <w:t>45 hours</w:t>
            </w:r>
          </w:p>
        </w:tc>
      </w:tr>
      <w:tr w:rsidR="00CA4703" w14:paraId="4D20A087" w14:textId="77777777" w:rsidTr="00C402E0">
        <w:tc>
          <w:tcPr>
            <w:tcW w:w="10770" w:type="dxa"/>
          </w:tcPr>
          <w:p w14:paraId="094C4ACC" w14:textId="77777777" w:rsidR="00CA4703" w:rsidRDefault="00CA4703" w:rsidP="00CA4703">
            <w:pPr>
              <w:rPr>
                <w:b/>
                <w:sz w:val="24"/>
                <w:szCs w:val="24"/>
              </w:rPr>
            </w:pPr>
            <w:r>
              <w:rPr>
                <w:b/>
                <w:sz w:val="24"/>
                <w:szCs w:val="24"/>
              </w:rPr>
              <w:t>Description of Professional Development:</w:t>
            </w:r>
          </w:p>
          <w:p w14:paraId="4EDE22A4" w14:textId="77777777" w:rsidR="00CA4703" w:rsidRDefault="00CA4703" w:rsidP="00CA4703">
            <w:pPr>
              <w:rPr>
                <w:b/>
                <w:sz w:val="24"/>
                <w:szCs w:val="24"/>
              </w:rPr>
            </w:pPr>
          </w:p>
          <w:p w14:paraId="3AE3BFB3" w14:textId="115CDF3D" w:rsidR="00CA4703" w:rsidRPr="00D00AC1" w:rsidRDefault="00CA4703" w:rsidP="00CA4703">
            <w:r w:rsidRPr="00D00AC1">
              <w:t xml:space="preserve">Top Ten Tools is an on-line reading course developed upon a firm foundation of proven knowledge and pedagogy, research and practice that truly informs the daily work teachers do to teach their students to read and write. The 45-hour course is developed around ten units, or Tools, each reflecting the knowledge and practice of reading and writing instruction supported by research. </w:t>
            </w:r>
          </w:p>
          <w:p w14:paraId="4E3E12DD" w14:textId="77777777" w:rsidR="00CA4703" w:rsidRPr="00D00AC1" w:rsidRDefault="00CA4703" w:rsidP="00CA4703">
            <w:pPr>
              <w:spacing w:line="276" w:lineRule="auto"/>
            </w:pPr>
            <w:r w:rsidRPr="00D00AC1">
              <w:t xml:space="preserve">The ten tools in the course are: </w:t>
            </w:r>
          </w:p>
          <w:p w14:paraId="3E668426" w14:textId="77777777" w:rsidR="00CA4703" w:rsidRPr="00D00AC1" w:rsidRDefault="00CA4703" w:rsidP="00CA4703">
            <w:pPr>
              <w:pStyle w:val="ListParagraph"/>
              <w:numPr>
                <w:ilvl w:val="0"/>
                <w:numId w:val="1"/>
              </w:numPr>
            </w:pPr>
            <w:r w:rsidRPr="00D00AC1">
              <w:t>Knowledge – A Reading Teacher’s Foremost Tool</w:t>
            </w:r>
          </w:p>
          <w:p w14:paraId="7DE873CD" w14:textId="77777777" w:rsidR="00CA4703" w:rsidRPr="00D00AC1" w:rsidRDefault="00CA4703" w:rsidP="00CA4703">
            <w:pPr>
              <w:pStyle w:val="ListParagraph"/>
              <w:numPr>
                <w:ilvl w:val="0"/>
                <w:numId w:val="1"/>
              </w:numPr>
            </w:pPr>
            <w:r w:rsidRPr="00D00AC1">
              <w:t>Oral language – A Foundation for Literacy</w:t>
            </w:r>
          </w:p>
          <w:p w14:paraId="59AF830C" w14:textId="77777777" w:rsidR="00CA4703" w:rsidRPr="00D00AC1" w:rsidRDefault="00CA4703" w:rsidP="00CA4703">
            <w:pPr>
              <w:pStyle w:val="ListParagraph"/>
              <w:numPr>
                <w:ilvl w:val="0"/>
                <w:numId w:val="1"/>
              </w:numPr>
            </w:pPr>
            <w:r w:rsidRPr="00D00AC1">
              <w:t xml:space="preserve">Phonemes – Paving the Way to Print and Meaning </w:t>
            </w:r>
          </w:p>
          <w:p w14:paraId="3D433BB3" w14:textId="77777777" w:rsidR="00CA4703" w:rsidRPr="00D00AC1" w:rsidRDefault="00CA4703" w:rsidP="00CA4703">
            <w:pPr>
              <w:pStyle w:val="ListParagraph"/>
              <w:numPr>
                <w:ilvl w:val="0"/>
                <w:numId w:val="1"/>
              </w:numPr>
            </w:pPr>
            <w:r w:rsidRPr="00D00AC1">
              <w:t>Phonics and Spelling – Effective Decoding and Encoding Instruction</w:t>
            </w:r>
          </w:p>
          <w:p w14:paraId="575621C9" w14:textId="77777777" w:rsidR="00CA4703" w:rsidRPr="00D00AC1" w:rsidRDefault="00CA4703" w:rsidP="00CA4703">
            <w:pPr>
              <w:pStyle w:val="ListParagraph"/>
              <w:numPr>
                <w:ilvl w:val="0"/>
                <w:numId w:val="1"/>
              </w:numPr>
            </w:pPr>
            <w:r w:rsidRPr="00D00AC1">
              <w:t>Vocabulary – The Blueprint of a Word</w:t>
            </w:r>
          </w:p>
          <w:p w14:paraId="1E5AFB1B" w14:textId="77777777" w:rsidR="00CA4703" w:rsidRPr="00D00AC1" w:rsidRDefault="00CA4703" w:rsidP="00CA4703">
            <w:pPr>
              <w:pStyle w:val="ListParagraph"/>
              <w:numPr>
                <w:ilvl w:val="0"/>
                <w:numId w:val="1"/>
              </w:numPr>
            </w:pPr>
            <w:r w:rsidRPr="00D00AC1">
              <w:t>Comprehension – The Text and the Mental Model</w:t>
            </w:r>
          </w:p>
          <w:p w14:paraId="2360018B" w14:textId="77777777" w:rsidR="00CA4703" w:rsidRPr="00D00AC1" w:rsidRDefault="00CA4703" w:rsidP="00CA4703">
            <w:pPr>
              <w:pStyle w:val="ListParagraph"/>
              <w:numPr>
                <w:ilvl w:val="0"/>
                <w:numId w:val="1"/>
              </w:numPr>
            </w:pPr>
            <w:r w:rsidRPr="00D00AC1">
              <w:t>Fluency – Understanding Practice and Automaticity</w:t>
            </w:r>
          </w:p>
          <w:p w14:paraId="3527F6F5" w14:textId="77777777" w:rsidR="00CA4703" w:rsidRPr="00D00AC1" w:rsidRDefault="00CA4703" w:rsidP="00CA4703">
            <w:pPr>
              <w:pStyle w:val="ListParagraph"/>
              <w:numPr>
                <w:ilvl w:val="0"/>
                <w:numId w:val="1"/>
              </w:numPr>
            </w:pPr>
            <w:r w:rsidRPr="00D00AC1">
              <w:t>Writing – Write! Written Responses to Reading</w:t>
            </w:r>
          </w:p>
          <w:p w14:paraId="5939D717" w14:textId="77777777" w:rsidR="00CA4703" w:rsidRPr="00D00AC1" w:rsidRDefault="00CA4703" w:rsidP="00CA4703">
            <w:pPr>
              <w:pStyle w:val="ListParagraph"/>
              <w:numPr>
                <w:ilvl w:val="0"/>
                <w:numId w:val="1"/>
              </w:numPr>
            </w:pPr>
            <w:r w:rsidRPr="00D00AC1">
              <w:t>Read Alouds – A Tool for Building Language Comprehension</w:t>
            </w:r>
          </w:p>
          <w:p w14:paraId="1AFD6F24" w14:textId="77777777" w:rsidR="00CA4703" w:rsidRPr="00D00AC1" w:rsidRDefault="00CA4703" w:rsidP="00CA4703">
            <w:pPr>
              <w:pStyle w:val="ListParagraph"/>
              <w:numPr>
                <w:ilvl w:val="0"/>
                <w:numId w:val="1"/>
              </w:numPr>
            </w:pPr>
            <w:r w:rsidRPr="00D00AC1">
              <w:t>Collaboration – Two Heads are Better Than One</w:t>
            </w:r>
          </w:p>
          <w:p w14:paraId="079D6D22" w14:textId="77777777" w:rsidR="00CA4703" w:rsidRPr="00D00AC1" w:rsidRDefault="00CA4703" w:rsidP="00CA4703">
            <w:r w:rsidRPr="00D00AC1">
              <w:t>Each Tool begins with a knowledge update to ground teachers in current thinking about the “what to teach”, to whom, and the “how to teach”.  Distinctive to this course, each tool offers unique video examples of real teaching in real classrooms with real students in grades kindergarten through 6</w:t>
            </w:r>
            <w:r w:rsidRPr="00D00AC1">
              <w:rPr>
                <w:vertAlign w:val="superscript"/>
              </w:rPr>
              <w:t>th</w:t>
            </w:r>
            <w:r w:rsidRPr="00D00AC1">
              <w:t xml:space="preserve"> grade. Teachers have shared, “It was the real teaching, seeing what we learned, play out with kids, that made the content of this course so helpful.”</w:t>
            </w:r>
          </w:p>
          <w:p w14:paraId="3D70558B" w14:textId="77777777" w:rsidR="00CA4703" w:rsidRPr="00D00AC1" w:rsidRDefault="00CA4703" w:rsidP="00CA4703"/>
          <w:p w14:paraId="198E8513" w14:textId="77777777" w:rsidR="00CA4703" w:rsidRPr="00D00AC1" w:rsidRDefault="00CA4703" w:rsidP="00CA4703">
            <w:r w:rsidRPr="00D00AC1">
              <w:lastRenderedPageBreak/>
              <w:t>Blended model support PD is available and recommended: Face-to-Face Trainings or Virtual Meetings, individualized site visits where teachers discuss and plan for their own students, and local coach and literacy leader guidance.</w:t>
            </w:r>
          </w:p>
          <w:p w14:paraId="0B93D9A3" w14:textId="77777777" w:rsidR="00CA4703" w:rsidRPr="00D00AC1" w:rsidRDefault="00CA4703" w:rsidP="00CA4703"/>
          <w:p w14:paraId="4210EA60" w14:textId="77777777" w:rsidR="00CA4703" w:rsidRPr="00D00AC1" w:rsidRDefault="00CA4703" w:rsidP="00CA4703">
            <w:r w:rsidRPr="00D00AC1">
              <w:t>The course is available or 3 PD/CEU credits from Northwest Nazarene University. One- and two-year pacing guides are available. Interactive discussion prompts, readings, Classroom Video Activity Booklets with blackline masters are downloaded from within the course.</w:t>
            </w:r>
          </w:p>
          <w:p w14:paraId="03361718" w14:textId="77777777" w:rsidR="00CA4703" w:rsidRDefault="00CA4703" w:rsidP="009A2EC3">
            <w:pPr>
              <w:rPr>
                <w:b/>
                <w:sz w:val="24"/>
                <w:szCs w:val="24"/>
              </w:rPr>
            </w:pPr>
          </w:p>
        </w:tc>
      </w:tr>
    </w:tbl>
    <w:p w14:paraId="578E82A9" w14:textId="77777777" w:rsidR="00E51696" w:rsidRPr="00E51696" w:rsidRDefault="00E51696" w:rsidP="00E51696">
      <w:pPr>
        <w:jc w:val="right"/>
      </w:pPr>
    </w:p>
    <w:sectPr w:rsidR="00E51696" w:rsidRPr="00E51696" w:rsidSect="009A2EC3">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89333" w14:textId="77777777" w:rsidR="00613BED" w:rsidRDefault="00613BED" w:rsidP="009A2EC3">
      <w:pPr>
        <w:spacing w:after="0" w:line="240" w:lineRule="auto"/>
      </w:pPr>
      <w:r>
        <w:separator/>
      </w:r>
    </w:p>
  </w:endnote>
  <w:endnote w:type="continuationSeparator" w:id="0">
    <w:p w14:paraId="11C07958" w14:textId="77777777" w:rsidR="00613BED" w:rsidRDefault="00613BED" w:rsidP="009A2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EB850" w14:textId="55FB1C66" w:rsidR="009A2EC3" w:rsidRDefault="00E51696" w:rsidP="009A2EC3">
    <w:pPr>
      <w:pStyle w:val="Footer"/>
      <w:jc w:val="right"/>
    </w:pPr>
    <w:r>
      <w:t>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06625F" w14:textId="77777777" w:rsidR="00613BED" w:rsidRDefault="00613BED" w:rsidP="009A2EC3">
      <w:pPr>
        <w:spacing w:after="0" w:line="240" w:lineRule="auto"/>
      </w:pPr>
      <w:r>
        <w:separator/>
      </w:r>
    </w:p>
  </w:footnote>
  <w:footnote w:type="continuationSeparator" w:id="0">
    <w:p w14:paraId="7F1F6F0C" w14:textId="77777777" w:rsidR="00613BED" w:rsidRDefault="00613BED" w:rsidP="009A2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B9A0E" w14:textId="757A0995" w:rsidR="009A2EC3" w:rsidRDefault="009A2EC3" w:rsidP="009A2EC3">
    <w:pPr>
      <w:pStyle w:val="Header"/>
      <w:jc w:val="right"/>
    </w:pPr>
    <w:r>
      <w:rPr>
        <w:noProof/>
      </w:rPr>
      <w:drawing>
        <wp:inline distT="0" distB="0" distL="0" distR="0" wp14:anchorId="0A60020D" wp14:editId="203B7482">
          <wp:extent cx="740410" cy="462624"/>
          <wp:effectExtent l="0" t="0" r="2540" b="0"/>
          <wp:docPr id="12" name="Picture 12"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olorado Department of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857" cy="477274"/>
                  </a:xfrm>
                  <a:prstGeom prst="rect">
                    <a:avLst/>
                  </a:prstGeom>
                  <a:noFill/>
                  <a:ln>
                    <a:noFill/>
                  </a:ln>
                </pic:spPr>
              </pic:pic>
            </a:graphicData>
          </a:graphic>
        </wp:inline>
      </w:drawing>
    </w:r>
  </w:p>
  <w:p w14:paraId="65CE8313" w14:textId="77777777" w:rsidR="009A2EC3" w:rsidRDefault="009A2EC3" w:rsidP="009A2EC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695F17"/>
    <w:multiLevelType w:val="hybridMultilevel"/>
    <w:tmpl w:val="631CC1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5824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EC3"/>
    <w:rsid w:val="00040A40"/>
    <w:rsid w:val="0005072F"/>
    <w:rsid w:val="00122338"/>
    <w:rsid w:val="00150CA1"/>
    <w:rsid w:val="00180C87"/>
    <w:rsid w:val="001A476B"/>
    <w:rsid w:val="00200889"/>
    <w:rsid w:val="00291671"/>
    <w:rsid w:val="003D5DAB"/>
    <w:rsid w:val="004D2B3E"/>
    <w:rsid w:val="005934C4"/>
    <w:rsid w:val="00595B3F"/>
    <w:rsid w:val="005B77D1"/>
    <w:rsid w:val="00613BED"/>
    <w:rsid w:val="00674D5C"/>
    <w:rsid w:val="00680009"/>
    <w:rsid w:val="006B305A"/>
    <w:rsid w:val="006B6BD7"/>
    <w:rsid w:val="007F57B8"/>
    <w:rsid w:val="00806EEC"/>
    <w:rsid w:val="00816DE3"/>
    <w:rsid w:val="00891E7E"/>
    <w:rsid w:val="008A7B4B"/>
    <w:rsid w:val="009471D8"/>
    <w:rsid w:val="009735DA"/>
    <w:rsid w:val="009A2EC3"/>
    <w:rsid w:val="00A1328E"/>
    <w:rsid w:val="00AA4C90"/>
    <w:rsid w:val="00AF3552"/>
    <w:rsid w:val="00B5546A"/>
    <w:rsid w:val="00B87D71"/>
    <w:rsid w:val="00BB543A"/>
    <w:rsid w:val="00BE6A7B"/>
    <w:rsid w:val="00C402E0"/>
    <w:rsid w:val="00CA4703"/>
    <w:rsid w:val="00CB35AC"/>
    <w:rsid w:val="00CE32F1"/>
    <w:rsid w:val="00CF62BA"/>
    <w:rsid w:val="00D00AC1"/>
    <w:rsid w:val="00DE3183"/>
    <w:rsid w:val="00E13344"/>
    <w:rsid w:val="00E41A3C"/>
    <w:rsid w:val="00E51696"/>
    <w:rsid w:val="00EC16A2"/>
    <w:rsid w:val="00EF611E"/>
    <w:rsid w:val="00F13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4DD26"/>
  <w15:chartTrackingRefBased/>
  <w15:docId w15:val="{EECF545B-710F-49BA-B5EA-03A50DB23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EC3"/>
  </w:style>
  <w:style w:type="paragraph" w:styleId="Footer">
    <w:name w:val="footer"/>
    <w:basedOn w:val="Normal"/>
    <w:link w:val="FooterChar"/>
    <w:uiPriority w:val="99"/>
    <w:unhideWhenUsed/>
    <w:rsid w:val="009A2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EC3"/>
  </w:style>
  <w:style w:type="table" w:styleId="TableGrid">
    <w:name w:val="Table Grid"/>
    <w:basedOn w:val="TableNormal"/>
    <w:uiPriority w:val="39"/>
    <w:rsid w:val="009A2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50CA1"/>
    <w:rPr>
      <w:color w:val="0563C1"/>
      <w:u w:val="single"/>
    </w:rPr>
  </w:style>
  <w:style w:type="character" w:styleId="UnresolvedMention">
    <w:name w:val="Unresolved Mention"/>
    <w:basedOn w:val="DefaultParagraphFont"/>
    <w:uiPriority w:val="99"/>
    <w:semiHidden/>
    <w:unhideWhenUsed/>
    <w:rsid w:val="00291671"/>
    <w:rPr>
      <w:color w:val="605E5C"/>
      <w:shd w:val="clear" w:color="auto" w:fill="E1DFDD"/>
    </w:rPr>
  </w:style>
  <w:style w:type="paragraph" w:styleId="ListParagraph">
    <w:name w:val="List Paragraph"/>
    <w:basedOn w:val="Normal"/>
    <w:uiPriority w:val="34"/>
    <w:qFormat/>
    <w:rsid w:val="00D00AC1"/>
    <w:pPr>
      <w:spacing w:after="200" w:line="276" w:lineRule="auto"/>
      <w:ind w:left="720"/>
      <w:contextualSpacing/>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95percentgroup.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lferro@95percentgroup.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5bd123-9094-463e-80be-240723e5c886">
      <Terms xmlns="http://schemas.microsoft.com/office/infopath/2007/PartnerControls"/>
    </lcf76f155ced4ddcb4097134ff3c332f>
    <TaxCatchAll xmlns="840f690a-639c-403e-8c00-6152b40543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A675B93B6D8F49B9B5AE870C1965EB" ma:contentTypeVersion="14" ma:contentTypeDescription="Create a new document." ma:contentTypeScope="" ma:versionID="0a05ef99beb2c4bc02af658d778e4740">
  <xsd:schema xmlns:xsd="http://www.w3.org/2001/XMLSchema" xmlns:xs="http://www.w3.org/2001/XMLSchema" xmlns:p="http://schemas.microsoft.com/office/2006/metadata/properties" xmlns:ns2="a85bd123-9094-463e-80be-240723e5c886" xmlns:ns3="840f690a-639c-403e-8c00-6152b4054361" targetNamespace="http://schemas.microsoft.com/office/2006/metadata/properties" ma:root="true" ma:fieldsID="22e5e27fd233d0de11cb2176cb1f6e54" ns2:_="" ns3:_="">
    <xsd:import namespace="a85bd123-9094-463e-80be-240723e5c886"/>
    <xsd:import namespace="840f690a-639c-403e-8c00-6152b40543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bd123-9094-463e-80be-240723e5c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0f690a-639c-403e-8c00-6152b40543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838da2e-deab-4914-a7ce-5e4f8a835a77}" ma:internalName="TaxCatchAll" ma:showField="CatchAllData" ma:web="840f690a-639c-403e-8c00-6152b40543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EC01D-C6F1-42E4-BF01-55C69661FF95}">
  <ds:schemaRefs>
    <ds:schemaRef ds:uri="http://schemas.microsoft.com/office/2006/metadata/properties"/>
    <ds:schemaRef ds:uri="http://schemas.microsoft.com/office/infopath/2007/PartnerControls"/>
    <ds:schemaRef ds:uri="a85bd123-9094-463e-80be-240723e5c886"/>
    <ds:schemaRef ds:uri="840f690a-639c-403e-8c00-6152b4054361"/>
  </ds:schemaRefs>
</ds:datastoreItem>
</file>

<file path=customXml/itemProps2.xml><?xml version="1.0" encoding="utf-8"?>
<ds:datastoreItem xmlns:ds="http://schemas.openxmlformats.org/officeDocument/2006/customXml" ds:itemID="{8246DDDA-6EA3-4391-BEC0-6040A8B7D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bd123-9094-463e-80be-240723e5c886"/>
    <ds:schemaRef ds:uri="840f690a-639c-403e-8c00-6152b4054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09E698-F1FE-444E-9F16-6BD2CA38ED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Yetter, Tammy</dc:creator>
  <cp:keywords/>
  <dc:description/>
  <cp:lastModifiedBy>Yetter, Tammy</cp:lastModifiedBy>
  <cp:revision>10</cp:revision>
  <dcterms:created xsi:type="dcterms:W3CDTF">2024-09-24T21:15:00Z</dcterms:created>
  <dcterms:modified xsi:type="dcterms:W3CDTF">2024-09-24T22:40:00Z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0x01010007A675B93B6D8F49B9B5AE870C1965EB</vt:lpwstr>
  </property>
  <property fmtid="{D5CDD505-2E9C-101B-9397-08002B2CF9AE}" pid="3" name="MediaServiceImageTags">
    <vt:lpwstr/>
  </property>
</Properties>
</file>