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C402E0">
        <w:tc>
          <w:tcPr>
            <w:tcW w:w="10770" w:type="dxa"/>
            <w:shd w:val="clear" w:color="auto" w:fill="D9D9D9" w:themeFill="background1" w:themeFillShade="D9"/>
          </w:tcPr>
          <w:p w14:paraId="564F29BD" w14:textId="11BCCC3E" w:rsidR="009A2EC3" w:rsidRPr="009A2EC3" w:rsidRDefault="009A2EC3" w:rsidP="009A2EC3">
            <w:pPr>
              <w:jc w:val="center"/>
              <w:rPr>
                <w:b/>
                <w:sz w:val="28"/>
                <w:szCs w:val="28"/>
              </w:rPr>
            </w:pPr>
            <w:r w:rsidRPr="009A2EC3">
              <w:rPr>
                <w:b/>
                <w:sz w:val="28"/>
                <w:szCs w:val="28"/>
              </w:rPr>
              <w:t>Professional Development Description</w:t>
            </w:r>
          </w:p>
        </w:tc>
      </w:tr>
      <w:tr w:rsidR="009A2EC3" w14:paraId="4290A420" w14:textId="77777777" w:rsidTr="00C402E0">
        <w:tc>
          <w:tcPr>
            <w:tcW w:w="10770" w:type="dxa"/>
          </w:tcPr>
          <w:p w14:paraId="3B8D9B6E" w14:textId="514A9AF5" w:rsidR="009A2EC3" w:rsidRDefault="009A2EC3" w:rsidP="009A2EC3">
            <w:r>
              <w:rPr>
                <w:b/>
                <w:sz w:val="24"/>
                <w:szCs w:val="24"/>
              </w:rPr>
              <w:t>Name of Entity:</w:t>
            </w:r>
            <w:r>
              <w:rPr>
                <w:sz w:val="24"/>
                <w:szCs w:val="24"/>
              </w:rPr>
              <w:t xml:space="preserve">  </w:t>
            </w:r>
            <w:r w:rsidR="00812516">
              <w:t>Colorado Literacy &amp; Learning Center (CLLC)</w:t>
            </w:r>
          </w:p>
        </w:tc>
      </w:tr>
      <w:tr w:rsidR="009A2EC3" w14:paraId="788A91D0" w14:textId="77777777" w:rsidTr="00C402E0">
        <w:tc>
          <w:tcPr>
            <w:tcW w:w="10770" w:type="dxa"/>
          </w:tcPr>
          <w:p w14:paraId="41F53F4F" w14:textId="58514C7A" w:rsidR="009A2EC3" w:rsidRPr="00812516" w:rsidRDefault="009A2EC3" w:rsidP="009A2EC3">
            <w:pPr>
              <w:rPr>
                <w:bCs/>
              </w:rPr>
            </w:pPr>
            <w:r>
              <w:rPr>
                <w:b/>
                <w:sz w:val="24"/>
                <w:szCs w:val="24"/>
              </w:rPr>
              <w:t xml:space="preserve">Name of Product: </w:t>
            </w:r>
            <w:r w:rsidR="00812516">
              <w:t>Academic Language Therapy and the Science of Reading</w:t>
            </w:r>
          </w:p>
        </w:tc>
      </w:tr>
      <w:tr w:rsidR="009A2EC3" w14:paraId="2731C2D1" w14:textId="77777777" w:rsidTr="00C402E0">
        <w:tc>
          <w:tcPr>
            <w:tcW w:w="10770" w:type="dxa"/>
          </w:tcPr>
          <w:p w14:paraId="7708C9C7" w14:textId="57EBC0B8" w:rsidR="009A2EC3" w:rsidRPr="00812516" w:rsidRDefault="009A2EC3" w:rsidP="009A2EC3">
            <w:pPr>
              <w:rPr>
                <w:bCs/>
              </w:rPr>
            </w:pPr>
            <w:r>
              <w:rPr>
                <w:b/>
                <w:sz w:val="24"/>
                <w:szCs w:val="24"/>
              </w:rPr>
              <w:t xml:space="preserve">Publication Year: </w:t>
            </w:r>
            <w:r w:rsidR="00812516">
              <w:rPr>
                <w:bCs/>
              </w:rPr>
              <w:t>2007</w:t>
            </w:r>
          </w:p>
        </w:tc>
      </w:tr>
      <w:tr w:rsidR="009A2EC3" w14:paraId="46E938A3" w14:textId="77777777" w:rsidTr="00C402E0">
        <w:tc>
          <w:tcPr>
            <w:tcW w:w="10770" w:type="dxa"/>
          </w:tcPr>
          <w:p w14:paraId="3B0B9894" w14:textId="0C2AE6AD" w:rsidR="009A2EC3" w:rsidRDefault="009A2EC3" w:rsidP="009A2EC3">
            <w:r>
              <w:rPr>
                <w:b/>
                <w:sz w:val="24"/>
                <w:szCs w:val="24"/>
              </w:rPr>
              <w:t>Contact Name</w:t>
            </w:r>
            <w:r>
              <w:rPr>
                <w:sz w:val="24"/>
                <w:szCs w:val="24"/>
              </w:rPr>
              <w:t xml:space="preserve">: </w:t>
            </w:r>
            <w:r w:rsidR="00617451">
              <w:t>Lynne Fitzhugh</w:t>
            </w:r>
          </w:p>
        </w:tc>
      </w:tr>
      <w:tr w:rsidR="009A2EC3" w14:paraId="22FD74BE" w14:textId="77777777" w:rsidTr="00C402E0">
        <w:tc>
          <w:tcPr>
            <w:tcW w:w="10770" w:type="dxa"/>
          </w:tcPr>
          <w:p w14:paraId="7C2E9B01" w14:textId="4B27BCEE" w:rsidR="009A2EC3" w:rsidRPr="00617451" w:rsidRDefault="009A2EC3" w:rsidP="009A2EC3">
            <w:pPr>
              <w:rPr>
                <w:bCs/>
              </w:rPr>
            </w:pPr>
            <w:r>
              <w:rPr>
                <w:b/>
                <w:sz w:val="24"/>
                <w:szCs w:val="24"/>
              </w:rPr>
              <w:t xml:space="preserve">Phone Number: </w:t>
            </w:r>
            <w:r w:rsidR="00617451">
              <w:t>719-227-0026</w:t>
            </w:r>
          </w:p>
        </w:tc>
      </w:tr>
      <w:tr w:rsidR="009A2EC3" w14:paraId="3DCA5BED" w14:textId="77777777" w:rsidTr="00C402E0">
        <w:tc>
          <w:tcPr>
            <w:tcW w:w="10770" w:type="dxa"/>
          </w:tcPr>
          <w:p w14:paraId="70746EC4" w14:textId="291FA957" w:rsidR="009A2EC3" w:rsidRDefault="009A2EC3" w:rsidP="009A2EC3">
            <w:r>
              <w:rPr>
                <w:b/>
                <w:sz w:val="24"/>
                <w:szCs w:val="24"/>
              </w:rPr>
              <w:t xml:space="preserve">Email Address: </w:t>
            </w:r>
            <w:hyperlink r:id="rId10" w:history="1">
              <w:r w:rsidR="00617451" w:rsidRPr="00617451">
                <w:rPr>
                  <w:rStyle w:val="Hyperlink"/>
                  <w:bCs/>
                </w:rPr>
                <w:t>lfitzhugh@literacynow.org</w:t>
              </w:r>
            </w:hyperlink>
            <w:r w:rsidR="00617451" w:rsidRPr="00617451">
              <w:rPr>
                <w:b/>
              </w:rPr>
              <w:t xml:space="preserve"> </w:t>
            </w:r>
          </w:p>
        </w:tc>
      </w:tr>
      <w:tr w:rsidR="009A2EC3" w14:paraId="754B1FC2" w14:textId="77777777" w:rsidTr="00C402E0">
        <w:tc>
          <w:tcPr>
            <w:tcW w:w="10770" w:type="dxa"/>
          </w:tcPr>
          <w:p w14:paraId="17355D5B" w14:textId="47540CB7" w:rsidR="009A2EC3" w:rsidRDefault="009A2EC3" w:rsidP="009A2EC3">
            <w:r>
              <w:rPr>
                <w:b/>
                <w:sz w:val="24"/>
                <w:szCs w:val="24"/>
              </w:rPr>
              <w:t xml:space="preserve">Website: </w:t>
            </w:r>
            <w:hyperlink r:id="rId11" w:history="1">
              <w:r w:rsidR="006E4EC1" w:rsidRPr="006E4EC1">
                <w:rPr>
                  <w:rStyle w:val="Hyperlink"/>
                  <w:bCs/>
                </w:rPr>
                <w:t>https://www.literacynow.org/literacy-certification-liscp</w:t>
              </w:r>
            </w:hyperlink>
            <w:r w:rsidR="006E4EC1">
              <w:rPr>
                <w:b/>
                <w:sz w:val="24"/>
                <w:szCs w:val="24"/>
              </w:rPr>
              <w:t xml:space="preserve"> </w:t>
            </w:r>
          </w:p>
        </w:tc>
      </w:tr>
      <w:tr w:rsidR="00AD2617" w14:paraId="6F451102" w14:textId="77777777" w:rsidTr="00C402E0">
        <w:tc>
          <w:tcPr>
            <w:tcW w:w="10770" w:type="dxa"/>
          </w:tcPr>
          <w:p w14:paraId="22E8B6C4" w14:textId="77777777" w:rsidR="00AD2617" w:rsidRDefault="00AD2617" w:rsidP="00AD2617">
            <w:pPr>
              <w:rPr>
                <w:b/>
                <w:sz w:val="24"/>
                <w:szCs w:val="24"/>
              </w:rPr>
            </w:pPr>
            <w:r>
              <w:rPr>
                <w:b/>
                <w:sz w:val="24"/>
                <w:szCs w:val="24"/>
              </w:rPr>
              <w:t>Audience:</w:t>
            </w:r>
          </w:p>
          <w:p w14:paraId="54B85312" w14:textId="77777777" w:rsidR="00AD2617" w:rsidRPr="009735DA" w:rsidRDefault="00AD2617" w:rsidP="00AD2617">
            <w:pPr>
              <w:rPr>
                <w:sz w:val="24"/>
                <w:szCs w:val="24"/>
              </w:rPr>
            </w:pPr>
            <w:sdt>
              <w:sdtPr>
                <w:rPr>
                  <w:rFonts w:eastAsiaTheme="minorEastAsia"/>
                  <w:color w:val="000000" w:themeColor="text1"/>
                  <w:sz w:val="24"/>
                  <w:szCs w:val="24"/>
                </w:rPr>
                <w:id w:val="1679315705"/>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Pr>
                <w:sz w:val="24"/>
                <w:szCs w:val="24"/>
              </w:rPr>
              <w:t xml:space="preserve">Principals and </w:t>
            </w:r>
            <w:r>
              <w:t>Administrators</w:t>
            </w:r>
            <w:r>
              <w:rPr>
                <w:sz w:val="24"/>
                <w:szCs w:val="24"/>
              </w:rPr>
              <w:t xml:space="preserve"> </w:t>
            </w:r>
          </w:p>
          <w:p w14:paraId="3E57B986" w14:textId="77777777" w:rsidR="00AD2617" w:rsidRPr="005146B8" w:rsidRDefault="00AD2617" w:rsidP="00AD2617">
            <w:pPr>
              <w:rPr>
                <w:rFonts w:eastAsiaTheme="minorEastAsia"/>
                <w:sz w:val="24"/>
                <w:szCs w:val="24"/>
              </w:rPr>
            </w:pPr>
            <w:sdt>
              <w:sdtPr>
                <w:rPr>
                  <w:rFonts w:eastAsiaTheme="minorEastAsia"/>
                  <w:color w:val="000000" w:themeColor="text1"/>
                  <w:sz w:val="24"/>
                  <w:szCs w:val="24"/>
                </w:rPr>
                <w:id w:val="1633132115"/>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K-3 Teachers</w:t>
            </w:r>
            <w:r w:rsidRPr="005146B8">
              <w:rPr>
                <w:rFonts w:eastAsiaTheme="minorEastAsia"/>
                <w:color w:val="000000" w:themeColor="text1"/>
                <w:sz w:val="24"/>
                <w:szCs w:val="24"/>
              </w:rPr>
              <w:t> </w:t>
            </w:r>
          </w:p>
          <w:p w14:paraId="6770D916" w14:textId="233EC426" w:rsidR="00AD2617" w:rsidRPr="00AD2617" w:rsidRDefault="00AD2617" w:rsidP="009A2EC3">
            <w:pPr>
              <w:rPr>
                <w:rFonts w:eastAsiaTheme="minorEastAsia"/>
                <w:sz w:val="24"/>
                <w:szCs w:val="24"/>
              </w:rPr>
            </w:pPr>
            <w:sdt>
              <w:sdtPr>
                <w:rPr>
                  <w:rFonts w:eastAsiaTheme="minorEastAsia"/>
                  <w:color w:val="000000" w:themeColor="text1"/>
                  <w:sz w:val="24"/>
                  <w:szCs w:val="24"/>
                </w:rPr>
                <w:id w:val="744462690"/>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K-12 Teachers</w:t>
            </w:r>
            <w:r>
              <w:rPr>
                <w:b/>
                <w:sz w:val="24"/>
                <w:szCs w:val="24"/>
              </w:rPr>
              <w:t xml:space="preserve"> </w:t>
            </w:r>
          </w:p>
        </w:tc>
      </w:tr>
      <w:tr w:rsidR="00AD2617" w14:paraId="5BD5273B" w14:textId="77777777" w:rsidTr="00C402E0">
        <w:tc>
          <w:tcPr>
            <w:tcW w:w="10770" w:type="dxa"/>
          </w:tcPr>
          <w:p w14:paraId="54F70448" w14:textId="77777777" w:rsidR="00AD2617" w:rsidRDefault="00AD2617" w:rsidP="00AD2617">
            <w:pPr>
              <w:rPr>
                <w:sz w:val="24"/>
                <w:szCs w:val="24"/>
              </w:rPr>
            </w:pPr>
            <w:r>
              <w:rPr>
                <w:b/>
                <w:sz w:val="24"/>
                <w:szCs w:val="24"/>
              </w:rPr>
              <w:t>Delivery Format:</w:t>
            </w:r>
            <w:r>
              <w:rPr>
                <w:sz w:val="24"/>
                <w:szCs w:val="24"/>
              </w:rPr>
              <w:t xml:space="preserve"> </w:t>
            </w:r>
          </w:p>
          <w:p w14:paraId="236C306D" w14:textId="77777777" w:rsidR="00AD2617" w:rsidRPr="005146B8" w:rsidRDefault="00AD2617" w:rsidP="00AD2617">
            <w:pPr>
              <w:rPr>
                <w:rFonts w:eastAsiaTheme="minorEastAsia"/>
                <w:sz w:val="24"/>
                <w:szCs w:val="24"/>
              </w:rPr>
            </w:pPr>
            <w:sdt>
              <w:sdtPr>
                <w:rPr>
                  <w:rFonts w:eastAsiaTheme="minorEastAsia"/>
                  <w:color w:val="000000" w:themeColor="text1"/>
                  <w:sz w:val="24"/>
                  <w:szCs w:val="24"/>
                </w:rPr>
                <w:id w:val="1186640902"/>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asynchronous, independent</w:t>
            </w:r>
          </w:p>
          <w:p w14:paraId="088A7927" w14:textId="77777777" w:rsidR="00AD2617" w:rsidRDefault="00AD2617" w:rsidP="00AD2617">
            <w:pPr>
              <w:rPr>
                <w:rFonts w:eastAsiaTheme="minorEastAsia"/>
                <w:color w:val="000000" w:themeColor="text1"/>
                <w:sz w:val="24"/>
                <w:szCs w:val="24"/>
              </w:rPr>
            </w:pPr>
            <w:sdt>
              <w:sdtPr>
                <w:rPr>
                  <w:rFonts w:eastAsiaTheme="minorEastAsia"/>
                  <w:color w:val="000000" w:themeColor="text1"/>
                  <w:sz w:val="24"/>
                  <w:szCs w:val="24"/>
                </w:rPr>
                <w:id w:val="1853688078"/>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synchronous, live </w:t>
            </w:r>
          </w:p>
          <w:p w14:paraId="43567F72" w14:textId="77777777" w:rsidR="00AD2617" w:rsidRPr="005146B8" w:rsidRDefault="00AD2617" w:rsidP="00AD2617">
            <w:pPr>
              <w:rPr>
                <w:rFonts w:eastAsiaTheme="minorEastAsia"/>
                <w:sz w:val="24"/>
                <w:szCs w:val="24"/>
              </w:rPr>
            </w:pPr>
            <w:sdt>
              <w:sdtPr>
                <w:rPr>
                  <w:rFonts w:eastAsiaTheme="minorEastAsia"/>
                  <w:color w:val="000000" w:themeColor="text1"/>
                  <w:sz w:val="24"/>
                  <w:szCs w:val="24"/>
                </w:rPr>
                <w:id w:val="-1407455144"/>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with live component</w:t>
            </w:r>
          </w:p>
          <w:p w14:paraId="68640DAE" w14:textId="77777777" w:rsidR="00AD2617" w:rsidRDefault="00AD2617" w:rsidP="00AD2617">
            <w:pPr>
              <w:widowControl w:val="0"/>
              <w:shd w:val="clear" w:color="auto" w:fill="FFFFFF"/>
              <w:rPr>
                <w:rFonts w:eastAsiaTheme="minorEastAsia"/>
                <w:color w:val="000000" w:themeColor="text1"/>
                <w:sz w:val="24"/>
                <w:szCs w:val="24"/>
              </w:rPr>
            </w:pPr>
            <w:sdt>
              <w:sdtPr>
                <w:rPr>
                  <w:rFonts w:eastAsiaTheme="minorEastAsia"/>
                  <w:color w:val="000000" w:themeColor="text1"/>
                  <w:sz w:val="24"/>
                  <w:szCs w:val="24"/>
                </w:rPr>
                <w:id w:val="473097932"/>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In-person, face-to-face live</w:t>
            </w:r>
          </w:p>
          <w:p w14:paraId="570E54B9" w14:textId="616DC12C" w:rsidR="00AD2617" w:rsidRDefault="00AD2617" w:rsidP="00AD2617">
            <w:pPr>
              <w:rPr>
                <w:b/>
                <w:sz w:val="24"/>
                <w:szCs w:val="24"/>
              </w:rPr>
            </w:pPr>
            <w:sdt>
              <w:sdtPr>
                <w:rPr>
                  <w:rFonts w:eastAsiaTheme="minorEastAsia"/>
                  <w:color w:val="000000" w:themeColor="text1"/>
                  <w:sz w:val="24"/>
                  <w:szCs w:val="24"/>
                </w:rPr>
                <w:id w:val="-432904114"/>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Hybrid</w:t>
            </w:r>
          </w:p>
        </w:tc>
      </w:tr>
      <w:tr w:rsidR="00AD2617" w14:paraId="729FBAA1" w14:textId="77777777" w:rsidTr="00C402E0">
        <w:tc>
          <w:tcPr>
            <w:tcW w:w="10770" w:type="dxa"/>
          </w:tcPr>
          <w:p w14:paraId="3B84D9AE" w14:textId="46728594" w:rsidR="00AD2617" w:rsidRDefault="00AD2617" w:rsidP="00A132E0">
            <w:pPr>
              <w:rPr>
                <w:b/>
                <w:sz w:val="24"/>
                <w:szCs w:val="24"/>
              </w:rPr>
            </w:pPr>
            <w:r>
              <w:rPr>
                <w:b/>
                <w:sz w:val="24"/>
                <w:szCs w:val="24"/>
              </w:rPr>
              <w:t xml:space="preserve">Contact Hours: </w:t>
            </w:r>
            <w:r>
              <w:t>210 instructional hours, 700 practicum hours and 10 graded observations</w:t>
            </w:r>
          </w:p>
        </w:tc>
      </w:tr>
      <w:tr w:rsidR="00AD2617" w14:paraId="704E0585" w14:textId="77777777" w:rsidTr="00C402E0">
        <w:tc>
          <w:tcPr>
            <w:tcW w:w="10770" w:type="dxa"/>
          </w:tcPr>
          <w:p w14:paraId="6BBB8042" w14:textId="77777777" w:rsidR="00A132E0" w:rsidRDefault="00A132E0" w:rsidP="00A132E0">
            <w:pPr>
              <w:rPr>
                <w:b/>
                <w:sz w:val="24"/>
                <w:szCs w:val="24"/>
              </w:rPr>
            </w:pPr>
            <w:r>
              <w:rPr>
                <w:b/>
                <w:sz w:val="24"/>
                <w:szCs w:val="24"/>
              </w:rPr>
              <w:t>Description of Professional Development:</w:t>
            </w:r>
          </w:p>
          <w:p w14:paraId="133456C5" w14:textId="77777777" w:rsidR="00A132E0" w:rsidRDefault="00A132E0" w:rsidP="00A132E0">
            <w:pPr>
              <w:rPr>
                <w:b/>
                <w:sz w:val="24"/>
                <w:szCs w:val="24"/>
              </w:rPr>
            </w:pPr>
          </w:p>
          <w:p w14:paraId="59F18188" w14:textId="77777777" w:rsidR="00A132E0" w:rsidRPr="00F56418" w:rsidRDefault="00A132E0" w:rsidP="00A132E0">
            <w:pPr>
              <w:pStyle w:val="font8"/>
              <w:spacing w:before="0" w:beforeAutospacing="0" w:after="0" w:afterAutospacing="0"/>
              <w:textAlignment w:val="baseline"/>
              <w:rPr>
                <w:rFonts w:asciiTheme="minorHAnsi" w:hAnsiTheme="minorHAnsi" w:cstheme="minorHAnsi"/>
                <w:sz w:val="22"/>
                <w:szCs w:val="22"/>
              </w:rPr>
            </w:pPr>
            <w:r w:rsidRPr="00F56418">
              <w:rPr>
                <w:rStyle w:val="wixui-rich-texttext"/>
                <w:rFonts w:asciiTheme="minorHAnsi" w:hAnsiTheme="minorHAnsi" w:cstheme="minorHAnsi"/>
                <w:sz w:val="22"/>
                <w:szCs w:val="22"/>
                <w:bdr w:val="none" w:sz="0" w:space="0" w:color="auto" w:frame="1"/>
              </w:rPr>
              <w:t>The Academic Language Therapy (ALT) and Science of Reading program is an intensive training program for individuals seeking to learn the most effective, research-based strategies of remediation in reading and written language skills. ALT provides a two-year, in-depth training for teachers and therapists working with students with literacy challenges, with a focus on dyslexia and related disorders. </w:t>
            </w:r>
          </w:p>
          <w:p w14:paraId="21032091" w14:textId="77777777" w:rsidR="00A132E0" w:rsidRPr="00F56418" w:rsidRDefault="00A132E0" w:rsidP="00A132E0">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sidRPr="00F56418">
              <w:rPr>
                <w:rStyle w:val="wixui-rich-texttext"/>
                <w:rFonts w:asciiTheme="minorHAnsi" w:hAnsiTheme="minorHAnsi" w:cstheme="minorHAnsi"/>
                <w:sz w:val="22"/>
                <w:szCs w:val="22"/>
                <w:bdr w:val="none" w:sz="0" w:space="0" w:color="auto" w:frame="1"/>
              </w:rPr>
              <w:t> </w:t>
            </w:r>
          </w:p>
          <w:p w14:paraId="10050C35" w14:textId="77777777" w:rsidR="00A132E0" w:rsidRPr="00F56418" w:rsidRDefault="00A132E0" w:rsidP="00A132E0">
            <w:pPr>
              <w:pStyle w:val="font8"/>
              <w:spacing w:before="0" w:beforeAutospacing="0" w:after="0" w:afterAutospacing="0"/>
              <w:textAlignment w:val="baseline"/>
              <w:rPr>
                <w:rFonts w:asciiTheme="minorHAnsi" w:hAnsiTheme="minorHAnsi" w:cstheme="minorHAnsi"/>
                <w:sz w:val="22"/>
                <w:szCs w:val="22"/>
                <w:bdr w:val="none" w:sz="0" w:space="0" w:color="auto" w:frame="1"/>
              </w:rPr>
            </w:pPr>
            <w:r w:rsidRPr="00F56418">
              <w:rPr>
                <w:rStyle w:val="wixui-rich-texttext"/>
                <w:rFonts w:asciiTheme="minorHAnsi" w:hAnsiTheme="minorHAnsi" w:cstheme="minorHAnsi"/>
                <w:sz w:val="22"/>
                <w:szCs w:val="22"/>
                <w:bdr w:val="none" w:sz="0" w:space="0" w:color="auto" w:frame="1"/>
              </w:rPr>
              <w:t xml:space="preserve"> Individuals successfully completing all coursework, along with sufficient teaching hours and observations, may be approved to register for the Academic Language Therapy Association (ALTA) Competency Exam to earn national credentials as a Certified Academic Language Therapist (CALT).​​​ ALT is accredited by the International Multisensory Structured Language Education Council (IMSLEC) and the International Dyslexia Association (IDA).</w:t>
            </w:r>
          </w:p>
          <w:p w14:paraId="2CB20334" w14:textId="77777777" w:rsidR="00A132E0" w:rsidRPr="00F56418" w:rsidRDefault="00A132E0" w:rsidP="00A132E0">
            <w:pPr>
              <w:pStyle w:val="font8"/>
              <w:spacing w:before="0" w:beforeAutospacing="0" w:after="0" w:afterAutospacing="0"/>
              <w:textAlignment w:val="baseline"/>
              <w:rPr>
                <w:rFonts w:asciiTheme="minorHAnsi" w:hAnsiTheme="minorHAnsi" w:cstheme="minorHAnsi"/>
                <w:sz w:val="22"/>
                <w:szCs w:val="22"/>
              </w:rPr>
            </w:pPr>
            <w:r w:rsidRPr="00F56418">
              <w:rPr>
                <w:rStyle w:val="wixui-rich-texttext"/>
                <w:rFonts w:asciiTheme="minorHAnsi" w:hAnsiTheme="minorHAnsi" w:cstheme="minorHAnsi"/>
                <w:sz w:val="22"/>
                <w:szCs w:val="22"/>
                <w:bdr w:val="none" w:sz="0" w:space="0" w:color="auto" w:frame="1"/>
              </w:rPr>
              <w:t>​</w:t>
            </w:r>
          </w:p>
          <w:p w14:paraId="4431B356" w14:textId="77777777" w:rsidR="00A132E0" w:rsidRPr="00F56418" w:rsidRDefault="00A132E0" w:rsidP="00A132E0">
            <w:pPr>
              <w:pStyle w:val="font8"/>
              <w:spacing w:before="0" w:beforeAutospacing="0" w:after="0" w:afterAutospacing="0"/>
              <w:textAlignment w:val="baseline"/>
              <w:rPr>
                <w:rFonts w:asciiTheme="minorHAnsi" w:hAnsiTheme="minorHAnsi" w:cstheme="minorHAnsi"/>
                <w:sz w:val="22"/>
                <w:szCs w:val="22"/>
              </w:rPr>
            </w:pPr>
            <w:r w:rsidRPr="00F56418">
              <w:rPr>
                <w:rStyle w:val="wixui-rich-texttext"/>
                <w:rFonts w:asciiTheme="minorHAnsi" w:hAnsiTheme="minorHAnsi" w:cstheme="minorHAnsi"/>
                <w:sz w:val="22"/>
                <w:szCs w:val="22"/>
                <w:bdr w:val="none" w:sz="0" w:space="0" w:color="auto" w:frame="1"/>
              </w:rPr>
              <w:t xml:space="preserve">Coursework includes instruction in </w:t>
            </w:r>
            <w:r w:rsidRPr="00F56418">
              <w:rPr>
                <w:rStyle w:val="wixui-rich-texttext"/>
                <w:rFonts w:asciiTheme="minorHAnsi" w:hAnsiTheme="minorHAnsi" w:cstheme="minorHAnsi"/>
                <w:i/>
                <w:iCs/>
                <w:sz w:val="22"/>
                <w:szCs w:val="22"/>
                <w:bdr w:val="none" w:sz="0" w:space="0" w:color="auto" w:frame="1"/>
              </w:rPr>
              <w:t>Take Flight: A Comprehensive Intervention for Students with Dyslexia</w:t>
            </w:r>
            <w:r w:rsidRPr="00F56418">
              <w:rPr>
                <w:rStyle w:val="wixui-rich-texttext"/>
                <w:rFonts w:asciiTheme="minorHAnsi" w:hAnsiTheme="minorHAnsi" w:cstheme="minorHAnsi"/>
                <w:sz w:val="22"/>
                <w:szCs w:val="22"/>
                <w:bdr w:val="none" w:sz="0" w:space="0" w:color="auto" w:frame="1"/>
              </w:rPr>
              <w:t>, a research-based and validated curriculum from the Luke Waites Center for Dyslexia at Texas Scottish Rite Hospital for Children and READ Act-approved curriculum. Teachers will gain an understanding in:</w:t>
            </w:r>
          </w:p>
          <w:p w14:paraId="41B9D517" w14:textId="77777777" w:rsidR="00A132E0" w:rsidRPr="00F56418" w:rsidRDefault="00A132E0" w:rsidP="00A132E0">
            <w:pPr>
              <w:pStyle w:val="font8"/>
              <w:numPr>
                <w:ilvl w:val="0"/>
                <w:numId w:val="1"/>
              </w:numPr>
              <w:spacing w:before="0" w:beforeAutospacing="0" w:after="0" w:afterAutospacing="0"/>
              <w:ind w:left="840"/>
              <w:textAlignment w:val="baseline"/>
              <w:rPr>
                <w:rFonts w:asciiTheme="minorHAnsi" w:hAnsiTheme="minorHAnsi" w:cstheme="minorHAnsi"/>
                <w:color w:val="000000"/>
                <w:sz w:val="22"/>
                <w:szCs w:val="22"/>
              </w:rPr>
            </w:pPr>
            <w:r w:rsidRPr="00F56418">
              <w:rPr>
                <w:rStyle w:val="wixui-rich-texttext"/>
                <w:rFonts w:asciiTheme="minorHAnsi" w:hAnsiTheme="minorHAnsi" w:cstheme="minorHAnsi"/>
                <w:color w:val="000000"/>
                <w:sz w:val="22"/>
                <w:szCs w:val="22"/>
                <w:bdr w:val="none" w:sz="0" w:space="0" w:color="auto" w:frame="1"/>
              </w:rPr>
              <w:t>Structures of written English based upon the science of literacy and linguistics</w:t>
            </w:r>
          </w:p>
          <w:p w14:paraId="1130ADF2" w14:textId="77777777" w:rsidR="00A132E0" w:rsidRPr="00F56418" w:rsidRDefault="00A132E0" w:rsidP="00A132E0">
            <w:pPr>
              <w:pStyle w:val="font8"/>
              <w:numPr>
                <w:ilvl w:val="0"/>
                <w:numId w:val="1"/>
              </w:numPr>
              <w:spacing w:before="0" w:beforeAutospacing="0" w:after="0" w:afterAutospacing="0"/>
              <w:ind w:left="840"/>
              <w:textAlignment w:val="baseline"/>
              <w:rPr>
                <w:rFonts w:asciiTheme="minorHAnsi" w:hAnsiTheme="minorHAnsi" w:cstheme="minorHAnsi"/>
                <w:color w:val="000000"/>
                <w:sz w:val="22"/>
                <w:szCs w:val="22"/>
              </w:rPr>
            </w:pPr>
            <w:r w:rsidRPr="00F56418">
              <w:rPr>
                <w:rStyle w:val="wixui-rich-texttext"/>
                <w:rFonts w:asciiTheme="minorHAnsi" w:hAnsiTheme="minorHAnsi" w:cstheme="minorHAnsi"/>
                <w:color w:val="000000"/>
                <w:sz w:val="22"/>
                <w:szCs w:val="22"/>
                <w:bdr w:val="none" w:sz="0" w:space="0" w:color="auto" w:frame="1"/>
              </w:rPr>
              <w:t>Instructional strategies and methods (simultaneous, multisensory, systematic, cumulative, direct instruction, diagnostic teaching, synthetic, and analytic instruction)</w:t>
            </w:r>
          </w:p>
          <w:p w14:paraId="138DE78C" w14:textId="77777777" w:rsidR="00A132E0" w:rsidRPr="00F56418" w:rsidRDefault="00A132E0" w:rsidP="00A132E0">
            <w:pPr>
              <w:pStyle w:val="font8"/>
              <w:numPr>
                <w:ilvl w:val="0"/>
                <w:numId w:val="1"/>
              </w:numPr>
              <w:spacing w:before="0" w:beforeAutospacing="0" w:after="0" w:afterAutospacing="0"/>
              <w:ind w:left="840"/>
              <w:textAlignment w:val="baseline"/>
              <w:rPr>
                <w:rFonts w:asciiTheme="minorHAnsi" w:hAnsiTheme="minorHAnsi" w:cstheme="minorHAnsi"/>
                <w:color w:val="000000"/>
                <w:sz w:val="22"/>
                <w:szCs w:val="22"/>
              </w:rPr>
            </w:pPr>
            <w:r w:rsidRPr="00F56418">
              <w:rPr>
                <w:rStyle w:val="wixui-rich-texttext"/>
                <w:rFonts w:asciiTheme="minorHAnsi" w:hAnsiTheme="minorHAnsi" w:cstheme="minorHAnsi"/>
                <w:color w:val="000000"/>
                <w:sz w:val="22"/>
                <w:szCs w:val="22"/>
                <w:bdr w:val="none" w:sz="0" w:space="0" w:color="auto" w:frame="1"/>
              </w:rPr>
              <w:t>Progress monitoring for accuracy and fluency</w:t>
            </w:r>
          </w:p>
          <w:p w14:paraId="45F8960A" w14:textId="77777777" w:rsidR="00A132E0" w:rsidRPr="00F56418" w:rsidRDefault="00A132E0" w:rsidP="00A132E0">
            <w:pPr>
              <w:pStyle w:val="font8"/>
              <w:numPr>
                <w:ilvl w:val="0"/>
                <w:numId w:val="1"/>
              </w:numPr>
              <w:spacing w:before="0" w:beforeAutospacing="0" w:after="0" w:afterAutospacing="0"/>
              <w:ind w:left="840"/>
              <w:textAlignment w:val="baseline"/>
              <w:rPr>
                <w:rFonts w:asciiTheme="minorHAnsi" w:hAnsiTheme="minorHAnsi" w:cstheme="minorHAnsi"/>
                <w:color w:val="000000"/>
                <w:sz w:val="22"/>
                <w:szCs w:val="22"/>
              </w:rPr>
            </w:pPr>
            <w:r w:rsidRPr="00F56418">
              <w:rPr>
                <w:rStyle w:val="wixui-rich-texttext"/>
                <w:rFonts w:asciiTheme="minorHAnsi" w:hAnsiTheme="minorHAnsi" w:cstheme="minorHAnsi"/>
                <w:color w:val="000000"/>
                <w:sz w:val="22"/>
                <w:szCs w:val="22"/>
                <w:bdr w:val="none" w:sz="0" w:space="0" w:color="auto" w:frame="1"/>
              </w:rPr>
              <w:t>Dyslexia, related written-language disorders, and identification of specific learning differences</w:t>
            </w:r>
          </w:p>
          <w:p w14:paraId="6F822EE5" w14:textId="77777777" w:rsidR="00AD2617" w:rsidRDefault="00AD2617" w:rsidP="009A2EC3">
            <w:pPr>
              <w:rPr>
                <w:b/>
                <w:sz w:val="24"/>
                <w:szCs w:val="24"/>
              </w:rPr>
            </w:pPr>
          </w:p>
        </w:tc>
      </w:tr>
    </w:tbl>
    <w:p w14:paraId="578E82A9" w14:textId="77777777" w:rsidR="00E51696" w:rsidRPr="00E51696" w:rsidRDefault="00E51696" w:rsidP="00E51696">
      <w:pPr>
        <w:jc w:val="right"/>
      </w:pPr>
    </w:p>
    <w:sectPr w:rsidR="00E51696" w:rsidRPr="00E51696" w:rsidSect="009A2EC3">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4C80B" w14:textId="77777777" w:rsidR="00CA39AA" w:rsidRDefault="00CA39AA" w:rsidP="009A2EC3">
      <w:pPr>
        <w:spacing w:after="0" w:line="240" w:lineRule="auto"/>
      </w:pPr>
      <w:r>
        <w:separator/>
      </w:r>
    </w:p>
  </w:endnote>
  <w:endnote w:type="continuationSeparator" w:id="0">
    <w:p w14:paraId="20FC6BF7" w14:textId="77777777" w:rsidR="00CA39AA" w:rsidRDefault="00CA39AA"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B850" w14:textId="55FB1C66" w:rsidR="009A2EC3" w:rsidRDefault="00E51696" w:rsidP="009A2EC3">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CA9E9" w14:textId="77777777" w:rsidR="00CA39AA" w:rsidRDefault="00CA39AA" w:rsidP="009A2EC3">
      <w:pPr>
        <w:spacing w:after="0" w:line="240" w:lineRule="auto"/>
      </w:pPr>
      <w:r>
        <w:separator/>
      </w:r>
    </w:p>
  </w:footnote>
  <w:footnote w:type="continuationSeparator" w:id="0">
    <w:p w14:paraId="34C1D6C5" w14:textId="77777777" w:rsidR="00CA39AA" w:rsidRDefault="00CA39AA"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75BF3"/>
    <w:multiLevelType w:val="multilevel"/>
    <w:tmpl w:val="84BE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163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40A40"/>
    <w:rsid w:val="0005072F"/>
    <w:rsid w:val="000E76C3"/>
    <w:rsid w:val="00122338"/>
    <w:rsid w:val="001A476B"/>
    <w:rsid w:val="00200889"/>
    <w:rsid w:val="002926DF"/>
    <w:rsid w:val="003D5DAB"/>
    <w:rsid w:val="004E4BDD"/>
    <w:rsid w:val="005934C4"/>
    <w:rsid w:val="00595B3F"/>
    <w:rsid w:val="005B77D1"/>
    <w:rsid w:val="005F3080"/>
    <w:rsid w:val="00617451"/>
    <w:rsid w:val="006712F7"/>
    <w:rsid w:val="00680009"/>
    <w:rsid w:val="006B6BD7"/>
    <w:rsid w:val="006E4EC1"/>
    <w:rsid w:val="00781673"/>
    <w:rsid w:val="00792195"/>
    <w:rsid w:val="007F57B8"/>
    <w:rsid w:val="00806EEC"/>
    <w:rsid w:val="00812516"/>
    <w:rsid w:val="00816DE3"/>
    <w:rsid w:val="00891E7E"/>
    <w:rsid w:val="009735DA"/>
    <w:rsid w:val="00973A8D"/>
    <w:rsid w:val="009812FD"/>
    <w:rsid w:val="009A2EC3"/>
    <w:rsid w:val="00A1328E"/>
    <w:rsid w:val="00A132E0"/>
    <w:rsid w:val="00A23153"/>
    <w:rsid w:val="00AD2617"/>
    <w:rsid w:val="00B5546A"/>
    <w:rsid w:val="00B56DA0"/>
    <w:rsid w:val="00B87D71"/>
    <w:rsid w:val="00C402E0"/>
    <w:rsid w:val="00CA39AA"/>
    <w:rsid w:val="00CB35AC"/>
    <w:rsid w:val="00CF62BA"/>
    <w:rsid w:val="00DE3183"/>
    <w:rsid w:val="00E13344"/>
    <w:rsid w:val="00E41A3C"/>
    <w:rsid w:val="00E51696"/>
    <w:rsid w:val="00E711AC"/>
    <w:rsid w:val="00EA3101"/>
    <w:rsid w:val="00EF611E"/>
    <w:rsid w:val="00F136CA"/>
    <w:rsid w:val="00F24955"/>
    <w:rsid w:val="00F56418"/>
    <w:rsid w:val="00FC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51"/>
    <w:rPr>
      <w:color w:val="0563C1" w:themeColor="hyperlink"/>
      <w:u w:val="single"/>
    </w:rPr>
  </w:style>
  <w:style w:type="character" w:styleId="UnresolvedMention">
    <w:name w:val="Unresolved Mention"/>
    <w:basedOn w:val="DefaultParagraphFont"/>
    <w:uiPriority w:val="99"/>
    <w:semiHidden/>
    <w:unhideWhenUsed/>
    <w:rsid w:val="00617451"/>
    <w:rPr>
      <w:color w:val="605E5C"/>
      <w:shd w:val="clear" w:color="auto" w:fill="E1DFDD"/>
    </w:rPr>
  </w:style>
  <w:style w:type="paragraph" w:customStyle="1" w:styleId="font8">
    <w:name w:val="font_8"/>
    <w:basedOn w:val="Normal"/>
    <w:rsid w:val="004E4B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4E4BDD"/>
  </w:style>
  <w:style w:type="character" w:customStyle="1" w:styleId="wixguard">
    <w:name w:val="wixguard"/>
    <w:basedOn w:val="DefaultParagraphFont"/>
    <w:rsid w:val="004E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cynow.org/literacy-certification-lisc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fitzhugh@literacynow.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4" ma:contentTypeDescription="Create a new document." ma:contentTypeScope="" ma:versionID="0a05ef99beb2c4bc02af658d778e4740">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22e5e27fd233d0de11cb2176cb1f6e54"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EC01D-C6F1-42E4-BF01-55C69661FF95}">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customXml/itemProps2.xml><?xml version="1.0" encoding="utf-8"?>
<ds:datastoreItem xmlns:ds="http://schemas.openxmlformats.org/officeDocument/2006/customXml" ds:itemID="{8246DDDA-6EA3-4391-BEC0-6040A8B7D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9E698-F1FE-444E-9F16-6BD2CA38E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3</cp:revision>
  <dcterms:created xsi:type="dcterms:W3CDTF">2024-09-24T21:06:00Z</dcterms:created>
  <dcterms:modified xsi:type="dcterms:W3CDTF">2024-09-24T21:07:00Z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