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0386DADF" w:rsidR="00D167BF" w:rsidRPr="00D167BF" w:rsidRDefault="00753EEB" w:rsidP="00D167BF">
      <w:pPr>
        <w:pStyle w:val="Heading2"/>
      </w:pPr>
      <w:r>
        <w:t>Amplify Education, Inc.</w:t>
      </w:r>
      <w:r w:rsidR="009B3915">
        <w:t xml:space="preserve">, </w:t>
      </w:r>
      <w:r>
        <w:t>Amplify C</w:t>
      </w:r>
      <w:r w:rsidR="00391753">
        <w:t>aminos</w:t>
      </w:r>
      <w:r w:rsidR="009B3915">
        <w:t xml:space="preserve">, </w:t>
      </w:r>
      <w:r w:rsidR="000749CD">
        <w:t>2022</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9B3915">
                      <w:pPr>
                        <w:pStyle w:val="Page01-Side-bar-navy"/>
                        <w:numPr>
                          <w:ilvl w:val="0"/>
                          <w:numId w:val="1"/>
                        </w:numPr>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w:t>
      </w:r>
      <w:proofErr w:type="gramStart"/>
      <w:r>
        <w:rPr>
          <w:lang w:val="en"/>
        </w:rPr>
        <w:t>department shall</w:t>
      </w:r>
      <w:proofErr w:type="gramEnd"/>
      <w:r>
        <w:rPr>
          <w:lang w:val="en"/>
        </w:rPr>
        <w:t xml:space="preserve">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7B68075D" w14:textId="4BD18C79" w:rsidR="00785700" w:rsidRDefault="00785700" w:rsidP="00391753">
      <w:pPr>
        <w:pStyle w:val="Text"/>
        <w:spacing w:after="0" w:line="240" w:lineRule="auto"/>
        <w:rPr>
          <w:lang w:val="en"/>
        </w:rPr>
      </w:pPr>
      <w:r>
        <w:rPr>
          <w:b/>
          <w:bCs/>
          <w:lang w:val="en"/>
        </w:rPr>
        <w:t xml:space="preserve">Kindergarten: </w:t>
      </w:r>
      <w:r>
        <w:rPr>
          <w:lang w:val="en"/>
        </w:rPr>
        <w:t>Meets Expectations</w:t>
      </w:r>
    </w:p>
    <w:p w14:paraId="60EF7A29" w14:textId="1D972783" w:rsidR="00785700" w:rsidRDefault="00785700" w:rsidP="00391753">
      <w:pPr>
        <w:pStyle w:val="Text"/>
        <w:spacing w:after="0" w:line="240" w:lineRule="auto"/>
        <w:rPr>
          <w:lang w:val="en"/>
        </w:rPr>
      </w:pPr>
      <w:r>
        <w:rPr>
          <w:b/>
          <w:bCs/>
          <w:lang w:val="en"/>
        </w:rPr>
        <w:t>First Grade:</w:t>
      </w:r>
      <w:r>
        <w:rPr>
          <w:lang w:val="en"/>
        </w:rPr>
        <w:t xml:space="preserve"> Meets Expectations </w:t>
      </w:r>
    </w:p>
    <w:p w14:paraId="366559B9" w14:textId="4AD39635" w:rsidR="00785700" w:rsidRDefault="00785700" w:rsidP="00391753">
      <w:pPr>
        <w:pStyle w:val="Text"/>
        <w:spacing w:after="0" w:line="240" w:lineRule="auto"/>
        <w:rPr>
          <w:b/>
          <w:bCs/>
        </w:rPr>
      </w:pPr>
      <w:r>
        <w:rPr>
          <w:b/>
          <w:bCs/>
        </w:rPr>
        <w:t xml:space="preserve">Second Grade: </w:t>
      </w:r>
      <w:r>
        <w:t xml:space="preserve">Meets Expectations </w:t>
      </w:r>
    </w:p>
    <w:p w14:paraId="692FD84F" w14:textId="222813A6" w:rsidR="00785700" w:rsidRDefault="00785700" w:rsidP="00391753">
      <w:pPr>
        <w:pStyle w:val="Text"/>
        <w:spacing w:after="0" w:line="240" w:lineRule="auto"/>
        <w:rPr>
          <w:b/>
          <w:bCs/>
        </w:rPr>
      </w:pPr>
      <w:r>
        <w:rPr>
          <w:b/>
          <w:bCs/>
        </w:rPr>
        <w:t xml:space="preserve">Third Grade: </w:t>
      </w:r>
      <w:r>
        <w:t>Meets Expectations</w:t>
      </w:r>
    </w:p>
    <w:p w14:paraId="6B8A4130" w14:textId="77777777" w:rsidR="00785700" w:rsidRDefault="00785700" w:rsidP="00391753">
      <w:pPr>
        <w:pBdr>
          <w:bottom w:val="single" w:sz="12" w:space="1" w:color="44546A" w:themeColor="text2"/>
        </w:pBdr>
        <w:spacing w:after="0" w:line="240" w:lineRule="auto"/>
        <w:rPr>
          <w:lang w:val="en"/>
        </w:rPr>
      </w:pPr>
      <w:r>
        <w:rPr>
          <w:b/>
          <w:bCs/>
          <w:lang w:val="en"/>
        </w:rPr>
        <w:t>Usability:</w:t>
      </w:r>
      <w:r>
        <w:rPr>
          <w:lang w:val="en"/>
        </w:rPr>
        <w:t xml:space="preserve"> Meets Expectations</w:t>
      </w:r>
    </w:p>
    <w:p w14:paraId="51736F78" w14:textId="77777777" w:rsidR="00391753" w:rsidRDefault="00391753" w:rsidP="00391753">
      <w:pPr>
        <w:pBdr>
          <w:bottom w:val="single" w:sz="12" w:space="1" w:color="44546A" w:themeColor="text2"/>
        </w:pBdr>
        <w:spacing w:after="0" w:line="240" w:lineRule="auto"/>
        <w:rPr>
          <w:lang w:val="en"/>
        </w:rPr>
      </w:pPr>
    </w:p>
    <w:p w14:paraId="391F25B2" w14:textId="77777777" w:rsidR="009B3915" w:rsidRPr="00650FF0" w:rsidRDefault="009B3915" w:rsidP="009B3915">
      <w:pPr>
        <w:pStyle w:val="Heading3"/>
      </w:pPr>
      <w:r>
        <w:t>Vendor Information and Program Summary</w:t>
      </w:r>
    </w:p>
    <w:p w14:paraId="1B7494AC" w14:textId="74AA83E0"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0749CD">
        <w:rPr>
          <w:rFonts w:cs="Calibri"/>
        </w:rPr>
        <w:t xml:space="preserve">Amplify </w:t>
      </w:r>
      <w:r w:rsidR="00494DA7">
        <w:rPr>
          <w:rFonts w:cs="Calibri"/>
        </w:rPr>
        <w:t>Caminos</w:t>
      </w:r>
    </w:p>
    <w:p w14:paraId="62784BF8" w14:textId="74EFAA2C" w:rsidR="009B3915" w:rsidRPr="00241BBF" w:rsidRDefault="009B3915" w:rsidP="009B3915">
      <w:pPr>
        <w:pStyle w:val="Text"/>
        <w:rPr>
          <w:b/>
          <w:bCs/>
          <w:color w:val="000000"/>
        </w:rPr>
      </w:pPr>
      <w:bookmarkStart w:id="0" w:name="_Hlk41919839"/>
      <w:r w:rsidRPr="00241BBF">
        <w:rPr>
          <w:b/>
          <w:bCs/>
          <w:color w:val="000000"/>
        </w:rPr>
        <w:t xml:space="preserve">Publication year (or edition): </w:t>
      </w:r>
      <w:r w:rsidR="000749CD" w:rsidRPr="00494DA7">
        <w:rPr>
          <w:color w:val="000000"/>
        </w:rPr>
        <w:t>2022</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2104872B" w:rsidR="009B3915" w:rsidRPr="00241BBF" w:rsidRDefault="009B3915" w:rsidP="009B3915">
      <w:pPr>
        <w:pStyle w:val="Text"/>
        <w:ind w:left="720"/>
        <w:rPr>
          <w:b/>
          <w:bCs/>
          <w:color w:val="000000"/>
        </w:rPr>
      </w:pPr>
      <w:r w:rsidRPr="00241BBF">
        <w:rPr>
          <w:b/>
          <w:bCs/>
          <w:color w:val="000000"/>
        </w:rPr>
        <w:t xml:space="preserve">Name: </w:t>
      </w:r>
      <w:r w:rsidR="006C5E40">
        <w:rPr>
          <w:rFonts w:cs="Calibri"/>
        </w:rPr>
        <w:t>Monty Lammers</w:t>
      </w:r>
    </w:p>
    <w:p w14:paraId="356F3753" w14:textId="6E357489" w:rsidR="009B3915" w:rsidRPr="00241BBF" w:rsidRDefault="009B3915" w:rsidP="009B3915">
      <w:pPr>
        <w:pStyle w:val="Text"/>
        <w:ind w:left="720"/>
        <w:rPr>
          <w:b/>
          <w:bCs/>
          <w:color w:val="000000"/>
        </w:rPr>
      </w:pPr>
      <w:r w:rsidRPr="00241BBF">
        <w:rPr>
          <w:b/>
          <w:bCs/>
          <w:color w:val="000000"/>
        </w:rPr>
        <w:t xml:space="preserve">Role: </w:t>
      </w:r>
      <w:r w:rsidR="006C5E40">
        <w:rPr>
          <w:rFonts w:cs="Calibri"/>
        </w:rPr>
        <w:t>Account Executive</w:t>
      </w:r>
    </w:p>
    <w:p w14:paraId="06AA308B" w14:textId="6BA8C6B8" w:rsidR="009B3915" w:rsidRPr="00241BBF" w:rsidRDefault="009B3915" w:rsidP="009B3915">
      <w:pPr>
        <w:pStyle w:val="Text"/>
        <w:ind w:left="720"/>
        <w:rPr>
          <w:b/>
          <w:bCs/>
          <w:color w:val="000000"/>
        </w:rPr>
      </w:pPr>
      <w:r w:rsidRPr="00241BBF">
        <w:rPr>
          <w:b/>
          <w:bCs/>
          <w:color w:val="000000"/>
        </w:rPr>
        <w:t xml:space="preserve">Address: </w:t>
      </w:r>
      <w:r w:rsidR="006C5E40">
        <w:rPr>
          <w:rFonts w:cs="Calibri"/>
        </w:rPr>
        <w:t>55 Washington Street, Suite 800, Brooklyn, NY 11201</w:t>
      </w:r>
    </w:p>
    <w:p w14:paraId="4A14F041" w14:textId="7D7D09C6" w:rsidR="009B3915" w:rsidRPr="00241BBF" w:rsidRDefault="009B3915" w:rsidP="009B3915">
      <w:pPr>
        <w:pStyle w:val="Text"/>
        <w:ind w:left="720"/>
        <w:rPr>
          <w:b/>
          <w:bCs/>
          <w:color w:val="000000"/>
        </w:rPr>
      </w:pPr>
      <w:r w:rsidRPr="00241BBF">
        <w:rPr>
          <w:b/>
          <w:bCs/>
          <w:color w:val="000000"/>
        </w:rPr>
        <w:t xml:space="preserve">Number: </w:t>
      </w:r>
      <w:r w:rsidR="006C5E40">
        <w:rPr>
          <w:rFonts w:cs="Calibri"/>
        </w:rPr>
        <w:t>719-964-4501</w:t>
      </w:r>
    </w:p>
    <w:p w14:paraId="2051CA74" w14:textId="77C5CF40" w:rsidR="009B3915" w:rsidRDefault="009B3915" w:rsidP="009B3915">
      <w:pPr>
        <w:pStyle w:val="Text"/>
        <w:ind w:left="720"/>
        <w:rPr>
          <w:color w:val="000000"/>
        </w:rPr>
      </w:pPr>
      <w:r w:rsidRPr="00241BBF">
        <w:rPr>
          <w:b/>
          <w:bCs/>
          <w:color w:val="000000"/>
        </w:rPr>
        <w:t xml:space="preserve">Email: </w:t>
      </w:r>
      <w:hyperlink r:id="rId10" w:history="1">
        <w:r w:rsidR="00BF1581" w:rsidRPr="00B500B9">
          <w:rPr>
            <w:rStyle w:val="Hyperlink"/>
            <w:rFonts w:cs="Calibri"/>
          </w:rPr>
          <w:t>mlammers@amplify.com</w:t>
        </w:r>
      </w:hyperlink>
      <w:r w:rsidR="00BF1581">
        <w:rPr>
          <w:rFonts w:cs="Calibri"/>
        </w:rPr>
        <w:t xml:space="preserve"> </w:t>
      </w:r>
    </w:p>
    <w:p w14:paraId="7CD079A3" w14:textId="6AD6E061" w:rsidR="009B3915" w:rsidRPr="00241BBF" w:rsidRDefault="009B3915" w:rsidP="009B3915">
      <w:pPr>
        <w:pStyle w:val="Text"/>
        <w:ind w:left="720"/>
        <w:rPr>
          <w:b/>
          <w:bCs/>
          <w:color w:val="000000"/>
        </w:rPr>
      </w:pPr>
      <w:r>
        <w:rPr>
          <w:b/>
          <w:bCs/>
          <w:color w:val="000000"/>
        </w:rPr>
        <w:t xml:space="preserve">Website: </w:t>
      </w:r>
      <w:hyperlink r:id="rId11" w:history="1">
        <w:r w:rsidR="00494DA7" w:rsidRPr="008C533C">
          <w:rPr>
            <w:rStyle w:val="Hyperlink"/>
            <w:rFonts w:cs="Calibri"/>
          </w:rPr>
          <w:t>www.amplify.com</w:t>
        </w:r>
      </w:hyperlink>
      <w:r w:rsidR="00494DA7">
        <w:rPr>
          <w:rFonts w:cs="Calibri"/>
        </w:rPr>
        <w:t xml:space="preserve"> </w:t>
      </w:r>
      <w:r w:rsidR="00BF1581">
        <w:rPr>
          <w:rFonts w:cs="Calibri"/>
        </w:rPr>
        <w:t xml:space="preserve"> </w:t>
      </w:r>
    </w:p>
    <w:p w14:paraId="14702111" w14:textId="77777777" w:rsidR="00494DA7" w:rsidRDefault="00494DA7" w:rsidP="009B3915">
      <w:pPr>
        <w:pStyle w:val="Text"/>
        <w:rPr>
          <w:b/>
          <w:bCs/>
          <w:color w:val="000000"/>
        </w:rPr>
      </w:pPr>
    </w:p>
    <w:p w14:paraId="28173155" w14:textId="77777777" w:rsidR="00494DA7" w:rsidRDefault="00494DA7">
      <w:pPr>
        <w:spacing w:after="0" w:line="240" w:lineRule="auto"/>
        <w:ind w:right="0"/>
        <w:rPr>
          <w:b/>
          <w:bCs/>
          <w:color w:val="000000"/>
        </w:rPr>
      </w:pPr>
      <w:r>
        <w:rPr>
          <w:b/>
          <w:bCs/>
          <w:color w:val="000000"/>
        </w:rPr>
        <w:br w:type="page"/>
      </w:r>
    </w:p>
    <w:p w14:paraId="64D75694" w14:textId="2CB147AB" w:rsidR="009B3915" w:rsidRDefault="009B3915" w:rsidP="009B3915">
      <w:pPr>
        <w:pStyle w:val="Text"/>
        <w:rPr>
          <w:b/>
          <w:bCs/>
          <w:color w:val="000000"/>
        </w:rPr>
      </w:pPr>
      <w:r w:rsidRPr="00241BBF">
        <w:rPr>
          <w:b/>
          <w:bCs/>
          <w:color w:val="000000"/>
        </w:rPr>
        <w:lastRenderedPageBreak/>
        <w:t>Vendor provided summary:</w:t>
      </w:r>
    </w:p>
    <w:p w14:paraId="574DA4F3" w14:textId="77777777" w:rsidR="003F5DCB" w:rsidRDefault="003F5DCB" w:rsidP="003F5DCB">
      <w:pPr>
        <w:autoSpaceDE w:val="0"/>
        <w:autoSpaceDN w:val="0"/>
        <w:adjustRightInd w:val="0"/>
        <w:spacing w:after="0" w:line="240" w:lineRule="auto"/>
        <w:ind w:right="0"/>
        <w:rPr>
          <w:rFonts w:cs="Calibri"/>
        </w:rPr>
      </w:pPr>
      <w:r>
        <w:rPr>
          <w:rFonts w:cs="Calibri"/>
        </w:rPr>
        <w:t>Amplify Caminos is an equitable Spanish language arts program that inspires K–5 students to become confident readers,</w:t>
      </w:r>
    </w:p>
    <w:p w14:paraId="07F8D2FA" w14:textId="5F542FA1" w:rsidR="003F5DCB" w:rsidRDefault="003F5DCB" w:rsidP="003F5DCB">
      <w:pPr>
        <w:autoSpaceDE w:val="0"/>
        <w:autoSpaceDN w:val="0"/>
        <w:adjustRightInd w:val="0"/>
        <w:spacing w:after="0" w:line="240" w:lineRule="auto"/>
        <w:ind w:right="0"/>
        <w:rPr>
          <w:rFonts w:cs="Calibri"/>
        </w:rPr>
      </w:pPr>
      <w:r>
        <w:rPr>
          <w:rFonts w:cs="Calibri"/>
        </w:rPr>
        <w:t>writers, and thinkers. Amplify Caminos is unique because it is built from the ground-up from research-based materials authentic to Spanish literacy. This program was developed by a bilingual team from across the Latin American and</w:t>
      </w:r>
    </w:p>
    <w:p w14:paraId="6FC2762B" w14:textId="77777777" w:rsidR="003F5DCB" w:rsidRDefault="003F5DCB" w:rsidP="003F5DCB">
      <w:pPr>
        <w:autoSpaceDE w:val="0"/>
        <w:autoSpaceDN w:val="0"/>
        <w:adjustRightInd w:val="0"/>
        <w:spacing w:after="0" w:line="240" w:lineRule="auto"/>
        <w:ind w:right="0"/>
        <w:rPr>
          <w:rFonts w:cs="Calibri"/>
        </w:rPr>
      </w:pPr>
      <w:r>
        <w:rPr>
          <w:rFonts w:cs="Calibri"/>
        </w:rPr>
        <w:t>Hispanic diaspora in a concerted effort to create culturally relevant connections for students with diverse backgrounds.</w:t>
      </w:r>
    </w:p>
    <w:p w14:paraId="2AF24FE4" w14:textId="209BD6F2" w:rsidR="003F5DCB" w:rsidRDefault="003F5DCB" w:rsidP="003F5DCB">
      <w:pPr>
        <w:autoSpaceDE w:val="0"/>
        <w:autoSpaceDN w:val="0"/>
        <w:adjustRightInd w:val="0"/>
        <w:spacing w:after="0" w:line="240" w:lineRule="auto"/>
        <w:ind w:right="0"/>
        <w:rPr>
          <w:rFonts w:cs="Calibri"/>
        </w:rPr>
      </w:pPr>
      <w:r>
        <w:rPr>
          <w:rFonts w:cs="Calibri"/>
        </w:rPr>
        <w:t>Amplify Caminos is a student focused program that offers relevant, challenging content, robust digital materials, effective assessments, and extensive support for teachers, students, and their families.</w:t>
      </w:r>
    </w:p>
    <w:p w14:paraId="2CEF9607" w14:textId="77777777" w:rsidR="003F5DCB" w:rsidRDefault="003F5DCB" w:rsidP="003F5DCB">
      <w:pPr>
        <w:autoSpaceDE w:val="0"/>
        <w:autoSpaceDN w:val="0"/>
        <w:adjustRightInd w:val="0"/>
        <w:spacing w:after="0" w:line="240" w:lineRule="auto"/>
        <w:ind w:right="0"/>
        <w:rPr>
          <w:rFonts w:cs="Calibri"/>
        </w:rPr>
      </w:pPr>
      <w:r>
        <w:rPr>
          <w:rFonts w:cs="Calibri"/>
        </w:rPr>
        <w:t>Amplify Caminos has been designed using the frameworks of both the Simple View of Reading and Scarborough’s</w:t>
      </w:r>
    </w:p>
    <w:p w14:paraId="7E5B46DB" w14:textId="77777777" w:rsidR="003F5DCB" w:rsidRDefault="003F5DCB" w:rsidP="003F5DCB">
      <w:pPr>
        <w:autoSpaceDE w:val="0"/>
        <w:autoSpaceDN w:val="0"/>
        <w:adjustRightInd w:val="0"/>
        <w:spacing w:after="0" w:line="240" w:lineRule="auto"/>
        <w:ind w:right="0"/>
        <w:rPr>
          <w:rFonts w:cs="Calibri"/>
        </w:rPr>
      </w:pPr>
      <w:r>
        <w:rPr>
          <w:rFonts w:cs="Calibri"/>
        </w:rPr>
        <w:t>Reading Rope. In Kindergarten through Grade Two the program is organized in two strands, while Grades Three to Five</w:t>
      </w:r>
    </w:p>
    <w:p w14:paraId="0EBA483B" w14:textId="77777777" w:rsidR="003F5DCB" w:rsidRDefault="003F5DCB" w:rsidP="003F5DCB">
      <w:pPr>
        <w:autoSpaceDE w:val="0"/>
        <w:autoSpaceDN w:val="0"/>
        <w:adjustRightInd w:val="0"/>
        <w:spacing w:after="0" w:line="240" w:lineRule="auto"/>
        <w:ind w:right="0"/>
        <w:rPr>
          <w:rFonts w:cs="Calibri"/>
        </w:rPr>
      </w:pPr>
      <w:r>
        <w:rPr>
          <w:rFonts w:cs="Calibri"/>
        </w:rPr>
        <w:t>offer integrated units:</w:t>
      </w:r>
    </w:p>
    <w:p w14:paraId="1B71BEE7" w14:textId="77777777" w:rsidR="003F5DCB" w:rsidRDefault="003F5DCB" w:rsidP="003F5DCB">
      <w:pPr>
        <w:autoSpaceDE w:val="0"/>
        <w:autoSpaceDN w:val="0"/>
        <w:adjustRightInd w:val="0"/>
        <w:spacing w:after="0" w:line="240" w:lineRule="auto"/>
        <w:ind w:right="0"/>
        <w:rPr>
          <w:rFonts w:cs="Calibri"/>
        </w:rPr>
      </w:pPr>
      <w:r>
        <w:rPr>
          <w:rFonts w:cs="Calibri"/>
        </w:rPr>
        <w:t>In Grades K-2, the Knowledge Strand (</w:t>
      </w:r>
      <w:proofErr w:type="spellStart"/>
      <w:r>
        <w:rPr>
          <w:rFonts w:cs="Calibri"/>
        </w:rPr>
        <w:t>Conocimiento</w:t>
      </w:r>
      <w:proofErr w:type="spellEnd"/>
      <w:r>
        <w:rPr>
          <w:rFonts w:cs="Calibri"/>
        </w:rPr>
        <w:t>): develops language comprehension by engaging students in</w:t>
      </w:r>
    </w:p>
    <w:p w14:paraId="48093952" w14:textId="310B58E2" w:rsidR="003F5DCB" w:rsidRDefault="003F5DCB" w:rsidP="003F5DCB">
      <w:pPr>
        <w:autoSpaceDE w:val="0"/>
        <w:autoSpaceDN w:val="0"/>
        <w:adjustRightInd w:val="0"/>
        <w:spacing w:after="0" w:line="240" w:lineRule="auto"/>
        <w:ind w:right="0"/>
        <w:rPr>
          <w:rFonts w:cs="Calibri"/>
        </w:rPr>
      </w:pPr>
      <w:r>
        <w:rPr>
          <w:rFonts w:cs="Calibri"/>
        </w:rPr>
        <w:t>interactive read-aloud texts which build both background knowledge and vocabulary. While students are learning how to</w:t>
      </w:r>
      <w:r w:rsidR="00896B17">
        <w:rPr>
          <w:rFonts w:cs="Calibri"/>
        </w:rPr>
        <w:t xml:space="preserve"> </w:t>
      </w:r>
      <w:r>
        <w:rPr>
          <w:rFonts w:cs="Calibri"/>
        </w:rPr>
        <w:t>read, Knowledge Domains expose students to authentic and engaging texts. Students will explore domains that relate to</w:t>
      </w:r>
    </w:p>
    <w:p w14:paraId="24E8E2AC" w14:textId="77777777" w:rsidR="003F5DCB" w:rsidRDefault="003F5DCB" w:rsidP="003F5DCB">
      <w:pPr>
        <w:autoSpaceDE w:val="0"/>
        <w:autoSpaceDN w:val="0"/>
        <w:adjustRightInd w:val="0"/>
        <w:spacing w:after="0" w:line="240" w:lineRule="auto"/>
        <w:ind w:right="0"/>
        <w:rPr>
          <w:rFonts w:cs="Calibri"/>
        </w:rPr>
      </w:pPr>
      <w:r>
        <w:rPr>
          <w:rFonts w:cs="Calibri"/>
        </w:rPr>
        <w:t>storytelling, science, and the history of our world as seen through the eyes of many different groups. Through complex</w:t>
      </w:r>
    </w:p>
    <w:p w14:paraId="368FEDA2" w14:textId="6909E13B" w:rsidR="003F5DCB" w:rsidRDefault="003F5DCB" w:rsidP="003F5DCB">
      <w:pPr>
        <w:autoSpaceDE w:val="0"/>
        <w:autoSpaceDN w:val="0"/>
        <w:adjustRightInd w:val="0"/>
        <w:spacing w:after="0" w:line="240" w:lineRule="auto"/>
        <w:ind w:right="0"/>
        <w:rPr>
          <w:rFonts w:cs="Calibri"/>
        </w:rPr>
      </w:pPr>
      <w:r>
        <w:rPr>
          <w:rFonts w:cs="Calibri"/>
        </w:rPr>
        <w:t>Read-</w:t>
      </w:r>
      <w:proofErr w:type="spellStart"/>
      <w:r>
        <w:rPr>
          <w:rFonts w:cs="Calibri"/>
        </w:rPr>
        <w:t>Alouds</w:t>
      </w:r>
      <w:proofErr w:type="spellEnd"/>
      <w:r>
        <w:rPr>
          <w:rFonts w:cs="Calibri"/>
        </w:rPr>
        <w:t xml:space="preserve"> with an emphasis on classroom interactivity, oral comprehension, and contextual vocabulary, students start</w:t>
      </w:r>
      <w:r w:rsidR="00896B17">
        <w:rPr>
          <w:rFonts w:cs="Calibri"/>
        </w:rPr>
        <w:t xml:space="preserve"> </w:t>
      </w:r>
      <w:r>
        <w:rPr>
          <w:rFonts w:cs="Calibri"/>
        </w:rPr>
        <w:t>to build their awareness of the world around them—and the way the reading skills they’re building give them access to</w:t>
      </w:r>
    </w:p>
    <w:p w14:paraId="6666AC95" w14:textId="79A306C8" w:rsidR="003F5DCB" w:rsidRDefault="003F5DCB" w:rsidP="003F5DCB">
      <w:pPr>
        <w:autoSpaceDE w:val="0"/>
        <w:autoSpaceDN w:val="0"/>
        <w:adjustRightInd w:val="0"/>
        <w:spacing w:after="0" w:line="240" w:lineRule="auto"/>
        <w:ind w:right="0"/>
        <w:rPr>
          <w:rFonts w:cs="Calibri"/>
        </w:rPr>
      </w:pPr>
      <w:r>
        <w:rPr>
          <w:rFonts w:cs="Calibri"/>
        </w:rPr>
        <w:t xml:space="preserve">it. In Caminos, the grammar, </w:t>
      </w:r>
      <w:proofErr w:type="gramStart"/>
      <w:r>
        <w:rPr>
          <w:rFonts w:cs="Calibri"/>
        </w:rPr>
        <w:t>morphology</w:t>
      </w:r>
      <w:proofErr w:type="gramEnd"/>
      <w:r>
        <w:rPr>
          <w:rFonts w:cs="Calibri"/>
        </w:rPr>
        <w:t xml:space="preserve"> and multiple meaning word activities are focused on the Spanish language</w:t>
      </w:r>
      <w:r w:rsidR="00896B17">
        <w:rPr>
          <w:rFonts w:cs="Calibri"/>
        </w:rPr>
        <w:t xml:space="preserve"> </w:t>
      </w:r>
      <w:r>
        <w:rPr>
          <w:rFonts w:cs="Calibri"/>
        </w:rPr>
        <w:t>specific skills.</w:t>
      </w:r>
    </w:p>
    <w:p w14:paraId="1F982550" w14:textId="1D3AAADE" w:rsidR="003F5DCB" w:rsidRDefault="003F5DCB" w:rsidP="003F5DCB">
      <w:pPr>
        <w:autoSpaceDE w:val="0"/>
        <w:autoSpaceDN w:val="0"/>
        <w:adjustRightInd w:val="0"/>
        <w:spacing w:after="0" w:line="240" w:lineRule="auto"/>
        <w:ind w:right="0"/>
        <w:rPr>
          <w:rFonts w:cs="Calibri"/>
        </w:rPr>
      </w:pPr>
      <w:r>
        <w:rPr>
          <w:rFonts w:cs="Calibri"/>
        </w:rPr>
        <w:t>In Grades K-2, the Skills Strand (</w:t>
      </w:r>
      <w:proofErr w:type="spellStart"/>
      <w:r>
        <w:rPr>
          <w:rFonts w:cs="Calibri"/>
        </w:rPr>
        <w:t>Lectoescritura</w:t>
      </w:r>
      <w:proofErr w:type="spellEnd"/>
      <w:r>
        <w:rPr>
          <w:rFonts w:cs="Calibri"/>
        </w:rPr>
        <w:t>): develops word recognition through explicit and systematic foundational</w:t>
      </w:r>
      <w:r w:rsidR="00896B17">
        <w:rPr>
          <w:rFonts w:cs="Calibri"/>
        </w:rPr>
        <w:t xml:space="preserve"> </w:t>
      </w:r>
      <w:r>
        <w:rPr>
          <w:rFonts w:cs="Calibri"/>
        </w:rPr>
        <w:t>skills instruction in phonological and phonemic awareness, phonics, grammar, and writing. Skills instruction supports</w:t>
      </w:r>
      <w:r w:rsidR="00896B17">
        <w:rPr>
          <w:rFonts w:cs="Calibri"/>
        </w:rPr>
        <w:t xml:space="preserve"> </w:t>
      </w:r>
      <w:r>
        <w:rPr>
          <w:rFonts w:cs="Calibri"/>
        </w:rPr>
        <w:t>students in the development of phonemic awareness, the alphabetic principle, and acquiring mastery of the alphabetic</w:t>
      </w:r>
    </w:p>
    <w:p w14:paraId="5D047BFD" w14:textId="1E4A1565" w:rsidR="00896B17" w:rsidRDefault="003F5DCB" w:rsidP="00896B17">
      <w:pPr>
        <w:autoSpaceDE w:val="0"/>
        <w:autoSpaceDN w:val="0"/>
        <w:adjustRightInd w:val="0"/>
        <w:spacing w:after="0" w:line="240" w:lineRule="auto"/>
        <w:ind w:right="0"/>
        <w:rPr>
          <w:rFonts w:cs="Calibri"/>
        </w:rPr>
      </w:pPr>
      <w:r>
        <w:rPr>
          <w:rFonts w:cs="Calibri"/>
        </w:rPr>
        <w:t>code. This instruction includes multimodal engagement and the use of decodable text to support students in gaining</w:t>
      </w:r>
      <w:r w:rsidR="00896B17">
        <w:rPr>
          <w:rFonts w:cs="Calibri"/>
        </w:rPr>
        <w:t xml:space="preserve"> </w:t>
      </w:r>
      <w:r>
        <w:rPr>
          <w:rFonts w:cs="Calibri"/>
        </w:rPr>
        <w:t>automaticity in word recognition. One of the main characteristics of the Spanish language is its linguistic transparency, as</w:t>
      </w:r>
      <w:r w:rsidR="00896B17" w:rsidRPr="00896B17">
        <w:rPr>
          <w:rFonts w:cs="Calibri"/>
        </w:rPr>
        <w:t xml:space="preserve"> </w:t>
      </w:r>
      <w:r w:rsidR="00896B17">
        <w:rPr>
          <w:rFonts w:cs="Calibri"/>
        </w:rPr>
        <w:t xml:space="preserve">opposed to the opacity in the English Language. Therefore, their foundational skills for reading and writing have important differences that are </w:t>
      </w:r>
      <w:proofErr w:type="gramStart"/>
      <w:r w:rsidR="00896B17">
        <w:rPr>
          <w:rFonts w:cs="Calibri"/>
        </w:rPr>
        <w:t>taken into account</w:t>
      </w:r>
      <w:proofErr w:type="gramEnd"/>
      <w:r w:rsidR="00896B17">
        <w:rPr>
          <w:rFonts w:cs="Calibri"/>
        </w:rPr>
        <w:t xml:space="preserve"> in Caminos </w:t>
      </w:r>
      <w:proofErr w:type="spellStart"/>
      <w:r w:rsidR="00896B17">
        <w:rPr>
          <w:rFonts w:cs="Calibri"/>
        </w:rPr>
        <w:t>Lectoescritura</w:t>
      </w:r>
      <w:proofErr w:type="spellEnd"/>
      <w:r w:rsidR="00896B17">
        <w:rPr>
          <w:rFonts w:cs="Calibri"/>
        </w:rPr>
        <w:t>.</w:t>
      </w:r>
    </w:p>
    <w:p w14:paraId="10157394" w14:textId="77777777" w:rsidR="00896B17" w:rsidRDefault="00896B17" w:rsidP="00896B17">
      <w:pPr>
        <w:autoSpaceDE w:val="0"/>
        <w:autoSpaceDN w:val="0"/>
        <w:adjustRightInd w:val="0"/>
        <w:spacing w:after="0" w:line="240" w:lineRule="auto"/>
        <w:ind w:right="0"/>
        <w:rPr>
          <w:rFonts w:cs="Calibri"/>
        </w:rPr>
      </w:pPr>
      <w:r>
        <w:rPr>
          <w:rFonts w:cs="Calibri"/>
        </w:rPr>
        <w:t>Grade 3-5: offers Skills and Knowledge integrated units that will let students move fluidly between reading, writing,</w:t>
      </w:r>
    </w:p>
    <w:p w14:paraId="79E44B9E" w14:textId="0DF40200" w:rsidR="00D167BF" w:rsidRPr="00D167BF" w:rsidRDefault="00896B17" w:rsidP="00896B17">
      <w:pPr>
        <w:autoSpaceDE w:val="0"/>
        <w:autoSpaceDN w:val="0"/>
        <w:adjustRightInd w:val="0"/>
        <w:spacing w:after="0" w:line="240" w:lineRule="auto"/>
        <w:ind w:right="0"/>
      </w:pPr>
      <w:r>
        <w:rPr>
          <w:rFonts w:cs="Calibri"/>
        </w:rPr>
        <w:t>speaking and listening, and language activities. Through these activities, students continue to build background knowledge, with an increasing emphasis on individual and small group interaction with complex text. Each unit lists target standards, the literacy components addressed throughout the lesson, and formative assessment opportunities.</w:t>
      </w:r>
    </w:p>
    <w:sectPr w:rsidR="00D167BF" w:rsidRPr="00D167BF" w:rsidSect="006D102F">
      <w:headerReference w:type="default" r:id="rId12"/>
      <w:headerReference w:type="first" r:id="rId13"/>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A882" w14:textId="77777777" w:rsidR="006D102F" w:rsidRDefault="006D102F" w:rsidP="00D167BF">
      <w:pPr>
        <w:spacing w:after="0" w:line="240" w:lineRule="auto"/>
      </w:pPr>
      <w:r>
        <w:separator/>
      </w:r>
    </w:p>
  </w:endnote>
  <w:endnote w:type="continuationSeparator" w:id="0">
    <w:p w14:paraId="68B4EBDF" w14:textId="77777777" w:rsidR="006D102F" w:rsidRDefault="006D102F"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56C5" w14:textId="77777777" w:rsidR="006D102F" w:rsidRDefault="006D102F" w:rsidP="00D167BF">
      <w:pPr>
        <w:spacing w:after="0" w:line="240" w:lineRule="auto"/>
      </w:pPr>
      <w:r>
        <w:separator/>
      </w:r>
    </w:p>
  </w:footnote>
  <w:footnote w:type="continuationSeparator" w:id="0">
    <w:p w14:paraId="329F08C4" w14:textId="77777777" w:rsidR="006D102F" w:rsidRDefault="006D102F"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7CF39BD7">
          <wp:simplePos x="0" y="0"/>
          <wp:positionH relativeFrom="column">
            <wp:posOffset>5910580</wp:posOffset>
          </wp:positionH>
          <wp:positionV relativeFrom="paragraph">
            <wp:posOffset>23495</wp:posOffset>
          </wp:positionV>
          <wp:extent cx="979805" cy="415925"/>
          <wp:effectExtent l="0" t="0" r="0" b="0"/>
          <wp:wrapNone/>
          <wp:docPr id="3" name="Picture 4" descr="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2A495D58" w:rsidR="00431BA8" w:rsidRDefault="009B3915">
    <w:pPr>
      <w:pStyle w:val="Header"/>
    </w:pPr>
    <w:r>
      <w:t>Core Program Summary</w:t>
    </w:r>
    <w:r w:rsidR="0050220A">
      <w:t>-</w:t>
    </w:r>
    <w:r w:rsidR="00077FA6">
      <w:t>Amplify Caminos 2022</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8AE7ED8">
              <wp:simplePos x="0" y="0"/>
              <wp:positionH relativeFrom="column">
                <wp:posOffset>0</wp:posOffset>
              </wp:positionH>
              <wp:positionV relativeFrom="paragraph">
                <wp:posOffset>32384</wp:posOffset>
              </wp:positionV>
              <wp:extent cx="688975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8C0038D" id="Straight Connector 5" o:spid="_x0000_s1026" alt="&quot;&quot;"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2B90CF37">
          <wp:simplePos x="0" y="0"/>
          <wp:positionH relativeFrom="column">
            <wp:posOffset>-469265</wp:posOffset>
          </wp:positionH>
          <wp:positionV relativeFrom="paragraph">
            <wp:posOffset>0</wp:posOffset>
          </wp:positionV>
          <wp:extent cx="7809230" cy="1610360"/>
          <wp:effectExtent l="0" t="0" r="0" b="0"/>
          <wp:wrapNone/>
          <wp:docPr id="6" name="Picture 6" descr="Core Program Summary Header&#10;Amplify Education, Inc., Amplify Camino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re Program Summary Header&#10;Amplify Education, Inc., Amplify Caminos, 20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F7F"/>
    <w:multiLevelType w:val="hybridMultilevel"/>
    <w:tmpl w:val="27008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7445D"/>
    <w:multiLevelType w:val="hybridMultilevel"/>
    <w:tmpl w:val="EDF8E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541516">
    <w:abstractNumId w:val="2"/>
  </w:num>
  <w:num w:numId="2" w16cid:durableId="1295914752">
    <w:abstractNumId w:val="0"/>
  </w:num>
  <w:num w:numId="3" w16cid:durableId="1763843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749CD"/>
    <w:rsid w:val="00077FA6"/>
    <w:rsid w:val="000F07D6"/>
    <w:rsid w:val="000F6114"/>
    <w:rsid w:val="0013025E"/>
    <w:rsid w:val="001E41BB"/>
    <w:rsid w:val="002D3E62"/>
    <w:rsid w:val="00391753"/>
    <w:rsid w:val="003F5DCB"/>
    <w:rsid w:val="00431BA8"/>
    <w:rsid w:val="004433C7"/>
    <w:rsid w:val="004752A9"/>
    <w:rsid w:val="00494DA7"/>
    <w:rsid w:val="004D0E4F"/>
    <w:rsid w:val="00501B31"/>
    <w:rsid w:val="0050220A"/>
    <w:rsid w:val="00535F3A"/>
    <w:rsid w:val="005877F1"/>
    <w:rsid w:val="0060452F"/>
    <w:rsid w:val="006229F0"/>
    <w:rsid w:val="0064241A"/>
    <w:rsid w:val="006879FC"/>
    <w:rsid w:val="0069309A"/>
    <w:rsid w:val="006A3AD3"/>
    <w:rsid w:val="006C5E40"/>
    <w:rsid w:val="006D102F"/>
    <w:rsid w:val="0070646C"/>
    <w:rsid w:val="0071158B"/>
    <w:rsid w:val="00753EEB"/>
    <w:rsid w:val="0077233D"/>
    <w:rsid w:val="00785700"/>
    <w:rsid w:val="007866B4"/>
    <w:rsid w:val="00805867"/>
    <w:rsid w:val="0086052E"/>
    <w:rsid w:val="00863B2A"/>
    <w:rsid w:val="008711C4"/>
    <w:rsid w:val="00896B17"/>
    <w:rsid w:val="00996ADB"/>
    <w:rsid w:val="009B3915"/>
    <w:rsid w:val="009C53B6"/>
    <w:rsid w:val="00A15A0B"/>
    <w:rsid w:val="00A37AE5"/>
    <w:rsid w:val="00AA4C44"/>
    <w:rsid w:val="00B13F91"/>
    <w:rsid w:val="00B97B79"/>
    <w:rsid w:val="00BD2C14"/>
    <w:rsid w:val="00BF1581"/>
    <w:rsid w:val="00C3744B"/>
    <w:rsid w:val="00C426F9"/>
    <w:rsid w:val="00C93292"/>
    <w:rsid w:val="00CD18A2"/>
    <w:rsid w:val="00D167BF"/>
    <w:rsid w:val="00D41CDA"/>
    <w:rsid w:val="00D55DD1"/>
    <w:rsid w:val="00DE123D"/>
    <w:rsid w:val="00DE7B5D"/>
    <w:rsid w:val="00E8179F"/>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BF1581"/>
    <w:rPr>
      <w:color w:val="605E5C"/>
      <w:shd w:val="clear" w:color="auto" w:fill="E1DFDD"/>
    </w:rPr>
  </w:style>
  <w:style w:type="paragraph" w:styleId="ListParagraph">
    <w:name w:val="List Paragraph"/>
    <w:basedOn w:val="Normal"/>
    <w:uiPriority w:val="34"/>
    <w:rsid w:val="00BF1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4985">
      <w:bodyDiv w:val="1"/>
      <w:marLeft w:val="0"/>
      <w:marRight w:val="0"/>
      <w:marTop w:val="0"/>
      <w:marBottom w:val="0"/>
      <w:divBdr>
        <w:top w:val="none" w:sz="0" w:space="0" w:color="auto"/>
        <w:left w:val="none" w:sz="0" w:space="0" w:color="auto"/>
        <w:bottom w:val="none" w:sz="0" w:space="0" w:color="auto"/>
        <w:right w:val="none" w:sz="0" w:space="0" w:color="auto"/>
      </w:divBdr>
    </w:div>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637879631">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plif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ammers@amplify.com"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16</cp:revision>
  <dcterms:created xsi:type="dcterms:W3CDTF">2024-02-20T20:53:00Z</dcterms:created>
  <dcterms:modified xsi:type="dcterms:W3CDTF">2024-03-14T22:17:00Z</dcterms:modified>
</cp:coreProperties>
</file>