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A2209E" w14:textId="77777777" w:rsidR="00884B9A" w:rsidRDefault="00884B9A">
      <w:pPr>
        <w:jc w:val="center"/>
        <w:rPr>
          <w:rFonts w:ascii="Roboto Light" w:eastAsia="Roboto Light" w:hAnsi="Roboto Light" w:cs="Roboto Light"/>
          <w:i/>
          <w:sz w:val="18"/>
          <w:szCs w:val="18"/>
          <w:highlight w:val="yellow"/>
        </w:rPr>
      </w:pPr>
    </w:p>
    <w:p w14:paraId="49CA175A" w14:textId="77777777" w:rsidR="00884B9A" w:rsidRDefault="009B412C">
      <w:pPr>
        <w:jc w:val="center"/>
        <w:rPr>
          <w:rFonts w:ascii="Roboto Light" w:eastAsia="Roboto Light" w:hAnsi="Roboto Light" w:cs="Roboto Light"/>
          <w:i/>
          <w:sz w:val="16"/>
          <w:szCs w:val="16"/>
        </w:rPr>
      </w:pPr>
      <w:r>
        <w:rPr>
          <w:rFonts w:ascii="Roboto Light" w:eastAsia="Roboto Light" w:hAnsi="Roboto Light" w:cs="Roboto Light"/>
          <w:i/>
          <w:sz w:val="16"/>
          <w:szCs w:val="16"/>
        </w:rPr>
        <w:t xml:space="preserve">“The teacher is of course an </w:t>
      </w:r>
      <w:proofErr w:type="gramStart"/>
      <w:r>
        <w:rPr>
          <w:rFonts w:ascii="Roboto Light" w:eastAsia="Roboto Light" w:hAnsi="Roboto Light" w:cs="Roboto Light"/>
          <w:i/>
          <w:sz w:val="16"/>
          <w:szCs w:val="16"/>
        </w:rPr>
        <w:t>artist, but</w:t>
      </w:r>
      <w:proofErr w:type="gramEnd"/>
      <w:r>
        <w:rPr>
          <w:rFonts w:ascii="Roboto Light" w:eastAsia="Roboto Light" w:hAnsi="Roboto Light" w:cs="Roboto Light"/>
          <w:i/>
          <w:sz w:val="16"/>
          <w:szCs w:val="16"/>
        </w:rPr>
        <w:t xml:space="preserve"> being an artist does not mean that he or she can make the profile, can shape the students. What the educator does in teaching is to make it possible for the students to become themselves.”</w:t>
      </w:r>
    </w:p>
    <w:p w14:paraId="68EEBC3F" w14:textId="77777777" w:rsidR="00884B9A" w:rsidRDefault="009B412C">
      <w:pPr>
        <w:jc w:val="center"/>
        <w:rPr>
          <w:rFonts w:ascii="Roboto Light" w:eastAsia="Roboto Light" w:hAnsi="Roboto Light" w:cs="Roboto Light"/>
          <w:sz w:val="16"/>
          <w:szCs w:val="16"/>
        </w:rPr>
      </w:pPr>
      <w:r>
        <w:rPr>
          <w:rFonts w:ascii="Roboto Light" w:eastAsia="Roboto Light" w:hAnsi="Roboto Light" w:cs="Roboto Light"/>
          <w:sz w:val="16"/>
          <w:szCs w:val="16"/>
        </w:rPr>
        <w:t>—Paulo Freire</w:t>
      </w:r>
    </w:p>
    <w:p w14:paraId="29B8B3F3" w14:textId="77777777" w:rsidR="00884B9A" w:rsidRDefault="00884B9A">
      <w:pPr>
        <w:jc w:val="center"/>
        <w:rPr>
          <w:rFonts w:ascii="Roboto Light" w:eastAsia="Roboto Light" w:hAnsi="Roboto Light" w:cs="Roboto Light"/>
          <w:sz w:val="14"/>
          <w:szCs w:val="14"/>
        </w:rPr>
      </w:pPr>
    </w:p>
    <w:tbl>
      <w:tblPr>
        <w:tblStyle w:val="a"/>
        <w:tblW w:w="9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465"/>
      </w:tblGrid>
      <w:tr w:rsidR="00884B9A" w14:paraId="5619AC50" w14:textId="77777777">
        <w:tc>
          <w:tcPr>
            <w:tcW w:w="2775" w:type="dxa"/>
            <w:shd w:val="clear" w:color="auto" w:fill="455FA9"/>
            <w:tcMar>
              <w:top w:w="100" w:type="dxa"/>
              <w:left w:w="100" w:type="dxa"/>
              <w:bottom w:w="100" w:type="dxa"/>
              <w:right w:w="100" w:type="dxa"/>
            </w:tcMar>
          </w:tcPr>
          <w:p w14:paraId="2DDC3CCE" w14:textId="77777777" w:rsidR="00884B9A" w:rsidRDefault="009B412C">
            <w:pPr>
              <w:widowControl w:val="0"/>
              <w:spacing w:line="240" w:lineRule="auto"/>
              <w:rPr>
                <w:rFonts w:ascii="Roboto" w:eastAsia="Roboto" w:hAnsi="Roboto" w:cs="Roboto"/>
                <w:b/>
                <w:color w:val="FFFFFF"/>
              </w:rPr>
            </w:pPr>
            <w:r>
              <w:rPr>
                <w:rFonts w:ascii="Roboto" w:eastAsia="Roboto" w:hAnsi="Roboto" w:cs="Roboto"/>
                <w:b/>
                <w:color w:val="FFFFFF"/>
              </w:rPr>
              <w:t>Primary Res</w:t>
            </w:r>
            <w:r>
              <w:rPr>
                <w:rFonts w:ascii="Roboto" w:eastAsia="Roboto" w:hAnsi="Roboto" w:cs="Roboto"/>
                <w:b/>
                <w:color w:val="FFFFFF"/>
              </w:rPr>
              <w:t>ources</w:t>
            </w:r>
          </w:p>
        </w:tc>
        <w:tc>
          <w:tcPr>
            <w:tcW w:w="6465" w:type="dxa"/>
            <w:shd w:val="clear" w:color="auto" w:fill="455FA9"/>
            <w:tcMar>
              <w:top w:w="100" w:type="dxa"/>
              <w:left w:w="100" w:type="dxa"/>
              <w:bottom w:w="100" w:type="dxa"/>
              <w:right w:w="100" w:type="dxa"/>
            </w:tcMar>
          </w:tcPr>
          <w:p w14:paraId="75158845" w14:textId="77777777" w:rsidR="00884B9A" w:rsidRDefault="009B412C">
            <w:pPr>
              <w:widowControl w:val="0"/>
              <w:spacing w:line="240" w:lineRule="auto"/>
              <w:rPr>
                <w:rFonts w:ascii="Roboto" w:eastAsia="Roboto" w:hAnsi="Roboto" w:cs="Roboto"/>
                <w:b/>
                <w:color w:val="FFFFFF"/>
              </w:rPr>
            </w:pPr>
            <w:r>
              <w:rPr>
                <w:rFonts w:ascii="Roboto" w:eastAsia="Roboto" w:hAnsi="Roboto" w:cs="Roboto"/>
                <w:b/>
                <w:color w:val="FFFFFF"/>
              </w:rPr>
              <w:t>Description</w:t>
            </w:r>
          </w:p>
        </w:tc>
      </w:tr>
      <w:tr w:rsidR="00884B9A" w14:paraId="1E1C706E" w14:textId="77777777">
        <w:tc>
          <w:tcPr>
            <w:tcW w:w="2775" w:type="dxa"/>
            <w:shd w:val="clear" w:color="auto" w:fill="auto"/>
            <w:tcMar>
              <w:top w:w="100" w:type="dxa"/>
              <w:left w:w="100" w:type="dxa"/>
              <w:bottom w:w="100" w:type="dxa"/>
              <w:right w:w="100" w:type="dxa"/>
            </w:tcMar>
          </w:tcPr>
          <w:p w14:paraId="31F44C9C" w14:textId="77777777" w:rsidR="00884B9A" w:rsidRDefault="009B412C">
            <w:pPr>
              <w:widowControl w:val="0"/>
              <w:pBdr>
                <w:top w:val="nil"/>
                <w:left w:val="nil"/>
                <w:bottom w:val="nil"/>
                <w:right w:val="nil"/>
                <w:between w:val="nil"/>
              </w:pBdr>
              <w:spacing w:line="240" w:lineRule="auto"/>
              <w:rPr>
                <w:rFonts w:ascii="Roboto" w:eastAsia="Roboto" w:hAnsi="Roboto" w:cs="Roboto"/>
                <w:sz w:val="20"/>
                <w:szCs w:val="20"/>
              </w:rPr>
            </w:pPr>
            <w:hyperlink r:id="rId6">
              <w:r>
                <w:rPr>
                  <w:rFonts w:ascii="Roboto" w:eastAsia="Roboto" w:hAnsi="Roboto" w:cs="Roboto"/>
                  <w:color w:val="1155CC"/>
                  <w:sz w:val="20"/>
                  <w:szCs w:val="20"/>
                  <w:u w:val="single"/>
                </w:rPr>
                <w:t>Presentation Slides</w:t>
              </w:r>
            </w:hyperlink>
          </w:p>
        </w:tc>
        <w:tc>
          <w:tcPr>
            <w:tcW w:w="6465" w:type="dxa"/>
            <w:shd w:val="clear" w:color="auto" w:fill="FFFFFF"/>
            <w:tcMar>
              <w:top w:w="100" w:type="dxa"/>
              <w:left w:w="100" w:type="dxa"/>
              <w:bottom w:w="100" w:type="dxa"/>
              <w:right w:w="100" w:type="dxa"/>
            </w:tcMar>
          </w:tcPr>
          <w:p w14:paraId="042BC475"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 xml:space="preserve"> Pdf version of today’s presentation</w:t>
            </w:r>
          </w:p>
        </w:tc>
      </w:tr>
      <w:tr w:rsidR="00884B9A" w14:paraId="47E264B8" w14:textId="77777777">
        <w:tc>
          <w:tcPr>
            <w:tcW w:w="2775" w:type="dxa"/>
            <w:shd w:val="clear" w:color="auto" w:fill="auto"/>
            <w:tcMar>
              <w:top w:w="100" w:type="dxa"/>
              <w:left w:w="100" w:type="dxa"/>
              <w:bottom w:w="100" w:type="dxa"/>
              <w:right w:w="100" w:type="dxa"/>
            </w:tcMar>
          </w:tcPr>
          <w:p w14:paraId="44120114" w14:textId="77777777" w:rsidR="00884B9A" w:rsidRDefault="009B412C">
            <w:pPr>
              <w:widowControl w:val="0"/>
              <w:spacing w:line="240" w:lineRule="auto"/>
              <w:rPr>
                <w:rFonts w:ascii="Roboto" w:eastAsia="Roboto" w:hAnsi="Roboto" w:cs="Roboto"/>
                <w:sz w:val="20"/>
                <w:szCs w:val="20"/>
              </w:rPr>
            </w:pPr>
            <w:hyperlink r:id="rId7">
              <w:r>
                <w:rPr>
                  <w:rFonts w:ascii="Roboto" w:eastAsia="Roboto" w:hAnsi="Roboto" w:cs="Roboto"/>
                  <w:color w:val="1155CC"/>
                  <w:sz w:val="20"/>
                  <w:szCs w:val="20"/>
                  <w:u w:val="single"/>
                </w:rPr>
                <w:t>60-Day Program Improvement Cycle</w:t>
              </w:r>
            </w:hyperlink>
          </w:p>
        </w:tc>
        <w:tc>
          <w:tcPr>
            <w:tcW w:w="6465" w:type="dxa"/>
            <w:shd w:val="clear" w:color="auto" w:fill="FFFFFF"/>
            <w:tcMar>
              <w:top w:w="100" w:type="dxa"/>
              <w:left w:w="100" w:type="dxa"/>
              <w:bottom w:w="100" w:type="dxa"/>
              <w:right w:w="100" w:type="dxa"/>
            </w:tcMar>
          </w:tcPr>
          <w:p w14:paraId="01C0434C"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Tool to guide short cycle school program improvement with a focus on implementation monitoring</w:t>
            </w:r>
          </w:p>
        </w:tc>
      </w:tr>
      <w:tr w:rsidR="00884B9A" w14:paraId="4EEBE0FB" w14:textId="77777777">
        <w:tc>
          <w:tcPr>
            <w:tcW w:w="2775" w:type="dxa"/>
            <w:shd w:val="clear" w:color="auto" w:fill="auto"/>
            <w:tcMar>
              <w:top w:w="100" w:type="dxa"/>
              <w:left w:w="100" w:type="dxa"/>
              <w:bottom w:w="100" w:type="dxa"/>
              <w:right w:w="100" w:type="dxa"/>
            </w:tcMar>
          </w:tcPr>
          <w:p w14:paraId="533EC3D5" w14:textId="77777777" w:rsidR="00884B9A" w:rsidRDefault="009B412C">
            <w:pPr>
              <w:widowControl w:val="0"/>
              <w:spacing w:line="240" w:lineRule="auto"/>
              <w:rPr>
                <w:rFonts w:ascii="Roboto" w:eastAsia="Roboto" w:hAnsi="Roboto" w:cs="Roboto"/>
                <w:sz w:val="20"/>
                <w:szCs w:val="20"/>
              </w:rPr>
            </w:pPr>
            <w:hyperlink r:id="rId8">
              <w:r>
                <w:rPr>
                  <w:rFonts w:ascii="Roboto" w:eastAsia="Roboto" w:hAnsi="Roboto" w:cs="Roboto"/>
                  <w:color w:val="1155CC"/>
                  <w:sz w:val="20"/>
                  <w:szCs w:val="20"/>
                  <w:u w:val="single"/>
                </w:rPr>
                <w:t>ICEL-RIOT Matrix</w:t>
              </w:r>
            </w:hyperlink>
          </w:p>
        </w:tc>
        <w:tc>
          <w:tcPr>
            <w:tcW w:w="6465" w:type="dxa"/>
            <w:shd w:val="clear" w:color="auto" w:fill="FFFFFF"/>
            <w:tcMar>
              <w:top w:w="100" w:type="dxa"/>
              <w:left w:w="100" w:type="dxa"/>
              <w:bottom w:w="100" w:type="dxa"/>
              <w:right w:w="100" w:type="dxa"/>
            </w:tcMar>
          </w:tcPr>
          <w:p w14:paraId="29EB9CD2"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Tool to provide guidance around data sources for school improvement activities</w:t>
            </w:r>
          </w:p>
        </w:tc>
      </w:tr>
      <w:tr w:rsidR="00884B9A" w14:paraId="3D901B5E" w14:textId="77777777">
        <w:tc>
          <w:tcPr>
            <w:tcW w:w="2775" w:type="dxa"/>
            <w:shd w:val="clear" w:color="auto" w:fill="auto"/>
            <w:tcMar>
              <w:top w:w="100" w:type="dxa"/>
              <w:left w:w="100" w:type="dxa"/>
              <w:bottom w:w="100" w:type="dxa"/>
              <w:right w:w="100" w:type="dxa"/>
            </w:tcMar>
          </w:tcPr>
          <w:p w14:paraId="4A22DBF8" w14:textId="77777777" w:rsidR="00884B9A" w:rsidRDefault="009B412C">
            <w:pPr>
              <w:widowControl w:val="0"/>
              <w:pBdr>
                <w:top w:val="nil"/>
                <w:left w:val="nil"/>
                <w:bottom w:val="nil"/>
                <w:right w:val="nil"/>
                <w:between w:val="nil"/>
              </w:pBdr>
              <w:spacing w:line="240" w:lineRule="auto"/>
              <w:rPr>
                <w:rFonts w:ascii="Roboto" w:eastAsia="Roboto" w:hAnsi="Roboto" w:cs="Roboto"/>
                <w:sz w:val="20"/>
                <w:szCs w:val="20"/>
              </w:rPr>
            </w:pPr>
            <w:hyperlink r:id="rId9">
              <w:r>
                <w:rPr>
                  <w:rFonts w:ascii="Roboto" w:eastAsia="Roboto" w:hAnsi="Roboto" w:cs="Roboto"/>
                  <w:color w:val="1155CC"/>
                  <w:sz w:val="20"/>
                  <w:szCs w:val="20"/>
                  <w:u w:val="single"/>
                </w:rPr>
                <w:t>Implementer Focus Tool</w:t>
              </w:r>
            </w:hyperlink>
          </w:p>
        </w:tc>
        <w:tc>
          <w:tcPr>
            <w:tcW w:w="6465" w:type="dxa"/>
            <w:shd w:val="clear" w:color="auto" w:fill="FFFFFF"/>
            <w:tcMar>
              <w:top w:w="100" w:type="dxa"/>
              <w:left w:w="100" w:type="dxa"/>
              <w:bottom w:w="100" w:type="dxa"/>
              <w:right w:w="100" w:type="dxa"/>
            </w:tcMar>
          </w:tcPr>
          <w:p w14:paraId="365D8A51"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Tool that provides guiding questions to help illuminate needs of adults who will be implementing school programming change.</w:t>
            </w:r>
          </w:p>
        </w:tc>
      </w:tr>
    </w:tbl>
    <w:p w14:paraId="5C76CC19" w14:textId="77777777" w:rsidR="00884B9A" w:rsidRDefault="00884B9A"/>
    <w:tbl>
      <w:tblPr>
        <w:tblStyle w:val="a0"/>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5"/>
        <w:gridCol w:w="6360"/>
      </w:tblGrid>
      <w:tr w:rsidR="00884B9A" w14:paraId="71667206" w14:textId="77777777">
        <w:tc>
          <w:tcPr>
            <w:tcW w:w="2775" w:type="dxa"/>
            <w:shd w:val="clear" w:color="auto" w:fill="455FA9"/>
            <w:tcMar>
              <w:top w:w="100" w:type="dxa"/>
              <w:left w:w="100" w:type="dxa"/>
              <w:bottom w:w="100" w:type="dxa"/>
              <w:right w:w="100" w:type="dxa"/>
            </w:tcMar>
          </w:tcPr>
          <w:p w14:paraId="5480CAF3" w14:textId="77777777" w:rsidR="00884B9A" w:rsidRDefault="009B412C">
            <w:pPr>
              <w:rPr>
                <w:rFonts w:ascii="Roboto" w:eastAsia="Roboto" w:hAnsi="Roboto" w:cs="Roboto"/>
                <w:b/>
                <w:color w:val="FFFFFF"/>
              </w:rPr>
            </w:pPr>
            <w:r>
              <w:rPr>
                <w:rFonts w:ascii="Roboto" w:eastAsia="Roboto" w:hAnsi="Roboto" w:cs="Roboto"/>
                <w:b/>
                <w:color w:val="FFFFFF"/>
              </w:rPr>
              <w:t>Additional Resources</w:t>
            </w:r>
          </w:p>
        </w:tc>
        <w:tc>
          <w:tcPr>
            <w:tcW w:w="6360" w:type="dxa"/>
            <w:shd w:val="clear" w:color="auto" w:fill="455FA9"/>
            <w:tcMar>
              <w:top w:w="100" w:type="dxa"/>
              <w:left w:w="100" w:type="dxa"/>
              <w:bottom w:w="100" w:type="dxa"/>
              <w:right w:w="100" w:type="dxa"/>
            </w:tcMar>
          </w:tcPr>
          <w:p w14:paraId="6BF6AD62" w14:textId="77777777" w:rsidR="00884B9A" w:rsidRDefault="009B412C">
            <w:pPr>
              <w:spacing w:line="240" w:lineRule="auto"/>
              <w:rPr>
                <w:rFonts w:ascii="Roboto" w:eastAsia="Roboto" w:hAnsi="Roboto" w:cs="Roboto"/>
                <w:b/>
                <w:color w:val="FFFFFF"/>
              </w:rPr>
            </w:pPr>
            <w:r>
              <w:rPr>
                <w:rFonts w:ascii="Roboto" w:eastAsia="Roboto" w:hAnsi="Roboto" w:cs="Roboto"/>
                <w:b/>
                <w:color w:val="FFFFFF"/>
              </w:rPr>
              <w:t>Description</w:t>
            </w:r>
          </w:p>
        </w:tc>
      </w:tr>
      <w:tr w:rsidR="00884B9A" w14:paraId="1582E3C0" w14:textId="77777777">
        <w:tc>
          <w:tcPr>
            <w:tcW w:w="2775" w:type="dxa"/>
            <w:shd w:val="clear" w:color="auto" w:fill="auto"/>
            <w:tcMar>
              <w:top w:w="100" w:type="dxa"/>
              <w:left w:w="100" w:type="dxa"/>
              <w:bottom w:w="100" w:type="dxa"/>
              <w:right w:w="100" w:type="dxa"/>
            </w:tcMar>
          </w:tcPr>
          <w:p w14:paraId="02313FE7" w14:textId="77777777" w:rsidR="00884B9A" w:rsidRDefault="009B412C">
            <w:pPr>
              <w:widowControl w:val="0"/>
              <w:spacing w:line="240" w:lineRule="auto"/>
              <w:rPr>
                <w:rFonts w:ascii="Roboto" w:eastAsia="Roboto" w:hAnsi="Roboto" w:cs="Roboto"/>
                <w:sz w:val="20"/>
                <w:szCs w:val="20"/>
              </w:rPr>
            </w:pPr>
            <w:hyperlink r:id="rId10">
              <w:r>
                <w:rPr>
                  <w:rFonts w:ascii="Roboto" w:eastAsia="Roboto" w:hAnsi="Roboto" w:cs="Roboto"/>
                  <w:color w:val="1155CC"/>
                  <w:sz w:val="20"/>
                  <w:szCs w:val="20"/>
                  <w:u w:val="single"/>
                </w:rPr>
                <w:t>CDE Charter School Topic-Based Webinars</w:t>
              </w:r>
            </w:hyperlink>
          </w:p>
        </w:tc>
        <w:tc>
          <w:tcPr>
            <w:tcW w:w="6360" w:type="dxa"/>
            <w:shd w:val="clear" w:color="auto" w:fill="FFFFFF"/>
            <w:tcMar>
              <w:top w:w="100" w:type="dxa"/>
              <w:left w:w="100" w:type="dxa"/>
              <w:bottom w:w="100" w:type="dxa"/>
              <w:right w:w="100" w:type="dxa"/>
            </w:tcMar>
          </w:tcPr>
          <w:p w14:paraId="366D2DCD"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Includes links for this, and other webinars and materials in this series.</w:t>
            </w:r>
          </w:p>
        </w:tc>
      </w:tr>
      <w:tr w:rsidR="00884B9A" w14:paraId="2DD7AC1E" w14:textId="77777777">
        <w:tc>
          <w:tcPr>
            <w:tcW w:w="2775" w:type="dxa"/>
            <w:shd w:val="clear" w:color="auto" w:fill="auto"/>
            <w:tcMar>
              <w:top w:w="100" w:type="dxa"/>
              <w:left w:w="100" w:type="dxa"/>
              <w:bottom w:w="100" w:type="dxa"/>
              <w:right w:w="100" w:type="dxa"/>
            </w:tcMar>
          </w:tcPr>
          <w:p w14:paraId="5967F1CC" w14:textId="77777777" w:rsidR="00884B9A" w:rsidRDefault="009B412C">
            <w:pPr>
              <w:widowControl w:val="0"/>
              <w:spacing w:line="240" w:lineRule="auto"/>
              <w:rPr>
                <w:rFonts w:ascii="Roboto" w:eastAsia="Roboto" w:hAnsi="Roboto" w:cs="Roboto"/>
                <w:sz w:val="20"/>
                <w:szCs w:val="20"/>
              </w:rPr>
            </w:pPr>
            <w:hyperlink r:id="rId11">
              <w:r>
                <w:rPr>
                  <w:rFonts w:ascii="Roboto" w:eastAsia="Roboto" w:hAnsi="Roboto" w:cs="Roboto"/>
                  <w:color w:val="1155CC"/>
                  <w:sz w:val="20"/>
                  <w:szCs w:val="20"/>
                  <w:u w:val="single"/>
                </w:rPr>
                <w:t>National Equity Project</w:t>
              </w:r>
            </w:hyperlink>
          </w:p>
        </w:tc>
        <w:tc>
          <w:tcPr>
            <w:tcW w:w="6360" w:type="dxa"/>
            <w:shd w:val="clear" w:color="auto" w:fill="FFFFFF"/>
            <w:tcMar>
              <w:top w:w="100" w:type="dxa"/>
              <w:left w:w="100" w:type="dxa"/>
              <w:bottom w:w="100" w:type="dxa"/>
              <w:right w:w="100" w:type="dxa"/>
            </w:tcMar>
          </w:tcPr>
          <w:p w14:paraId="03B41008"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 xml:space="preserve">Non-profit that focuses on leadership and systems change. Provides many free resources including tools, </w:t>
            </w:r>
            <w:proofErr w:type="gramStart"/>
            <w:r>
              <w:rPr>
                <w:rFonts w:ascii="Roboto Light" w:eastAsia="Roboto Light" w:hAnsi="Roboto Light" w:cs="Roboto Light"/>
                <w:sz w:val="20"/>
                <w:szCs w:val="20"/>
              </w:rPr>
              <w:t>frameworks</w:t>
            </w:r>
            <w:proofErr w:type="gramEnd"/>
            <w:r>
              <w:rPr>
                <w:rFonts w:ascii="Roboto Light" w:eastAsia="Roboto Light" w:hAnsi="Roboto Light" w:cs="Roboto Light"/>
                <w:sz w:val="20"/>
                <w:szCs w:val="20"/>
              </w:rPr>
              <w:t xml:space="preserve"> and articles.</w:t>
            </w:r>
          </w:p>
        </w:tc>
      </w:tr>
      <w:tr w:rsidR="00884B9A" w14:paraId="68CF6FBC" w14:textId="77777777">
        <w:tc>
          <w:tcPr>
            <w:tcW w:w="2775" w:type="dxa"/>
            <w:shd w:val="clear" w:color="auto" w:fill="auto"/>
            <w:tcMar>
              <w:top w:w="100" w:type="dxa"/>
              <w:left w:w="100" w:type="dxa"/>
              <w:bottom w:w="100" w:type="dxa"/>
              <w:right w:w="100" w:type="dxa"/>
            </w:tcMar>
          </w:tcPr>
          <w:p w14:paraId="45F2D0FE" w14:textId="77777777" w:rsidR="00884B9A" w:rsidRDefault="009B412C">
            <w:pPr>
              <w:widowControl w:val="0"/>
              <w:spacing w:line="240" w:lineRule="auto"/>
              <w:rPr>
                <w:rFonts w:ascii="Roboto" w:eastAsia="Roboto" w:hAnsi="Roboto" w:cs="Roboto"/>
                <w:sz w:val="20"/>
                <w:szCs w:val="20"/>
              </w:rPr>
            </w:pPr>
            <w:hyperlink r:id="rId12">
              <w:proofErr w:type="spellStart"/>
              <w:r>
                <w:rPr>
                  <w:rFonts w:ascii="Roboto" w:eastAsia="Roboto" w:hAnsi="Roboto" w:cs="Roboto"/>
                  <w:color w:val="1155CC"/>
                  <w:sz w:val="20"/>
                  <w:szCs w:val="20"/>
                  <w:u w:val="single"/>
                </w:rPr>
                <w:t>Casteñedas</w:t>
              </w:r>
              <w:proofErr w:type="spellEnd"/>
              <w:r>
                <w:rPr>
                  <w:rFonts w:ascii="Roboto" w:eastAsia="Roboto" w:hAnsi="Roboto" w:cs="Roboto"/>
                  <w:color w:val="1155CC"/>
                  <w:sz w:val="20"/>
                  <w:szCs w:val="20"/>
                  <w:u w:val="single"/>
                </w:rPr>
                <w:t xml:space="preserve"> v. Pickard - Oral History with </w:t>
              </w:r>
              <w:proofErr w:type="spellStart"/>
              <w:r>
                <w:rPr>
                  <w:rFonts w:ascii="Roboto" w:eastAsia="Roboto" w:hAnsi="Roboto" w:cs="Roboto"/>
                  <w:color w:val="1155CC"/>
                  <w:sz w:val="20"/>
                  <w:szCs w:val="20"/>
                  <w:u w:val="single"/>
                </w:rPr>
                <w:t>Castenedas</w:t>
              </w:r>
              <w:proofErr w:type="spellEnd"/>
              <w:r>
                <w:rPr>
                  <w:rFonts w:ascii="Roboto" w:eastAsia="Roboto" w:hAnsi="Roboto" w:cs="Roboto"/>
                  <w:color w:val="1155CC"/>
                  <w:sz w:val="20"/>
                  <w:szCs w:val="20"/>
                  <w:u w:val="single"/>
                </w:rPr>
                <w:t xml:space="preserve"> Family</w:t>
              </w:r>
            </w:hyperlink>
          </w:p>
        </w:tc>
        <w:tc>
          <w:tcPr>
            <w:tcW w:w="6360" w:type="dxa"/>
            <w:shd w:val="clear" w:color="auto" w:fill="FFFFFF"/>
            <w:tcMar>
              <w:top w:w="100" w:type="dxa"/>
              <w:left w:w="100" w:type="dxa"/>
              <w:bottom w:w="100" w:type="dxa"/>
              <w:right w:w="100" w:type="dxa"/>
            </w:tcMar>
          </w:tcPr>
          <w:p w14:paraId="0F486ECD"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 xml:space="preserve">The Center for Bilingual Studies had an oral history interview with Pamela Castaneda, Flora G. Castaneda, Victor </w:t>
            </w:r>
            <w:proofErr w:type="spellStart"/>
            <w:r>
              <w:rPr>
                <w:rFonts w:ascii="Roboto Light" w:eastAsia="Roboto Light" w:hAnsi="Roboto Light" w:cs="Roboto Light"/>
                <w:sz w:val="20"/>
                <w:szCs w:val="20"/>
              </w:rPr>
              <w:t>Rubalcava</w:t>
            </w:r>
            <w:proofErr w:type="spellEnd"/>
            <w:r>
              <w:rPr>
                <w:rFonts w:ascii="Roboto Light" w:eastAsia="Roboto Light" w:hAnsi="Roboto Light" w:cs="Roboto Light"/>
                <w:sz w:val="20"/>
                <w:szCs w:val="20"/>
              </w:rPr>
              <w:t>, and David G. Hall.</w:t>
            </w:r>
          </w:p>
        </w:tc>
      </w:tr>
      <w:tr w:rsidR="00884B9A" w14:paraId="64E2A2BA" w14:textId="77777777">
        <w:tc>
          <w:tcPr>
            <w:tcW w:w="2775" w:type="dxa"/>
            <w:shd w:val="clear" w:color="auto" w:fill="auto"/>
            <w:tcMar>
              <w:top w:w="100" w:type="dxa"/>
              <w:left w:w="100" w:type="dxa"/>
              <w:bottom w:w="100" w:type="dxa"/>
              <w:right w:w="100" w:type="dxa"/>
            </w:tcMar>
          </w:tcPr>
          <w:p w14:paraId="78FE6126" w14:textId="77777777" w:rsidR="00884B9A" w:rsidRDefault="009B412C">
            <w:pPr>
              <w:widowControl w:val="0"/>
              <w:spacing w:line="240" w:lineRule="auto"/>
              <w:rPr>
                <w:rFonts w:ascii="Roboto" w:eastAsia="Roboto" w:hAnsi="Roboto" w:cs="Roboto"/>
                <w:sz w:val="20"/>
                <w:szCs w:val="20"/>
              </w:rPr>
            </w:pPr>
            <w:hyperlink r:id="rId13">
              <w:r>
                <w:rPr>
                  <w:rFonts w:ascii="Roboto" w:eastAsia="Roboto" w:hAnsi="Roboto" w:cs="Roboto"/>
                  <w:color w:val="1155CC"/>
                  <w:sz w:val="20"/>
                  <w:szCs w:val="20"/>
                  <w:u w:val="single"/>
                </w:rPr>
                <w:t xml:space="preserve">The problem with that equity vs. equality graphic </w:t>
              </w:r>
              <w:proofErr w:type="gramStart"/>
              <w:r>
                <w:rPr>
                  <w:rFonts w:ascii="Roboto" w:eastAsia="Roboto" w:hAnsi="Roboto" w:cs="Roboto"/>
                  <w:color w:val="1155CC"/>
                  <w:sz w:val="20"/>
                  <w:szCs w:val="20"/>
                  <w:u w:val="single"/>
                </w:rPr>
                <w:t>you’re</w:t>
              </w:r>
              <w:proofErr w:type="gramEnd"/>
              <w:r>
                <w:rPr>
                  <w:rFonts w:ascii="Roboto" w:eastAsia="Roboto" w:hAnsi="Roboto" w:cs="Roboto"/>
                  <w:color w:val="1155CC"/>
                  <w:sz w:val="20"/>
                  <w:szCs w:val="20"/>
                  <w:u w:val="single"/>
                </w:rPr>
                <w:t xml:space="preserve"> using</w:t>
              </w:r>
            </w:hyperlink>
          </w:p>
        </w:tc>
        <w:tc>
          <w:tcPr>
            <w:tcW w:w="6360" w:type="dxa"/>
            <w:shd w:val="clear" w:color="auto" w:fill="FFFFFF"/>
            <w:tcMar>
              <w:top w:w="100" w:type="dxa"/>
              <w:left w:w="100" w:type="dxa"/>
              <w:bottom w:w="100" w:type="dxa"/>
              <w:right w:w="100" w:type="dxa"/>
            </w:tcMar>
          </w:tcPr>
          <w:p w14:paraId="51E1F78C"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Artist’s description and discussion of equity vs equality cartoons.</w:t>
            </w:r>
          </w:p>
        </w:tc>
      </w:tr>
      <w:tr w:rsidR="00884B9A" w14:paraId="691E7599" w14:textId="77777777">
        <w:tc>
          <w:tcPr>
            <w:tcW w:w="2775" w:type="dxa"/>
            <w:shd w:val="clear" w:color="auto" w:fill="auto"/>
            <w:tcMar>
              <w:top w:w="100" w:type="dxa"/>
              <w:left w:w="100" w:type="dxa"/>
              <w:bottom w:w="100" w:type="dxa"/>
              <w:right w:w="100" w:type="dxa"/>
            </w:tcMar>
          </w:tcPr>
          <w:p w14:paraId="6589B6D9" w14:textId="77777777" w:rsidR="00884B9A" w:rsidRDefault="009B412C">
            <w:pPr>
              <w:widowControl w:val="0"/>
              <w:spacing w:line="240" w:lineRule="auto"/>
              <w:rPr>
                <w:rFonts w:ascii="Roboto" w:eastAsia="Roboto" w:hAnsi="Roboto" w:cs="Roboto"/>
                <w:sz w:val="20"/>
                <w:szCs w:val="20"/>
              </w:rPr>
            </w:pPr>
            <w:hyperlink r:id="rId14">
              <w:r>
                <w:rPr>
                  <w:rFonts w:ascii="Roboto" w:eastAsia="Roboto" w:hAnsi="Roboto" w:cs="Roboto"/>
                  <w:color w:val="1155CC"/>
                  <w:sz w:val="20"/>
                  <w:szCs w:val="20"/>
                  <w:u w:val="single"/>
                </w:rPr>
                <w:t>Asset-Based Mindsets for English Language Learners</w:t>
              </w:r>
            </w:hyperlink>
          </w:p>
        </w:tc>
        <w:tc>
          <w:tcPr>
            <w:tcW w:w="6360" w:type="dxa"/>
            <w:shd w:val="clear" w:color="auto" w:fill="FFFFFF"/>
            <w:tcMar>
              <w:top w:w="100" w:type="dxa"/>
              <w:left w:w="100" w:type="dxa"/>
              <w:bottom w:w="100" w:type="dxa"/>
              <w:right w:w="100" w:type="dxa"/>
            </w:tcMar>
          </w:tcPr>
          <w:p w14:paraId="6F3897A5"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 xml:space="preserve">Article published in The </w:t>
            </w:r>
            <w:proofErr w:type="spellStart"/>
            <w:r>
              <w:rPr>
                <w:rFonts w:ascii="Roboto Light" w:eastAsia="Roboto Light" w:hAnsi="Roboto Light" w:cs="Roboto Light"/>
                <w:sz w:val="20"/>
                <w:szCs w:val="20"/>
              </w:rPr>
              <w:t>Edvocate</w:t>
            </w:r>
            <w:proofErr w:type="spellEnd"/>
          </w:p>
        </w:tc>
      </w:tr>
      <w:tr w:rsidR="00884B9A" w14:paraId="61D6FBBD" w14:textId="77777777">
        <w:tc>
          <w:tcPr>
            <w:tcW w:w="2775" w:type="dxa"/>
            <w:shd w:val="clear" w:color="auto" w:fill="auto"/>
            <w:tcMar>
              <w:top w:w="100" w:type="dxa"/>
              <w:left w:w="100" w:type="dxa"/>
              <w:bottom w:w="100" w:type="dxa"/>
              <w:right w:w="100" w:type="dxa"/>
            </w:tcMar>
          </w:tcPr>
          <w:p w14:paraId="509254B5" w14:textId="77777777" w:rsidR="00884B9A" w:rsidRDefault="009B412C">
            <w:pPr>
              <w:widowControl w:val="0"/>
              <w:spacing w:line="240" w:lineRule="auto"/>
              <w:rPr>
                <w:rFonts w:ascii="Roboto" w:eastAsia="Roboto" w:hAnsi="Roboto" w:cs="Roboto"/>
                <w:sz w:val="20"/>
                <w:szCs w:val="20"/>
              </w:rPr>
            </w:pPr>
            <w:hyperlink r:id="rId15">
              <w:r>
                <w:rPr>
                  <w:rFonts w:ascii="Roboto" w:eastAsia="Roboto" w:hAnsi="Roboto" w:cs="Roboto"/>
                  <w:color w:val="1155CC"/>
                  <w:sz w:val="20"/>
                  <w:szCs w:val="20"/>
                  <w:u w:val="single"/>
                </w:rPr>
                <w:t>Educating the Whole Child: Improving School Climate to Support Student Success</w:t>
              </w:r>
            </w:hyperlink>
          </w:p>
        </w:tc>
        <w:tc>
          <w:tcPr>
            <w:tcW w:w="6360" w:type="dxa"/>
            <w:shd w:val="clear" w:color="auto" w:fill="FFFFFF"/>
            <w:tcMar>
              <w:top w:w="100" w:type="dxa"/>
              <w:left w:w="100" w:type="dxa"/>
              <w:bottom w:w="100" w:type="dxa"/>
              <w:right w:w="100" w:type="dxa"/>
            </w:tcMar>
          </w:tcPr>
          <w:p w14:paraId="18C893B3" w14:textId="77777777" w:rsidR="00884B9A" w:rsidRDefault="009B412C">
            <w:pPr>
              <w:rPr>
                <w:rFonts w:ascii="Roboto Light" w:eastAsia="Roboto Light" w:hAnsi="Roboto Light" w:cs="Roboto Light"/>
                <w:sz w:val="20"/>
                <w:szCs w:val="20"/>
              </w:rPr>
            </w:pPr>
            <w:r>
              <w:rPr>
                <w:rFonts w:ascii="Roboto Light" w:eastAsia="Roboto Light" w:hAnsi="Roboto Light" w:cs="Roboto Light"/>
                <w:sz w:val="20"/>
                <w:szCs w:val="20"/>
              </w:rPr>
              <w:t>Published by the Learning Policy Institute</w:t>
            </w:r>
          </w:p>
        </w:tc>
      </w:tr>
      <w:tr w:rsidR="00884B9A" w14:paraId="68E32DA5" w14:textId="77777777">
        <w:tc>
          <w:tcPr>
            <w:tcW w:w="2775" w:type="dxa"/>
            <w:shd w:val="clear" w:color="auto" w:fill="auto"/>
            <w:tcMar>
              <w:top w:w="100" w:type="dxa"/>
              <w:left w:w="100" w:type="dxa"/>
              <w:bottom w:w="100" w:type="dxa"/>
              <w:right w:w="100" w:type="dxa"/>
            </w:tcMar>
          </w:tcPr>
          <w:p w14:paraId="0F8466F7" w14:textId="77777777" w:rsidR="00884B9A" w:rsidRDefault="009B412C">
            <w:pPr>
              <w:widowControl w:val="0"/>
              <w:spacing w:line="240" w:lineRule="auto"/>
              <w:rPr>
                <w:rFonts w:ascii="Roboto" w:eastAsia="Roboto" w:hAnsi="Roboto" w:cs="Roboto"/>
                <w:sz w:val="20"/>
                <w:szCs w:val="20"/>
              </w:rPr>
            </w:pPr>
            <w:hyperlink r:id="rId16">
              <w:r>
                <w:rPr>
                  <w:rFonts w:ascii="Roboto" w:eastAsia="Roboto" w:hAnsi="Roboto" w:cs="Roboto"/>
                  <w:color w:val="1155CC"/>
                  <w:sz w:val="20"/>
                  <w:szCs w:val="20"/>
                  <w:u w:val="single"/>
                </w:rPr>
                <w:t>CDE ELD Guidebook</w:t>
              </w:r>
            </w:hyperlink>
          </w:p>
        </w:tc>
        <w:tc>
          <w:tcPr>
            <w:tcW w:w="6360" w:type="dxa"/>
            <w:shd w:val="clear" w:color="auto" w:fill="FFFFFF"/>
            <w:tcMar>
              <w:top w:w="100" w:type="dxa"/>
              <w:left w:w="100" w:type="dxa"/>
              <w:bottom w:w="100" w:type="dxa"/>
              <w:right w:w="100" w:type="dxa"/>
            </w:tcMar>
          </w:tcPr>
          <w:p w14:paraId="656EDB62"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 xml:space="preserve">The ELD Guidebook </w:t>
            </w:r>
            <w:proofErr w:type="gramStart"/>
            <w:r>
              <w:rPr>
                <w:rFonts w:ascii="Roboto Light" w:eastAsia="Roboto Light" w:hAnsi="Roboto Light" w:cs="Roboto Light"/>
                <w:sz w:val="20"/>
                <w:szCs w:val="20"/>
              </w:rPr>
              <w:t>provides assistance to</w:t>
            </w:r>
            <w:proofErr w:type="gramEnd"/>
            <w:r>
              <w:rPr>
                <w:rFonts w:ascii="Roboto Light" w:eastAsia="Roboto Light" w:hAnsi="Roboto Light" w:cs="Roboto Light"/>
                <w:sz w:val="20"/>
                <w:szCs w:val="20"/>
              </w:rPr>
              <w:t xml:space="preserve"> Colorado educators, 10 chapters available.</w:t>
            </w:r>
          </w:p>
        </w:tc>
      </w:tr>
      <w:tr w:rsidR="00884B9A" w14:paraId="52FECF60" w14:textId="77777777">
        <w:tc>
          <w:tcPr>
            <w:tcW w:w="2775" w:type="dxa"/>
            <w:shd w:val="clear" w:color="auto" w:fill="auto"/>
            <w:tcMar>
              <w:top w:w="100" w:type="dxa"/>
              <w:left w:w="100" w:type="dxa"/>
              <w:bottom w:w="100" w:type="dxa"/>
              <w:right w:w="100" w:type="dxa"/>
            </w:tcMar>
          </w:tcPr>
          <w:p w14:paraId="6E5AF41F" w14:textId="77777777" w:rsidR="00884B9A" w:rsidRDefault="009B412C">
            <w:pPr>
              <w:widowControl w:val="0"/>
              <w:spacing w:line="240" w:lineRule="auto"/>
              <w:rPr>
                <w:rFonts w:ascii="Roboto" w:eastAsia="Roboto" w:hAnsi="Roboto" w:cs="Roboto"/>
                <w:sz w:val="20"/>
                <w:szCs w:val="20"/>
              </w:rPr>
            </w:pPr>
            <w:hyperlink r:id="rId17">
              <w:r>
                <w:rPr>
                  <w:rFonts w:ascii="Roboto" w:eastAsia="Roboto" w:hAnsi="Roboto" w:cs="Roboto"/>
                  <w:color w:val="1155CC"/>
                  <w:sz w:val="20"/>
                  <w:szCs w:val="20"/>
                  <w:u w:val="single"/>
                </w:rPr>
                <w:t>Making</w:t>
              </w:r>
              <w:r>
                <w:rPr>
                  <w:rFonts w:ascii="Roboto" w:eastAsia="Roboto" w:hAnsi="Roboto" w:cs="Roboto"/>
                  <w:color w:val="1155CC"/>
                  <w:sz w:val="20"/>
                  <w:szCs w:val="20"/>
                  <w:u w:val="single"/>
                </w:rPr>
                <w:t xml:space="preserve"> Students and Families Feel Welcome</w:t>
              </w:r>
            </w:hyperlink>
          </w:p>
        </w:tc>
        <w:tc>
          <w:tcPr>
            <w:tcW w:w="6360" w:type="dxa"/>
            <w:shd w:val="clear" w:color="auto" w:fill="FFFFFF"/>
            <w:tcMar>
              <w:top w:w="100" w:type="dxa"/>
              <w:left w:w="100" w:type="dxa"/>
              <w:bottom w:w="100" w:type="dxa"/>
              <w:right w:w="100" w:type="dxa"/>
            </w:tcMar>
          </w:tcPr>
          <w:p w14:paraId="325439A8" w14:textId="77777777" w:rsidR="00884B9A" w:rsidRDefault="00884B9A">
            <w:pPr>
              <w:spacing w:line="240" w:lineRule="auto"/>
              <w:rPr>
                <w:rFonts w:ascii="Roboto Light" w:eastAsia="Roboto Light" w:hAnsi="Roboto Light" w:cs="Roboto Light"/>
                <w:sz w:val="20"/>
                <w:szCs w:val="20"/>
              </w:rPr>
            </w:pPr>
          </w:p>
          <w:p w14:paraId="6434A730"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 xml:space="preserve">Published by </w:t>
            </w:r>
            <w:proofErr w:type="spellStart"/>
            <w:r>
              <w:rPr>
                <w:rFonts w:ascii="Roboto Light" w:eastAsia="Roboto Light" w:hAnsi="Roboto Light" w:cs="Roboto Light"/>
                <w:sz w:val="20"/>
                <w:szCs w:val="20"/>
              </w:rPr>
              <w:t>Colorín</w:t>
            </w:r>
            <w:proofErr w:type="spellEnd"/>
            <w:r>
              <w:rPr>
                <w:rFonts w:ascii="Roboto Light" w:eastAsia="Roboto Light" w:hAnsi="Roboto Light" w:cs="Roboto Light"/>
                <w:sz w:val="20"/>
                <w:szCs w:val="20"/>
              </w:rPr>
              <w:t xml:space="preserve"> Colorado</w:t>
            </w:r>
          </w:p>
        </w:tc>
      </w:tr>
      <w:tr w:rsidR="00884B9A" w14:paraId="54F036EA" w14:textId="77777777">
        <w:tc>
          <w:tcPr>
            <w:tcW w:w="2775" w:type="dxa"/>
            <w:shd w:val="clear" w:color="auto" w:fill="auto"/>
            <w:tcMar>
              <w:top w:w="100" w:type="dxa"/>
              <w:left w:w="100" w:type="dxa"/>
              <w:bottom w:w="100" w:type="dxa"/>
              <w:right w:w="100" w:type="dxa"/>
            </w:tcMar>
          </w:tcPr>
          <w:p w14:paraId="14668825" w14:textId="77777777" w:rsidR="00884B9A" w:rsidRDefault="009B412C">
            <w:pPr>
              <w:widowControl w:val="0"/>
              <w:spacing w:line="240" w:lineRule="auto"/>
              <w:rPr>
                <w:rFonts w:ascii="Roboto" w:eastAsia="Roboto" w:hAnsi="Roboto" w:cs="Roboto"/>
                <w:sz w:val="20"/>
                <w:szCs w:val="20"/>
              </w:rPr>
            </w:pPr>
            <w:hyperlink r:id="rId18">
              <w:r>
                <w:rPr>
                  <w:rFonts w:ascii="Roboto" w:eastAsia="Roboto" w:hAnsi="Roboto" w:cs="Roboto"/>
                  <w:color w:val="1155CC"/>
                  <w:sz w:val="20"/>
                  <w:szCs w:val="20"/>
                  <w:u w:val="single"/>
                </w:rPr>
                <w:t>Inclusive Language Guide</w:t>
              </w:r>
            </w:hyperlink>
          </w:p>
        </w:tc>
        <w:tc>
          <w:tcPr>
            <w:tcW w:w="6360" w:type="dxa"/>
            <w:shd w:val="clear" w:color="auto" w:fill="FFFFFF"/>
            <w:tcMar>
              <w:top w:w="100" w:type="dxa"/>
              <w:left w:w="100" w:type="dxa"/>
              <w:bottom w:w="100" w:type="dxa"/>
              <w:right w:w="100" w:type="dxa"/>
            </w:tcMar>
          </w:tcPr>
          <w:p w14:paraId="3C81A6FE" w14:textId="77777777" w:rsidR="00884B9A" w:rsidRDefault="009B412C">
            <w:pPr>
              <w:spacing w:line="240" w:lineRule="auto"/>
              <w:rPr>
                <w:rFonts w:ascii="Roboto Light" w:eastAsia="Roboto Light" w:hAnsi="Roboto Light" w:cs="Roboto Light"/>
                <w:sz w:val="20"/>
                <w:szCs w:val="20"/>
              </w:rPr>
            </w:pPr>
            <w:r>
              <w:rPr>
                <w:rFonts w:ascii="Roboto Light" w:eastAsia="Roboto Light" w:hAnsi="Roboto Light" w:cs="Roboto Light"/>
                <w:sz w:val="20"/>
                <w:szCs w:val="20"/>
              </w:rPr>
              <w:t>National Assembly of State Arts Agencies</w:t>
            </w:r>
          </w:p>
        </w:tc>
      </w:tr>
    </w:tbl>
    <w:p w14:paraId="1E778447" w14:textId="77777777" w:rsidR="00884B9A" w:rsidRDefault="00884B9A">
      <w:pPr>
        <w:rPr>
          <w:rFonts w:ascii="Roboto Light" w:eastAsia="Roboto Light" w:hAnsi="Roboto Light" w:cs="Roboto Light"/>
        </w:rPr>
      </w:pPr>
    </w:p>
    <w:sectPr w:rsidR="00884B9A">
      <w:headerReference w:type="default" r:id="rId19"/>
      <w:headerReference w:type="first" r:id="rId20"/>
      <w:footerReference w:type="first" r:id="rId2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510C2" w14:textId="77777777" w:rsidR="00000000" w:rsidRDefault="009B412C">
      <w:pPr>
        <w:spacing w:line="240" w:lineRule="auto"/>
      </w:pPr>
      <w:r>
        <w:separator/>
      </w:r>
    </w:p>
  </w:endnote>
  <w:endnote w:type="continuationSeparator" w:id="0">
    <w:p w14:paraId="6449FDAD" w14:textId="77777777" w:rsidR="00000000" w:rsidRDefault="009B4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Light">
    <w:altName w:val="Arial"/>
    <w:charset w:val="00"/>
    <w:family w:val="auto"/>
    <w:pitch w:val="default"/>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0EA34" w14:textId="77777777" w:rsidR="00884B9A" w:rsidRDefault="00884B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A6664" w14:textId="77777777" w:rsidR="00000000" w:rsidRDefault="009B412C">
      <w:pPr>
        <w:spacing w:line="240" w:lineRule="auto"/>
      </w:pPr>
      <w:r>
        <w:separator/>
      </w:r>
    </w:p>
  </w:footnote>
  <w:footnote w:type="continuationSeparator" w:id="0">
    <w:p w14:paraId="7F185377" w14:textId="77777777" w:rsidR="00000000" w:rsidRDefault="009B4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4D43D" w14:textId="77777777" w:rsidR="00884B9A" w:rsidRDefault="00884B9A">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855DF" w14:textId="77777777" w:rsidR="00884B9A" w:rsidRDefault="009B412C">
    <w:pPr>
      <w:jc w:val="center"/>
      <w:rPr>
        <w:rFonts w:ascii="Roboto Light" w:eastAsia="Roboto Light" w:hAnsi="Roboto Light" w:cs="Roboto Light"/>
        <w:color w:val="00539B"/>
        <w:sz w:val="28"/>
        <w:szCs w:val="28"/>
      </w:rPr>
    </w:pPr>
    <w:r>
      <w:rPr>
        <w:rFonts w:ascii="Roboto Light" w:eastAsia="Roboto Light" w:hAnsi="Roboto Light" w:cs="Roboto Light"/>
        <w:color w:val="00539B"/>
        <w:sz w:val="28"/>
        <w:szCs w:val="28"/>
      </w:rPr>
      <w:t>March 17, 2021 Document Guide</w:t>
    </w:r>
  </w:p>
  <w:p w14:paraId="66333163" w14:textId="77777777" w:rsidR="00884B9A" w:rsidRDefault="009B412C">
    <w:pPr>
      <w:jc w:val="center"/>
    </w:pPr>
    <w:r>
      <w:rPr>
        <w:rFonts w:ascii="Roboto Light" w:eastAsia="Roboto Light" w:hAnsi="Roboto Light" w:cs="Roboto Light"/>
        <w:sz w:val="28"/>
        <w:szCs w:val="28"/>
      </w:rPr>
      <w:t>ELD Implementation and Program Evaluation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9A"/>
    <w:rsid w:val="00884B9A"/>
    <w:rsid w:val="009B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07253"/>
  <w15:docId w15:val="{ACD147E7-04E2-4A1A-812F-FEECE591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rive.google.com/file/d/1zBSKWxL6HuI8kpExxsmUV3p77SPKlRS4/view" TargetMode="External"/><Relationship Id="rId13" Type="http://schemas.openxmlformats.org/officeDocument/2006/relationships/hyperlink" Target="https://culturalorganizing.org/the-problem-with-that-equity-vs-equality-graphic/" TargetMode="External"/><Relationship Id="rId18" Type="http://schemas.openxmlformats.org/officeDocument/2006/relationships/hyperlink" Target="https://nasaa-arts.org/nasaa_research/inclusive-language-guide/"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docs.google.com/document/d/1g7imDwZUeiK0B9Md8UXPyiKstEY3WOkeLH_8C91na-I/copy" TargetMode="External"/><Relationship Id="rId12" Type="http://schemas.openxmlformats.org/officeDocument/2006/relationships/hyperlink" Target="https://www.youtube.com/watch?v=saqBXzfi1Wg" TargetMode="External"/><Relationship Id="rId17" Type="http://schemas.openxmlformats.org/officeDocument/2006/relationships/hyperlink" Target="https://www.colorincolorado.org/immigration/guide/welcome" TargetMode="External"/><Relationship Id="rId2" Type="http://schemas.openxmlformats.org/officeDocument/2006/relationships/settings" Target="settings.xml"/><Relationship Id="rId16" Type="http://schemas.openxmlformats.org/officeDocument/2006/relationships/hyperlink" Target="https://www.cde.state.co.us/cde_english/eldguidebook"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drive.google.com/file/d/1JDOmB5neApS-WUiGx4hhXnIttejntT9u/view?usp=sharing" TargetMode="External"/><Relationship Id="rId11" Type="http://schemas.openxmlformats.org/officeDocument/2006/relationships/hyperlink" Target="https://www.nationalequityproject.org/" TargetMode="External"/><Relationship Id="rId5" Type="http://schemas.openxmlformats.org/officeDocument/2006/relationships/endnotes" Target="endnotes.xml"/><Relationship Id="rId15" Type="http://schemas.openxmlformats.org/officeDocument/2006/relationships/hyperlink" Target="https://learningpolicyinstitute.org/sites/default/files/product-files/Educating_Whole_Child_REPORT.pdf" TargetMode="External"/><Relationship Id="rId23" Type="http://schemas.openxmlformats.org/officeDocument/2006/relationships/theme" Target="theme/theme1.xml"/><Relationship Id="rId10" Type="http://schemas.openxmlformats.org/officeDocument/2006/relationships/hyperlink" Target="http://www.cde.state.co.us/cdechart/charter-school-topic-based-webinar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cs.google.com/document/d/1-83MS4ovoWnocX7xBBT4KTNt0lSBoMwIYdrC9dAoKTE/copy" TargetMode="External"/><Relationship Id="rId14" Type="http://schemas.openxmlformats.org/officeDocument/2006/relationships/hyperlink" Target="https://www.theedadvocate.org/asset-based-mindsets-for-english-language-learn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443</Words>
  <Characters>2527</Characters>
  <Application>Microsoft Office Word</Application>
  <DocSecurity>0</DocSecurity>
  <Lines>21</Lines>
  <Paragraphs>5</Paragraphs>
  <ScaleCrop>false</ScaleCrop>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McCray Simmons , Gisa</dc:creator>
  <cp:lastModifiedBy>McCray Simmons , Gisa</cp:lastModifiedBy>
  <cp:revision>2</cp:revision>
  <dcterms:created xsi:type="dcterms:W3CDTF">2021-03-18T15:55:00Z</dcterms:created>
  <dcterms:modified xsi:type="dcterms:W3CDTF">2021-03-18T15:55:00Z</dcterms:modified>
</cp:coreProperties>
</file>