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8BE58" w14:textId="11B35729" w:rsidR="00A129CF" w:rsidRPr="00A129CF" w:rsidRDefault="00A129CF" w:rsidP="00A129CF">
      <w:pPr>
        <w:pStyle w:val="NormalWeb"/>
        <w:spacing w:before="150" w:beforeAutospacing="0" w:after="0" w:afterAutospacing="0"/>
        <w:rPr>
          <w:b/>
          <w:bCs/>
        </w:rPr>
      </w:pPr>
      <w:r w:rsidRPr="00A129CF">
        <w:rPr>
          <w:b/>
          <w:bCs/>
        </w:rPr>
        <w:t>Data Collection for HB22-1260 Access to Medically Necessary Services for Students</w:t>
      </w:r>
    </w:p>
    <w:p w14:paraId="0D603B4E" w14:textId="77777777" w:rsidR="00A129CF" w:rsidRPr="00A129CF" w:rsidRDefault="00A129CF" w:rsidP="00A129CF">
      <w:pPr>
        <w:pStyle w:val="NormalWeb"/>
        <w:spacing w:before="150" w:beforeAutospacing="0" w:after="0" w:afterAutospacing="0"/>
        <w:rPr>
          <w:b/>
          <w:bCs/>
          <w:i/>
          <w:iCs/>
        </w:rPr>
      </w:pPr>
      <w:r w:rsidRPr="00A129CF">
        <w:rPr>
          <w:b/>
          <w:bCs/>
          <w:i/>
          <w:iCs/>
        </w:rPr>
        <w:t>Beginning July 1, 2024, and each July thereafter, the act requires each administrative unit to compile and provide to the department of education (department) the total number of requests for access to a student by a private health-care specialist and whether the access was authorized or denied.</w:t>
      </w:r>
    </w:p>
    <w:p w14:paraId="6121F506" w14:textId="77777777" w:rsidR="0045651D" w:rsidRDefault="0045651D" w:rsidP="0045651D">
      <w:pPr>
        <w:pStyle w:val="NormalWeb"/>
        <w:spacing w:before="0" w:beforeAutospacing="0" w:after="0" w:afterAutospacing="0"/>
      </w:pPr>
    </w:p>
    <w:p w14:paraId="1E99699E" w14:textId="16638C99" w:rsidR="0045651D" w:rsidRDefault="00A129CF" w:rsidP="00845FA5">
      <w:pPr>
        <w:pStyle w:val="NormalWeb"/>
        <w:spacing w:before="0" w:beforeAutospacing="0" w:after="0" w:afterAutospacing="0"/>
      </w:pPr>
      <w:r w:rsidRPr="00845FA5">
        <w:t>These data fields will not be added to a file layout or snapshot but will be associated with the Special Education End of Year (S</w:t>
      </w:r>
      <w:r w:rsidR="009F5E0E" w:rsidRPr="00845FA5">
        <w:t>PED</w:t>
      </w:r>
      <w:r w:rsidRPr="00845FA5">
        <w:t xml:space="preserve"> EOY) Snapshot timeline. </w:t>
      </w:r>
      <w:r w:rsidR="00DB767A" w:rsidRPr="00845FA5">
        <w:t xml:space="preserve">The counts will </w:t>
      </w:r>
      <w:r w:rsidR="00DB767A" w:rsidRPr="00845FA5">
        <w:rPr>
          <w:u w:val="single"/>
        </w:rPr>
        <w:t>not</w:t>
      </w:r>
      <w:r w:rsidR="00DB767A" w:rsidRPr="00845FA5">
        <w:t xml:space="preserve"> be included in the SPED EOY snapshot records and will be housed in a separate data table.  </w:t>
      </w:r>
      <w:r w:rsidR="009F5E0E" w:rsidRPr="00845FA5">
        <w:t>P</w:t>
      </w:r>
      <w:r w:rsidRPr="00845FA5">
        <w:t xml:space="preserve">lease note that an AU will not be able to finalize their </w:t>
      </w:r>
      <w:r w:rsidR="00DB767A" w:rsidRPr="00845FA5">
        <w:t>20</w:t>
      </w:r>
      <w:r w:rsidRPr="00845FA5">
        <w:t xml:space="preserve">23-24 snapshot until they have entered these counts in the Data Pipeline input screen. </w:t>
      </w:r>
    </w:p>
    <w:p w14:paraId="6D6F120A" w14:textId="77777777" w:rsidR="00845FA5" w:rsidRPr="00845FA5" w:rsidRDefault="00845FA5" w:rsidP="00845FA5">
      <w:pPr>
        <w:pStyle w:val="NormalWeb"/>
        <w:spacing w:before="0" w:beforeAutospacing="0" w:after="0" w:afterAutospacing="0"/>
      </w:pPr>
    </w:p>
    <w:p w14:paraId="4D87E2B9" w14:textId="23A02171" w:rsidR="00A129CF" w:rsidRPr="00845FA5" w:rsidRDefault="009F5E0E" w:rsidP="0045651D">
      <w:pPr>
        <w:rPr>
          <w:rFonts w:ascii="Calibri" w:hAnsi="Calibri" w:cs="Calibri"/>
        </w:rPr>
      </w:pPr>
      <w:r w:rsidRPr="00845FA5">
        <w:rPr>
          <w:rFonts w:ascii="Calibri" w:hAnsi="Calibri" w:cs="Calibri"/>
        </w:rPr>
        <w:t xml:space="preserve">You are encouraged to attend </w:t>
      </w:r>
      <w:r w:rsidR="00A129CF" w:rsidRPr="00845FA5">
        <w:rPr>
          <w:rFonts w:ascii="Calibri" w:hAnsi="Calibri" w:cs="Calibri"/>
        </w:rPr>
        <w:t>the</w:t>
      </w:r>
      <w:r w:rsidR="00845FA5">
        <w:rPr>
          <w:rFonts w:ascii="Calibri" w:hAnsi="Calibri" w:cs="Calibri"/>
        </w:rPr>
        <w:t xml:space="preserve"> Data Services Unit’s</w:t>
      </w:r>
      <w:r w:rsidR="00A129CF" w:rsidRPr="00845FA5">
        <w:rPr>
          <w:rFonts w:ascii="Calibri" w:hAnsi="Calibri" w:cs="Calibri"/>
        </w:rPr>
        <w:t xml:space="preserve"> </w:t>
      </w:r>
      <w:hyperlink r:id="rId4" w:history="1">
        <w:r w:rsidR="00A129CF" w:rsidRPr="00845FA5">
          <w:rPr>
            <w:rStyle w:val="Hyperlink"/>
            <w:rFonts w:ascii="Calibri" w:hAnsi="Calibri" w:cs="Calibri"/>
          </w:rPr>
          <w:t>April 25</w:t>
        </w:r>
        <w:r w:rsidR="00A129CF" w:rsidRPr="00845FA5">
          <w:rPr>
            <w:rStyle w:val="Hyperlink"/>
            <w:rFonts w:ascii="Calibri" w:hAnsi="Calibri" w:cs="Calibri"/>
            <w:vertAlign w:val="superscript"/>
          </w:rPr>
          <w:t>th</w:t>
        </w:r>
        <w:r w:rsidR="00A129CF" w:rsidRPr="00845FA5">
          <w:rPr>
            <w:rStyle w:val="Hyperlink"/>
            <w:rFonts w:ascii="Calibri" w:hAnsi="Calibri" w:cs="Calibri"/>
          </w:rPr>
          <w:t xml:space="preserve"> Data Town Hall Meeting</w:t>
        </w:r>
      </w:hyperlink>
      <w:r w:rsidR="00B525EE" w:rsidRPr="00845FA5">
        <w:rPr>
          <w:rStyle w:val="Hyperlink"/>
          <w:rFonts w:ascii="Calibri" w:hAnsi="Calibri" w:cs="Calibri"/>
        </w:rPr>
        <w:t xml:space="preserve"> at 9:00 AM</w:t>
      </w:r>
      <w:r w:rsidR="00A129CF" w:rsidRPr="00845FA5">
        <w:rPr>
          <w:rFonts w:ascii="Calibri" w:hAnsi="Calibri" w:cs="Calibri"/>
        </w:rPr>
        <w:t xml:space="preserve">, </w:t>
      </w:r>
      <w:r w:rsidRPr="00845FA5">
        <w:rPr>
          <w:rFonts w:ascii="Calibri" w:hAnsi="Calibri" w:cs="Calibri"/>
        </w:rPr>
        <w:t xml:space="preserve">where </w:t>
      </w:r>
      <w:r w:rsidR="00A129CF" w:rsidRPr="00845FA5">
        <w:rPr>
          <w:rFonts w:ascii="Calibri" w:hAnsi="Calibri" w:cs="Calibri"/>
        </w:rPr>
        <w:t xml:space="preserve">data respondents will be shown </w:t>
      </w:r>
      <w:r w:rsidR="00B525EE" w:rsidRPr="00845FA5">
        <w:rPr>
          <w:rFonts w:ascii="Calibri" w:hAnsi="Calibri" w:cs="Calibri"/>
        </w:rPr>
        <w:t xml:space="preserve">where and </w:t>
      </w:r>
      <w:r w:rsidR="00A129CF" w:rsidRPr="00845FA5">
        <w:rPr>
          <w:rFonts w:ascii="Calibri" w:hAnsi="Calibri" w:cs="Calibri"/>
        </w:rPr>
        <w:t>how to submit the required data for HB22-1260. </w:t>
      </w:r>
      <w:r w:rsidRPr="00845FA5">
        <w:rPr>
          <w:rFonts w:ascii="Calibri" w:hAnsi="Calibri" w:cs="Calibri"/>
        </w:rPr>
        <w:t>Nick Smosna, Special Ed. Monitoring and Technical Assistance Consultant</w:t>
      </w:r>
      <w:r w:rsidR="00A129CF" w:rsidRPr="00845FA5">
        <w:rPr>
          <w:rFonts w:ascii="Calibri" w:hAnsi="Calibri" w:cs="Calibri"/>
        </w:rPr>
        <w:t xml:space="preserve"> </w:t>
      </w:r>
      <w:r w:rsidRPr="00845FA5">
        <w:rPr>
          <w:rFonts w:ascii="Calibri" w:hAnsi="Calibri" w:cs="Calibri"/>
        </w:rPr>
        <w:t>w</w:t>
      </w:r>
      <w:r w:rsidR="00A129CF" w:rsidRPr="00845FA5">
        <w:rPr>
          <w:rFonts w:ascii="Calibri" w:hAnsi="Calibri" w:cs="Calibri"/>
        </w:rPr>
        <w:t xml:space="preserve">ill attend the meeting to support CDE’s Data Pipeline staff on questions that fall outside their </w:t>
      </w:r>
      <w:r w:rsidR="00B525EE" w:rsidRPr="00845FA5">
        <w:rPr>
          <w:rFonts w:ascii="Calibri" w:hAnsi="Calibri" w:cs="Calibri"/>
        </w:rPr>
        <w:t xml:space="preserve">area of </w:t>
      </w:r>
      <w:r w:rsidR="00A129CF" w:rsidRPr="00845FA5">
        <w:rPr>
          <w:rFonts w:ascii="Calibri" w:hAnsi="Calibri" w:cs="Calibri"/>
        </w:rPr>
        <w:t xml:space="preserve">expertise. The meeting will be recorded, and we will push the link </w:t>
      </w:r>
      <w:r w:rsidRPr="00845FA5">
        <w:rPr>
          <w:rFonts w:ascii="Calibri" w:hAnsi="Calibri" w:cs="Calibri"/>
        </w:rPr>
        <w:t xml:space="preserve">to the recording </w:t>
      </w:r>
      <w:r w:rsidR="00A129CF" w:rsidRPr="00845FA5">
        <w:rPr>
          <w:rFonts w:ascii="Calibri" w:hAnsi="Calibri" w:cs="Calibri"/>
        </w:rPr>
        <w:t xml:space="preserve">out on </w:t>
      </w:r>
      <w:r w:rsidR="00B525EE" w:rsidRPr="00845FA5">
        <w:rPr>
          <w:rFonts w:ascii="Calibri" w:hAnsi="Calibri" w:cs="Calibri"/>
        </w:rPr>
        <w:t>the ESSU</w:t>
      </w:r>
      <w:r w:rsidR="00A129CF" w:rsidRPr="00845FA5">
        <w:rPr>
          <w:rFonts w:ascii="Calibri" w:hAnsi="Calibri" w:cs="Calibri"/>
        </w:rPr>
        <w:t xml:space="preserve"> </w:t>
      </w:r>
      <w:r w:rsidR="00DB767A" w:rsidRPr="00845FA5">
        <w:rPr>
          <w:rFonts w:ascii="Calibri" w:hAnsi="Calibri" w:cs="Calibri"/>
        </w:rPr>
        <w:t xml:space="preserve">directors’ </w:t>
      </w:r>
      <w:r w:rsidRPr="00845FA5">
        <w:rPr>
          <w:rFonts w:ascii="Calibri" w:hAnsi="Calibri" w:cs="Calibri"/>
        </w:rPr>
        <w:t>list serve</w:t>
      </w:r>
      <w:r w:rsidR="00A129CF" w:rsidRPr="00845FA5">
        <w:rPr>
          <w:rFonts w:ascii="Calibri" w:hAnsi="Calibri" w:cs="Calibri"/>
        </w:rPr>
        <w:t xml:space="preserve"> when it is available.  </w:t>
      </w:r>
    </w:p>
    <w:p w14:paraId="6070EAAB" w14:textId="6CA4E3AF" w:rsidR="00A129CF" w:rsidRPr="00A129CF" w:rsidRDefault="00826DA2" w:rsidP="0045651D">
      <w:pPr>
        <w:pStyle w:val="ListParagraph"/>
        <w:ind w:left="0"/>
        <w:rPr>
          <w:rFonts w:ascii="Calibri" w:hAnsi="Calibri" w:cs="Calibri"/>
        </w:rPr>
      </w:pPr>
      <w:r>
        <w:rPr>
          <w:rFonts w:ascii="Calibri" w:hAnsi="Calibri" w:cs="Calibri"/>
        </w:rPr>
        <w:t xml:space="preserve">Information </w:t>
      </w:r>
      <w:r w:rsidR="009F5E0E">
        <w:rPr>
          <w:rFonts w:ascii="Calibri" w:hAnsi="Calibri" w:cs="Calibri"/>
        </w:rPr>
        <w:t xml:space="preserve">on HB22-1260 </w:t>
      </w:r>
      <w:r w:rsidR="00DB767A">
        <w:rPr>
          <w:rFonts w:ascii="Calibri" w:hAnsi="Calibri" w:cs="Calibri"/>
        </w:rPr>
        <w:t>is</w:t>
      </w:r>
      <w:r>
        <w:rPr>
          <w:rFonts w:ascii="Calibri" w:hAnsi="Calibri" w:cs="Calibri"/>
        </w:rPr>
        <w:t xml:space="preserve"> </w:t>
      </w:r>
      <w:r w:rsidR="00B525EE">
        <w:rPr>
          <w:rFonts w:ascii="Calibri" w:hAnsi="Calibri" w:cs="Calibri"/>
        </w:rPr>
        <w:t>posted</w:t>
      </w:r>
      <w:r>
        <w:rPr>
          <w:rFonts w:ascii="Calibri" w:hAnsi="Calibri" w:cs="Calibri"/>
        </w:rPr>
        <w:t xml:space="preserve"> on the </w:t>
      </w:r>
      <w:hyperlink r:id="rId5" w:history="1">
        <w:r w:rsidRPr="00826DA2">
          <w:rPr>
            <w:rStyle w:val="Hyperlink"/>
            <w:rFonts w:ascii="Calibri" w:hAnsi="Calibri" w:cs="Calibri"/>
          </w:rPr>
          <w:t>Results Driven Accountability webpage</w:t>
        </w:r>
      </w:hyperlink>
      <w:r>
        <w:rPr>
          <w:rFonts w:ascii="Calibri" w:hAnsi="Calibri" w:cs="Calibri"/>
        </w:rPr>
        <w:t xml:space="preserve">. </w:t>
      </w:r>
    </w:p>
    <w:p w14:paraId="7C506EAE" w14:textId="77777777" w:rsidR="00B525EE" w:rsidRPr="00A129CF" w:rsidRDefault="00B525EE" w:rsidP="0045651D">
      <w:pPr>
        <w:pStyle w:val="ListParagraph"/>
        <w:ind w:left="0"/>
        <w:rPr>
          <w:rFonts w:ascii="Calibri" w:hAnsi="Calibri" w:cs="Calibri"/>
        </w:rPr>
      </w:pPr>
      <w:r w:rsidRPr="00A129CF">
        <w:rPr>
          <w:rFonts w:ascii="Calibri" w:hAnsi="Calibri" w:cs="Calibri"/>
        </w:rPr>
        <w:t>ESSU Contact</w:t>
      </w:r>
      <w:r>
        <w:rPr>
          <w:rFonts w:ascii="Calibri" w:hAnsi="Calibri" w:cs="Calibri"/>
        </w:rPr>
        <w:t>s</w:t>
      </w:r>
      <w:r w:rsidRPr="00A129CF">
        <w:rPr>
          <w:rFonts w:ascii="Calibri" w:hAnsi="Calibri" w:cs="Calibri"/>
        </w:rPr>
        <w:t xml:space="preserve">: </w:t>
      </w:r>
      <w:hyperlink r:id="rId6" w:history="1">
        <w:r w:rsidRPr="009F5E0E">
          <w:rPr>
            <w:rStyle w:val="Hyperlink"/>
            <w:rFonts w:ascii="Calibri" w:hAnsi="Calibri" w:cs="Calibri"/>
          </w:rPr>
          <w:t>Nick Smosna</w:t>
        </w:r>
      </w:hyperlink>
      <w:r>
        <w:rPr>
          <w:rFonts w:ascii="Calibri" w:hAnsi="Calibri" w:cs="Calibri"/>
        </w:rPr>
        <w:t xml:space="preserve"> and </w:t>
      </w:r>
      <w:hyperlink r:id="rId7" w:history="1">
        <w:r w:rsidRPr="00A129CF">
          <w:rPr>
            <w:rStyle w:val="Hyperlink"/>
            <w:rFonts w:ascii="Calibri" w:hAnsi="Calibri" w:cs="Calibri"/>
          </w:rPr>
          <w:t>Gloria Durosko</w:t>
        </w:r>
      </w:hyperlink>
      <w:r w:rsidRPr="00A129CF">
        <w:rPr>
          <w:rFonts w:ascii="Calibri" w:hAnsi="Calibri" w:cs="Calibri"/>
        </w:rPr>
        <w:t>, Supervisor, Data and Monitoring Liaison</w:t>
      </w:r>
      <w:r>
        <w:rPr>
          <w:rFonts w:ascii="Calibri" w:hAnsi="Calibri" w:cs="Calibri"/>
        </w:rPr>
        <w:t xml:space="preserve">  </w:t>
      </w:r>
    </w:p>
    <w:p w14:paraId="0CEDD3BC" w14:textId="26339D0C" w:rsidR="00A129CF" w:rsidRPr="00A129CF" w:rsidRDefault="00A129CF" w:rsidP="0045651D">
      <w:pPr>
        <w:pStyle w:val="ListParagraph"/>
        <w:ind w:left="0"/>
        <w:rPr>
          <w:rFonts w:ascii="Calibri" w:hAnsi="Calibri" w:cs="Calibri"/>
        </w:rPr>
      </w:pPr>
      <w:r w:rsidRPr="00A129CF">
        <w:rPr>
          <w:rFonts w:ascii="Calibri" w:hAnsi="Calibri" w:cs="Calibri"/>
        </w:rPr>
        <w:t>SPED EOY data collection contact</w:t>
      </w:r>
      <w:r w:rsidR="00B525EE">
        <w:rPr>
          <w:rFonts w:ascii="Calibri" w:hAnsi="Calibri" w:cs="Calibri"/>
        </w:rPr>
        <w:t>:</w:t>
      </w:r>
      <w:r w:rsidRPr="00A129CF">
        <w:rPr>
          <w:rFonts w:ascii="Calibri" w:hAnsi="Calibri" w:cs="Calibri"/>
        </w:rPr>
        <w:t xml:space="preserve"> </w:t>
      </w:r>
      <w:hyperlink r:id="rId8" w:history="1">
        <w:r w:rsidRPr="00A129CF">
          <w:rPr>
            <w:rStyle w:val="Hyperlink"/>
            <w:rFonts w:ascii="Calibri" w:hAnsi="Calibri" w:cs="Calibri"/>
          </w:rPr>
          <w:t>Lindsey Heitman</w:t>
        </w:r>
      </w:hyperlink>
      <w:r w:rsidRPr="00A129CF">
        <w:rPr>
          <w:rFonts w:ascii="Calibri" w:hAnsi="Calibri" w:cs="Calibri"/>
        </w:rPr>
        <w:t>, Data Services</w:t>
      </w:r>
      <w:r w:rsidR="009F5E0E">
        <w:rPr>
          <w:rFonts w:ascii="Calibri" w:hAnsi="Calibri" w:cs="Calibri"/>
        </w:rPr>
        <w:t xml:space="preserve"> Unit</w:t>
      </w:r>
      <w:r w:rsidRPr="00A129CF">
        <w:rPr>
          <w:rFonts w:ascii="Calibri" w:hAnsi="Calibri" w:cs="Calibri"/>
        </w:rPr>
        <w:t>, Special Education Data Collections</w:t>
      </w:r>
    </w:p>
    <w:p w14:paraId="3F31CC6F" w14:textId="77777777" w:rsidR="00A830DE" w:rsidRDefault="00A830DE" w:rsidP="0045651D"/>
    <w:sectPr w:rsidR="00A830DE" w:rsidSect="00930083">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CF"/>
    <w:rsid w:val="0031458C"/>
    <w:rsid w:val="0045651D"/>
    <w:rsid w:val="00826DA2"/>
    <w:rsid w:val="00845FA5"/>
    <w:rsid w:val="00852534"/>
    <w:rsid w:val="00930083"/>
    <w:rsid w:val="009F5E0E"/>
    <w:rsid w:val="00A129CF"/>
    <w:rsid w:val="00A830DE"/>
    <w:rsid w:val="00B525EE"/>
    <w:rsid w:val="00CE4D95"/>
    <w:rsid w:val="00DB767A"/>
    <w:rsid w:val="00EA3F5E"/>
    <w:rsid w:val="00FF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9270"/>
  <w15:chartTrackingRefBased/>
  <w15:docId w15:val="{0B1A6476-A79E-41A7-92F4-F2E4843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9CF"/>
  </w:style>
  <w:style w:type="paragraph" w:styleId="Heading1">
    <w:name w:val="heading 1"/>
    <w:basedOn w:val="Normal"/>
    <w:next w:val="Normal"/>
    <w:link w:val="Heading1Char"/>
    <w:uiPriority w:val="9"/>
    <w:qFormat/>
    <w:rsid w:val="00A1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9CF"/>
    <w:rPr>
      <w:rFonts w:eastAsiaTheme="majorEastAsia" w:cstheme="majorBidi"/>
      <w:color w:val="272727" w:themeColor="text1" w:themeTint="D8"/>
    </w:rPr>
  </w:style>
  <w:style w:type="paragraph" w:styleId="Title">
    <w:name w:val="Title"/>
    <w:basedOn w:val="Normal"/>
    <w:next w:val="Normal"/>
    <w:link w:val="TitleChar"/>
    <w:uiPriority w:val="10"/>
    <w:qFormat/>
    <w:rsid w:val="00A1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9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9CF"/>
    <w:rPr>
      <w:i/>
      <w:iCs/>
      <w:color w:val="404040" w:themeColor="text1" w:themeTint="BF"/>
    </w:rPr>
  </w:style>
  <w:style w:type="paragraph" w:styleId="ListParagraph">
    <w:name w:val="List Paragraph"/>
    <w:basedOn w:val="Normal"/>
    <w:uiPriority w:val="34"/>
    <w:qFormat/>
    <w:rsid w:val="00A129CF"/>
    <w:pPr>
      <w:ind w:left="720"/>
      <w:contextualSpacing/>
    </w:pPr>
  </w:style>
  <w:style w:type="character" w:styleId="IntenseEmphasis">
    <w:name w:val="Intense Emphasis"/>
    <w:basedOn w:val="DefaultParagraphFont"/>
    <w:uiPriority w:val="21"/>
    <w:qFormat/>
    <w:rsid w:val="00A129CF"/>
    <w:rPr>
      <w:i/>
      <w:iCs/>
      <w:color w:val="0F4761" w:themeColor="accent1" w:themeShade="BF"/>
    </w:rPr>
  </w:style>
  <w:style w:type="paragraph" w:styleId="IntenseQuote">
    <w:name w:val="Intense Quote"/>
    <w:basedOn w:val="Normal"/>
    <w:next w:val="Normal"/>
    <w:link w:val="IntenseQuoteChar"/>
    <w:uiPriority w:val="30"/>
    <w:qFormat/>
    <w:rsid w:val="00A1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9CF"/>
    <w:rPr>
      <w:i/>
      <w:iCs/>
      <w:color w:val="0F4761" w:themeColor="accent1" w:themeShade="BF"/>
    </w:rPr>
  </w:style>
  <w:style w:type="character" w:styleId="IntenseReference">
    <w:name w:val="Intense Reference"/>
    <w:basedOn w:val="DefaultParagraphFont"/>
    <w:uiPriority w:val="32"/>
    <w:qFormat/>
    <w:rsid w:val="00A129CF"/>
    <w:rPr>
      <w:b/>
      <w:bCs/>
      <w:smallCaps/>
      <w:color w:val="0F4761" w:themeColor="accent1" w:themeShade="BF"/>
      <w:spacing w:val="5"/>
    </w:rPr>
  </w:style>
  <w:style w:type="paragraph" w:styleId="NormalWeb">
    <w:name w:val="Normal (Web)"/>
    <w:basedOn w:val="Normal"/>
    <w:uiPriority w:val="99"/>
    <w:unhideWhenUsed/>
    <w:rsid w:val="00A129CF"/>
    <w:pPr>
      <w:spacing w:before="100" w:beforeAutospacing="1" w:after="100" w:afterAutospacing="1" w:line="240" w:lineRule="auto"/>
    </w:pPr>
    <w:rPr>
      <w:rFonts w:ascii="Calibri" w:hAnsi="Calibri" w:cs="Calibri"/>
      <w:kern w:val="0"/>
      <w14:ligatures w14:val="none"/>
    </w:rPr>
  </w:style>
  <w:style w:type="character" w:styleId="Hyperlink">
    <w:name w:val="Hyperlink"/>
    <w:basedOn w:val="DefaultParagraphFont"/>
    <w:uiPriority w:val="99"/>
    <w:unhideWhenUsed/>
    <w:rsid w:val="00A129CF"/>
    <w:rPr>
      <w:color w:val="0000FF"/>
      <w:u w:val="single"/>
    </w:rPr>
  </w:style>
  <w:style w:type="character" w:styleId="UnresolvedMention">
    <w:name w:val="Unresolved Mention"/>
    <w:basedOn w:val="DefaultParagraphFont"/>
    <w:uiPriority w:val="99"/>
    <w:semiHidden/>
    <w:unhideWhenUsed/>
    <w:rsid w:val="00A1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20784">
      <w:bodyDiv w:val="1"/>
      <w:marLeft w:val="0"/>
      <w:marRight w:val="0"/>
      <w:marTop w:val="0"/>
      <w:marBottom w:val="0"/>
      <w:divBdr>
        <w:top w:val="none" w:sz="0" w:space="0" w:color="auto"/>
        <w:left w:val="none" w:sz="0" w:space="0" w:color="auto"/>
        <w:bottom w:val="none" w:sz="0" w:space="0" w:color="auto"/>
        <w:right w:val="none" w:sz="0" w:space="0" w:color="auto"/>
      </w:divBdr>
    </w:div>
    <w:div w:id="8465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tman_l@cde.state.co.us" TargetMode="External"/><Relationship Id="rId3" Type="http://schemas.openxmlformats.org/officeDocument/2006/relationships/webSettings" Target="webSettings.xml"/><Relationship Id="rId7" Type="http://schemas.openxmlformats.org/officeDocument/2006/relationships/hyperlink" Target="mailto:durosko_g@cde.state.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mosna_n@cde.state.co.us" TargetMode="External"/><Relationship Id="rId5" Type="http://schemas.openxmlformats.org/officeDocument/2006/relationships/hyperlink" Target="https://www.cde.state.co.us/cdesped/rda" TargetMode="External"/><Relationship Id="rId10" Type="http://schemas.openxmlformats.org/officeDocument/2006/relationships/theme" Target="theme/theme1.xml"/><Relationship Id="rId4" Type="http://schemas.openxmlformats.org/officeDocument/2006/relationships/hyperlink" Target="https://www.cde.state.co.us/datapipeline/train_schedul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Durosko, Gloria</dc:creator>
  <cp:keywords/>
  <dc:description/>
  <cp:lastModifiedBy>Fails, Josh</cp:lastModifiedBy>
  <cp:revision>7</cp:revision>
  <dcterms:created xsi:type="dcterms:W3CDTF">2024-03-25T16:01:00Z</dcterms:created>
  <dcterms:modified xsi:type="dcterms:W3CDTF">2024-03-25T21:59:00Z</dcterms:modified>
</cp:coreProperties>
</file>