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2B542" w14:textId="77777777" w:rsidR="000A14EB" w:rsidRDefault="007225F1" w:rsidP="00D10630">
      <w:pPr>
        <w:pStyle w:val="body"/>
        <w:rPr>
          <w:noProof w:val="0"/>
        </w:rPr>
      </w:pPr>
      <w:r>
        <w:drawing>
          <wp:anchor distT="0" distB="0" distL="114300" distR="114300" simplePos="0" relativeHeight="251660288" behindDoc="0" locked="0" layoutInCell="1" allowOverlap="1" wp14:anchorId="7531CF54" wp14:editId="12EBBC02">
            <wp:simplePos x="0" y="0"/>
            <wp:positionH relativeFrom="column">
              <wp:posOffset>0</wp:posOffset>
            </wp:positionH>
            <wp:positionV relativeFrom="paragraph">
              <wp:posOffset>54610</wp:posOffset>
            </wp:positionV>
            <wp:extent cx="2465832" cy="49377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div_sch_300_rgb_ltrhd.png"/>
                    <pic:cNvPicPr/>
                  </pic:nvPicPr>
                  <pic:blipFill>
                    <a:blip r:embed="rId8">
                      <a:extLst>
                        <a:ext uri="{28A0092B-C50C-407E-A947-70E740481C1C}">
                          <a14:useLocalDpi xmlns:a14="http://schemas.microsoft.com/office/drawing/2010/main" val="0"/>
                        </a:ext>
                      </a:extLst>
                    </a:blip>
                    <a:stretch>
                      <a:fillRect/>
                    </a:stretch>
                  </pic:blipFill>
                  <pic:spPr>
                    <a:xfrm>
                      <a:off x="0" y="0"/>
                      <a:ext cx="2465832" cy="493776"/>
                    </a:xfrm>
                    <a:prstGeom prst="rect">
                      <a:avLst/>
                    </a:prstGeom>
                  </pic:spPr>
                </pic:pic>
              </a:graphicData>
            </a:graphic>
          </wp:anchor>
        </w:drawing>
      </w:r>
    </w:p>
    <w:p w14:paraId="1000936D" w14:textId="77777777" w:rsidR="000A14EB" w:rsidRDefault="000A14EB" w:rsidP="00D10630">
      <w:pPr>
        <w:pStyle w:val="body"/>
        <w:rPr>
          <w:noProof w:val="0"/>
        </w:rPr>
      </w:pPr>
    </w:p>
    <w:p w14:paraId="0124660A" w14:textId="77777777" w:rsidR="000A14EB" w:rsidRDefault="000A14EB" w:rsidP="00D10630">
      <w:pPr>
        <w:pStyle w:val="body"/>
        <w:rPr>
          <w:noProof w:val="0"/>
        </w:rPr>
      </w:pPr>
    </w:p>
    <w:p w14:paraId="6C6B2BE7" w14:textId="4B0732B0" w:rsidR="000A14EB" w:rsidRDefault="000A14EB" w:rsidP="00D10630">
      <w:pPr>
        <w:pStyle w:val="body"/>
        <w:rPr>
          <w:noProof w:val="0"/>
        </w:rPr>
      </w:pPr>
    </w:p>
    <w:p w14:paraId="2A80509A" w14:textId="77777777" w:rsidR="00EA36A7" w:rsidRPr="001D494A" w:rsidRDefault="00EA36A7" w:rsidP="00D10630">
      <w:pPr>
        <w:pStyle w:val="body"/>
        <w:rPr>
          <w:noProof w:val="0"/>
          <w:sz w:val="21"/>
          <w:szCs w:val="21"/>
        </w:rPr>
      </w:pPr>
    </w:p>
    <w:p w14:paraId="36546625" w14:textId="77777777" w:rsidR="002F65D5" w:rsidRPr="002F65D5" w:rsidRDefault="002F65D5" w:rsidP="002F65D5">
      <w:pPr>
        <w:jc w:val="center"/>
        <w:rPr>
          <w:rFonts w:ascii="Museo Slab 500" w:hAnsi="Museo Slab 500" w:cs="Arial"/>
          <w:b/>
        </w:rPr>
      </w:pPr>
      <w:r w:rsidRPr="002F65D5">
        <w:rPr>
          <w:rFonts w:ascii="Museo Slab 500" w:hAnsi="Museo Slab 500" w:cs="Arial"/>
          <w:b/>
        </w:rPr>
        <w:t>FPP: Revenue Reporting Discussion Item: State Board Recommendation</w:t>
      </w:r>
    </w:p>
    <w:p w14:paraId="5EDF698A" w14:textId="77777777" w:rsidR="002F65D5" w:rsidRDefault="002F65D5" w:rsidP="002F65D5">
      <w:pPr>
        <w:rPr>
          <w:rFonts w:ascii="Arial" w:hAnsi="Arial" w:cs="Arial"/>
          <w:sz w:val="18"/>
          <w:szCs w:val="18"/>
        </w:rPr>
      </w:pPr>
    </w:p>
    <w:p w14:paraId="3BE0B3A4" w14:textId="007125FA" w:rsidR="002F65D5" w:rsidRPr="002F65D5" w:rsidRDefault="002F65D5" w:rsidP="002F65D5">
      <w:pPr>
        <w:numPr>
          <w:ilvl w:val="0"/>
          <w:numId w:val="14"/>
        </w:numPr>
        <w:rPr>
          <w:rFonts w:ascii="Trebuchet MS" w:hAnsi="Trebuchet MS" w:cs="Arial"/>
          <w:b/>
          <w:sz w:val="18"/>
          <w:szCs w:val="18"/>
        </w:rPr>
      </w:pPr>
      <w:r w:rsidRPr="002F65D5">
        <w:rPr>
          <w:rFonts w:ascii="Trebuchet MS" w:hAnsi="Trebuchet MS" w:cs="Arial"/>
          <w:b/>
          <w:sz w:val="18"/>
          <w:szCs w:val="18"/>
        </w:rPr>
        <w:t>Question or Issue: FPP Sub-Committee Makes Recommendation to State Board of Education on the Reporting of Revenues at the Unique School Sit</w:t>
      </w:r>
      <w:r>
        <w:rPr>
          <w:rFonts w:ascii="Trebuchet MS" w:hAnsi="Trebuchet MS" w:cs="Arial"/>
          <w:b/>
          <w:sz w:val="18"/>
          <w:szCs w:val="18"/>
        </w:rPr>
        <w:t>e</w:t>
      </w:r>
      <w:r w:rsidRPr="002F65D5">
        <w:rPr>
          <w:rFonts w:ascii="Trebuchet MS" w:hAnsi="Trebuchet MS" w:cs="Arial"/>
          <w:b/>
          <w:sz w:val="18"/>
          <w:szCs w:val="18"/>
        </w:rPr>
        <w:t xml:space="preserve"> Level</w:t>
      </w:r>
      <w:r w:rsidRPr="002F65D5">
        <w:rPr>
          <w:rFonts w:ascii="Trebuchet MS" w:hAnsi="Trebuchet MS" w:cs="Arial"/>
          <w:b/>
          <w:sz w:val="18"/>
          <w:szCs w:val="18"/>
        </w:rPr>
        <w:tab/>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2F65D5" w:rsidRPr="00E40301" w14:paraId="00450D16" w14:textId="77777777" w:rsidTr="00C43D04">
        <w:trPr>
          <w:trHeight w:val="440"/>
        </w:trPr>
        <w:tc>
          <w:tcPr>
            <w:tcW w:w="9540" w:type="dxa"/>
            <w:tcBorders>
              <w:top w:val="single" w:sz="4" w:space="0" w:color="000000"/>
              <w:left w:val="single" w:sz="4" w:space="0" w:color="000000"/>
              <w:bottom w:val="single" w:sz="4" w:space="0" w:color="000000"/>
              <w:right w:val="single" w:sz="4" w:space="0" w:color="000000"/>
            </w:tcBorders>
          </w:tcPr>
          <w:p w14:paraId="3658729F" w14:textId="75BF04B0" w:rsidR="002F65D5" w:rsidRPr="002F65D5" w:rsidRDefault="002F65D5" w:rsidP="00C43D04">
            <w:pPr>
              <w:jc w:val="both"/>
              <w:rPr>
                <w:rFonts w:ascii="Calibri" w:hAnsi="Calibri" w:cs="Arial"/>
                <w:sz w:val="18"/>
                <w:szCs w:val="18"/>
              </w:rPr>
            </w:pPr>
            <w:r w:rsidRPr="002F65D5">
              <w:rPr>
                <w:rFonts w:ascii="Calibri" w:hAnsi="Calibri" w:cs="Arial"/>
                <w:sz w:val="18"/>
                <w:szCs w:val="18"/>
              </w:rPr>
              <w:t>House Bill 14-1292 requires the FPP Committee to make a recommendation to the State Board of Education on what, if any</w:t>
            </w:r>
            <w:r>
              <w:rPr>
                <w:rFonts w:ascii="Calibri" w:hAnsi="Calibri" w:cs="Arial"/>
                <w:sz w:val="18"/>
                <w:szCs w:val="18"/>
              </w:rPr>
              <w:t>,</w:t>
            </w:r>
            <w:r w:rsidRPr="002F65D5">
              <w:rPr>
                <w:rFonts w:ascii="Calibri" w:hAnsi="Calibri" w:cs="Arial"/>
                <w:sz w:val="18"/>
                <w:szCs w:val="18"/>
              </w:rPr>
              <w:t xml:space="preserve"> changes should be made in </w:t>
            </w:r>
            <w:r w:rsidRPr="00FB7815">
              <w:rPr>
                <w:rFonts w:ascii="Calibri" w:hAnsi="Calibri" w:cs="Arial"/>
                <w:sz w:val="18"/>
                <w:szCs w:val="18"/>
              </w:rPr>
              <w:t xml:space="preserve">how </w:t>
            </w:r>
            <w:r w:rsidR="00FB7815">
              <w:rPr>
                <w:rFonts w:ascii="Calibri" w:hAnsi="Calibri" w:cs="Arial"/>
                <w:sz w:val="18"/>
                <w:szCs w:val="18"/>
              </w:rPr>
              <w:t>Local Education Agencies (</w:t>
            </w:r>
            <w:r w:rsidRPr="00FB7815">
              <w:rPr>
                <w:rFonts w:ascii="Calibri" w:hAnsi="Calibri" w:cs="Arial"/>
                <w:sz w:val="18"/>
                <w:szCs w:val="18"/>
              </w:rPr>
              <w:t>LEPs</w:t>
            </w:r>
            <w:r w:rsidR="00FB7815">
              <w:rPr>
                <w:rFonts w:ascii="Calibri" w:hAnsi="Calibri" w:cs="Arial"/>
                <w:sz w:val="18"/>
                <w:szCs w:val="18"/>
              </w:rPr>
              <w:t>)</w:t>
            </w:r>
            <w:r w:rsidRPr="00FB7815">
              <w:rPr>
                <w:rFonts w:ascii="Calibri" w:hAnsi="Calibri" w:cs="Arial"/>
                <w:sz w:val="18"/>
                <w:szCs w:val="18"/>
              </w:rPr>
              <w:t xml:space="preserve"> report revenue at the unique school site level: individual schools.</w:t>
            </w:r>
          </w:p>
          <w:p w14:paraId="7A3201A5" w14:textId="77777777" w:rsidR="002F65D5" w:rsidRPr="002F65D5" w:rsidRDefault="002F65D5" w:rsidP="00C43D04">
            <w:pPr>
              <w:jc w:val="both"/>
              <w:rPr>
                <w:rFonts w:ascii="Calibri" w:hAnsi="Calibri" w:cs="Arial"/>
                <w:sz w:val="18"/>
                <w:szCs w:val="18"/>
              </w:rPr>
            </w:pPr>
          </w:p>
          <w:p w14:paraId="6B760682" w14:textId="77777777" w:rsidR="002F65D5" w:rsidRPr="002F65D5" w:rsidRDefault="002F65D5" w:rsidP="00C43D04">
            <w:pPr>
              <w:jc w:val="both"/>
              <w:rPr>
                <w:rFonts w:ascii="Calibri" w:hAnsi="Calibri" w:cs="Arial"/>
                <w:sz w:val="18"/>
                <w:szCs w:val="18"/>
              </w:rPr>
            </w:pPr>
            <w:r w:rsidRPr="002F65D5">
              <w:rPr>
                <w:rFonts w:ascii="Calibri" w:hAnsi="Calibri" w:cs="Arial"/>
                <w:sz w:val="18"/>
                <w:szCs w:val="18"/>
              </w:rPr>
              <w:t xml:space="preserve">C.R.S. 22-44-105 (4) (d), </w:t>
            </w:r>
            <w:r w:rsidRPr="002F65D5">
              <w:rPr>
                <w:rFonts w:ascii="Calibri" w:hAnsi="Calibri" w:cs="Arial"/>
                <w:i/>
                <w:sz w:val="18"/>
                <w:szCs w:val="18"/>
              </w:rPr>
              <w:t>The Financial Policies and Procedures Advisory Committee shall consider and make a recommendation to the State Board of Education concerning whether the standard chart of accounts should include the reporting of revenues received at all levels, including public revenues received from private gifts, grants, and donations, and if so, how the reporting of revenues would be included in the standard chart of accounts</w:t>
            </w:r>
            <w:r w:rsidRPr="002F65D5">
              <w:rPr>
                <w:rFonts w:ascii="Calibri" w:hAnsi="Calibri" w:cs="Arial"/>
                <w:sz w:val="18"/>
                <w:szCs w:val="18"/>
              </w:rPr>
              <w:t>.</w:t>
            </w:r>
          </w:p>
          <w:p w14:paraId="29E494E6" w14:textId="77777777" w:rsidR="002F65D5" w:rsidRPr="002F65D5" w:rsidRDefault="002F65D5" w:rsidP="00C43D04">
            <w:pPr>
              <w:jc w:val="both"/>
              <w:rPr>
                <w:rFonts w:ascii="Calibri" w:hAnsi="Calibri" w:cs="Arial"/>
                <w:sz w:val="18"/>
                <w:szCs w:val="18"/>
              </w:rPr>
            </w:pPr>
          </w:p>
          <w:p w14:paraId="132B5413" w14:textId="31F0DD93" w:rsidR="002F65D5" w:rsidRPr="00E40301" w:rsidRDefault="002F65D5" w:rsidP="002F65D5">
            <w:pPr>
              <w:jc w:val="both"/>
              <w:rPr>
                <w:rFonts w:ascii="Arial" w:hAnsi="Arial" w:cs="Arial"/>
                <w:sz w:val="18"/>
                <w:szCs w:val="18"/>
              </w:rPr>
            </w:pPr>
            <w:r w:rsidRPr="002F65D5">
              <w:rPr>
                <w:rFonts w:ascii="Calibri" w:hAnsi="Calibri" w:cs="Arial"/>
                <w:sz w:val="18"/>
                <w:szCs w:val="18"/>
              </w:rPr>
              <w:t xml:space="preserve">There will be a revenue section in the website view created by the vendor which contracts with CDE.  It’s important to think proactively about what this revenue section should look like, and approach it as needing to be substantive and meaningful.  </w:t>
            </w:r>
          </w:p>
        </w:tc>
      </w:tr>
    </w:tbl>
    <w:p w14:paraId="7413B099" w14:textId="77777777" w:rsidR="002F65D5" w:rsidRPr="00E40301" w:rsidRDefault="002F65D5" w:rsidP="002F65D5">
      <w:pPr>
        <w:rPr>
          <w:rFonts w:ascii="Arial" w:hAnsi="Arial" w:cs="Arial"/>
          <w:sz w:val="18"/>
          <w:szCs w:val="18"/>
        </w:rPr>
      </w:pPr>
    </w:p>
    <w:p w14:paraId="326AD2D9" w14:textId="77777777" w:rsidR="002F65D5" w:rsidRPr="002F65D5" w:rsidRDefault="002F65D5" w:rsidP="002F65D5">
      <w:pPr>
        <w:numPr>
          <w:ilvl w:val="0"/>
          <w:numId w:val="14"/>
        </w:numPr>
        <w:rPr>
          <w:rFonts w:ascii="Trebuchet MS" w:hAnsi="Trebuchet MS" w:cs="Arial"/>
          <w:b/>
          <w:sz w:val="18"/>
          <w:szCs w:val="18"/>
        </w:rPr>
      </w:pPr>
      <w:r w:rsidRPr="002F65D5">
        <w:rPr>
          <w:rFonts w:ascii="Trebuchet MS" w:hAnsi="Trebuchet MS" w:cs="Arial"/>
          <w:b/>
          <w:sz w:val="18"/>
          <w:szCs w:val="18"/>
        </w:rPr>
        <w:t>Any Prior FPP Action:</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2F65D5" w:rsidRPr="00E40301" w14:paraId="556DB7F4" w14:textId="77777777" w:rsidTr="00C43D04">
        <w:trPr>
          <w:trHeight w:val="440"/>
        </w:trPr>
        <w:tc>
          <w:tcPr>
            <w:tcW w:w="9540" w:type="dxa"/>
            <w:tcBorders>
              <w:top w:val="single" w:sz="4" w:space="0" w:color="000000"/>
              <w:left w:val="single" w:sz="4" w:space="0" w:color="000000"/>
              <w:bottom w:val="single" w:sz="4" w:space="0" w:color="000000"/>
              <w:right w:val="single" w:sz="4" w:space="0" w:color="000000"/>
            </w:tcBorders>
          </w:tcPr>
          <w:p w14:paraId="47279AE2" w14:textId="77777777" w:rsidR="002F65D5" w:rsidRPr="002F65D5" w:rsidRDefault="002F65D5" w:rsidP="00C43D04">
            <w:pPr>
              <w:jc w:val="both"/>
              <w:rPr>
                <w:rFonts w:ascii="Calibri" w:hAnsi="Calibri" w:cs="Arial"/>
                <w:sz w:val="18"/>
                <w:szCs w:val="18"/>
              </w:rPr>
            </w:pPr>
            <w:r w:rsidRPr="002F65D5">
              <w:rPr>
                <w:rFonts w:ascii="Calibri" w:hAnsi="Calibri" w:cs="Arial"/>
                <w:sz w:val="18"/>
                <w:szCs w:val="18"/>
              </w:rPr>
              <w:t>HB14-1292 Sub-Committee has actively discussed this topic for several months to arrive at a recommendation.  Additionally at the February 27</w:t>
            </w:r>
            <w:r w:rsidRPr="002F65D5">
              <w:rPr>
                <w:rFonts w:ascii="Calibri" w:hAnsi="Calibri" w:cs="Arial"/>
                <w:sz w:val="18"/>
                <w:szCs w:val="18"/>
                <w:vertAlign w:val="superscript"/>
              </w:rPr>
              <w:t>th</w:t>
            </w:r>
            <w:r w:rsidRPr="002F65D5">
              <w:rPr>
                <w:rFonts w:ascii="Calibri" w:hAnsi="Calibri" w:cs="Arial"/>
                <w:sz w:val="18"/>
                <w:szCs w:val="18"/>
              </w:rPr>
              <w:t xml:space="preserve"> FPP meeting is was suggested that the original FPP State Board recommendation be modified/expanded to provide more rationale and details on why the existing Chart of Accounts meets the intent of statute for revenue reporting when followed correctly, and why the existing Chart of Accounts should not be modified for expanded revenue reporting structures.  Please see the revised proposed FPP recommendation below.</w:t>
            </w:r>
          </w:p>
        </w:tc>
      </w:tr>
    </w:tbl>
    <w:p w14:paraId="6D36DC09" w14:textId="77777777" w:rsidR="002F65D5" w:rsidRPr="00E40301" w:rsidRDefault="002F65D5" w:rsidP="002F65D5">
      <w:pPr>
        <w:rPr>
          <w:rFonts w:ascii="Arial" w:hAnsi="Arial" w:cs="Arial"/>
          <w:sz w:val="18"/>
          <w:szCs w:val="18"/>
        </w:rPr>
      </w:pPr>
    </w:p>
    <w:p w14:paraId="6CA441A6" w14:textId="0FCA8592" w:rsidR="002F65D5" w:rsidRPr="002F65D5" w:rsidRDefault="002F65D5" w:rsidP="002F65D5">
      <w:pPr>
        <w:numPr>
          <w:ilvl w:val="0"/>
          <w:numId w:val="14"/>
        </w:numPr>
        <w:rPr>
          <w:rFonts w:ascii="Trebuchet MS" w:hAnsi="Trebuchet MS" w:cs="Arial"/>
          <w:b/>
          <w:sz w:val="18"/>
          <w:szCs w:val="18"/>
        </w:rPr>
      </w:pPr>
      <w:r w:rsidRPr="002F65D5">
        <w:rPr>
          <w:rFonts w:ascii="Trebuchet MS" w:hAnsi="Trebuchet MS" w:cs="Arial"/>
          <w:b/>
          <w:sz w:val="18"/>
          <w:szCs w:val="18"/>
        </w:rPr>
        <w:t>Discussion Points/Department Recommendation or Observations (if any):</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2F65D5" w:rsidRPr="00E40301" w14:paraId="6CE1C996" w14:textId="77777777" w:rsidTr="00C43D04">
        <w:trPr>
          <w:trHeight w:val="503"/>
        </w:trPr>
        <w:tc>
          <w:tcPr>
            <w:tcW w:w="9540" w:type="dxa"/>
            <w:tcBorders>
              <w:top w:val="single" w:sz="4" w:space="0" w:color="000000"/>
              <w:left w:val="single" w:sz="4" w:space="0" w:color="000000"/>
              <w:bottom w:val="single" w:sz="4" w:space="0" w:color="000000"/>
              <w:right w:val="single" w:sz="4" w:space="0" w:color="000000"/>
            </w:tcBorders>
          </w:tcPr>
          <w:p w14:paraId="74776B39" w14:textId="77777777" w:rsidR="002F65D5" w:rsidRPr="002F65D5" w:rsidRDefault="002F65D5" w:rsidP="00C43D04">
            <w:pPr>
              <w:jc w:val="both"/>
              <w:rPr>
                <w:rFonts w:ascii="Calibri" w:hAnsi="Calibri" w:cs="Arial"/>
                <w:sz w:val="18"/>
                <w:szCs w:val="18"/>
              </w:rPr>
            </w:pPr>
            <w:r w:rsidRPr="002F65D5">
              <w:rPr>
                <w:rFonts w:ascii="Calibri" w:hAnsi="Calibri" w:cs="Arial"/>
                <w:sz w:val="18"/>
                <w:szCs w:val="18"/>
              </w:rPr>
              <w:t>Discussion points:</w:t>
            </w:r>
          </w:p>
          <w:p w14:paraId="24595588" w14:textId="77777777" w:rsidR="002F65D5" w:rsidRPr="002F65D5" w:rsidRDefault="002F65D5" w:rsidP="00C43D04">
            <w:pPr>
              <w:jc w:val="both"/>
              <w:rPr>
                <w:rFonts w:ascii="Calibri" w:hAnsi="Calibri" w:cs="Arial"/>
                <w:sz w:val="18"/>
                <w:szCs w:val="18"/>
              </w:rPr>
            </w:pPr>
          </w:p>
          <w:p w14:paraId="12330492" w14:textId="77777777" w:rsidR="002F65D5" w:rsidRPr="002F65D5" w:rsidRDefault="002F65D5" w:rsidP="002F65D5">
            <w:pPr>
              <w:pStyle w:val="ListParagraph"/>
              <w:numPr>
                <w:ilvl w:val="0"/>
                <w:numId w:val="15"/>
              </w:numPr>
              <w:spacing w:after="160" w:line="259" w:lineRule="auto"/>
              <w:rPr>
                <w:rFonts w:ascii="Calibri" w:hAnsi="Calibri" w:cs="Arial"/>
                <w:sz w:val="18"/>
                <w:szCs w:val="18"/>
              </w:rPr>
            </w:pPr>
            <w:r w:rsidRPr="002F65D5">
              <w:rPr>
                <w:rFonts w:ascii="Calibri" w:hAnsi="Calibri" w:cs="Arial"/>
                <w:sz w:val="18"/>
                <w:szCs w:val="18"/>
              </w:rPr>
              <w:t xml:space="preserve">Because the Chart of Accounts has two local revenue source codes for gifts/grants/donations, it has been raised that districts should already be tying revenue earmarked for individual schools to those schools, and not simply coding that revenue at the district level.  </w:t>
            </w:r>
          </w:p>
          <w:p w14:paraId="4A43176D" w14:textId="77777777" w:rsidR="002F65D5" w:rsidRPr="002F65D5" w:rsidRDefault="002F65D5" w:rsidP="002F65D5">
            <w:pPr>
              <w:pStyle w:val="ListParagraph"/>
              <w:numPr>
                <w:ilvl w:val="0"/>
                <w:numId w:val="17"/>
              </w:numPr>
              <w:rPr>
                <w:rFonts w:ascii="Calibri" w:hAnsi="Calibri" w:cs="Arial"/>
                <w:sz w:val="18"/>
                <w:szCs w:val="18"/>
              </w:rPr>
            </w:pPr>
            <w:proofErr w:type="spellStart"/>
            <w:r w:rsidRPr="002F65D5">
              <w:rPr>
                <w:rFonts w:ascii="Calibri" w:hAnsi="Calibri" w:cs="Arial"/>
                <w:sz w:val="18"/>
                <w:szCs w:val="18"/>
              </w:rPr>
              <w:t>Unbolded</w:t>
            </w:r>
            <w:proofErr w:type="spellEnd"/>
            <w:r w:rsidRPr="002F65D5">
              <w:rPr>
                <w:rFonts w:ascii="Calibri" w:hAnsi="Calibri" w:cs="Arial"/>
                <w:sz w:val="18"/>
                <w:szCs w:val="18"/>
              </w:rPr>
              <w:t xml:space="preserve"> Source Code 1760, Gifts and Contributions – rolls to Source 1700, Pupil Activities Revenue (note: may be necessary to bold Source 1760)</w:t>
            </w:r>
          </w:p>
          <w:p w14:paraId="0AE687E5" w14:textId="77777777" w:rsidR="002F65D5" w:rsidRPr="002F65D5" w:rsidRDefault="002F65D5" w:rsidP="002F65D5">
            <w:pPr>
              <w:pStyle w:val="ListParagraph"/>
              <w:numPr>
                <w:ilvl w:val="0"/>
                <w:numId w:val="17"/>
              </w:numPr>
              <w:rPr>
                <w:rFonts w:ascii="Calibri" w:hAnsi="Calibri" w:cs="Arial"/>
                <w:sz w:val="18"/>
                <w:szCs w:val="18"/>
              </w:rPr>
            </w:pPr>
            <w:r w:rsidRPr="002F65D5">
              <w:rPr>
                <w:rFonts w:ascii="Calibri" w:hAnsi="Calibri" w:cs="Arial"/>
                <w:sz w:val="18"/>
                <w:szCs w:val="18"/>
              </w:rPr>
              <w:t>Bolded Source Code 1920, Contributions and Donations from Private Sources</w:t>
            </w:r>
          </w:p>
          <w:p w14:paraId="48F800C2" w14:textId="77777777" w:rsidR="002F65D5" w:rsidRPr="002F65D5" w:rsidRDefault="002F65D5" w:rsidP="002F65D5">
            <w:pPr>
              <w:pStyle w:val="ListParagraph"/>
              <w:numPr>
                <w:ilvl w:val="0"/>
                <w:numId w:val="15"/>
              </w:numPr>
              <w:spacing w:after="160" w:line="259" w:lineRule="auto"/>
              <w:rPr>
                <w:rFonts w:ascii="Calibri" w:hAnsi="Calibri" w:cs="Arial"/>
                <w:sz w:val="18"/>
                <w:szCs w:val="18"/>
              </w:rPr>
            </w:pPr>
            <w:r w:rsidRPr="002F65D5">
              <w:rPr>
                <w:rFonts w:ascii="Calibri" w:hAnsi="Calibri" w:cs="Arial"/>
                <w:sz w:val="18"/>
                <w:szCs w:val="18"/>
              </w:rPr>
              <w:t>Based on the existing Chart of Accounts, districts already have the flexibility to code revenues at either the district level or to the unique school level school when appropriate: such as school fees, local grants and private donations.</w:t>
            </w:r>
          </w:p>
          <w:p w14:paraId="6D41DE87" w14:textId="58D29703" w:rsidR="002F65D5" w:rsidRPr="00FB7815" w:rsidRDefault="002F65D5" w:rsidP="002F65D5">
            <w:pPr>
              <w:pStyle w:val="ListParagraph"/>
              <w:numPr>
                <w:ilvl w:val="0"/>
                <w:numId w:val="15"/>
              </w:numPr>
              <w:spacing w:after="160" w:line="259" w:lineRule="auto"/>
              <w:rPr>
                <w:rFonts w:ascii="Calibri" w:hAnsi="Calibri" w:cs="Arial"/>
                <w:sz w:val="18"/>
                <w:szCs w:val="18"/>
              </w:rPr>
            </w:pPr>
            <w:r w:rsidRPr="00FB7815">
              <w:rPr>
                <w:rFonts w:ascii="Calibri" w:hAnsi="Calibri" w:cs="Arial"/>
                <w:sz w:val="18"/>
                <w:szCs w:val="18"/>
              </w:rPr>
              <w:t>A District Considerations Guide is being developed as the Sub-Committee progresses in the requirements of HB 14-1292 – this guide will focus on when and what is required of LEPs, paying special attention to expenditure reporting at the unique school level, but there will also be a section on what kinds of revenue need to be reported at the unique school level, and how to code those revenues based on the Chart of Accounts current structure.</w:t>
            </w:r>
          </w:p>
          <w:p w14:paraId="1302C8E6" w14:textId="77777777" w:rsidR="002F65D5" w:rsidRPr="00E40301" w:rsidRDefault="002F65D5" w:rsidP="00C43D04">
            <w:pPr>
              <w:jc w:val="both"/>
              <w:rPr>
                <w:rFonts w:ascii="Arial" w:hAnsi="Arial" w:cs="Arial"/>
                <w:sz w:val="18"/>
                <w:szCs w:val="18"/>
              </w:rPr>
            </w:pPr>
          </w:p>
        </w:tc>
      </w:tr>
    </w:tbl>
    <w:p w14:paraId="2CFF7BE0" w14:textId="77777777" w:rsidR="002F65D5" w:rsidRPr="00E40301" w:rsidRDefault="002F65D5" w:rsidP="002F65D5">
      <w:pPr>
        <w:rPr>
          <w:rFonts w:ascii="Arial" w:hAnsi="Arial" w:cs="Arial"/>
          <w:b/>
          <w:sz w:val="18"/>
          <w:szCs w:val="18"/>
        </w:rPr>
      </w:pPr>
    </w:p>
    <w:p w14:paraId="604007EE" w14:textId="77777777" w:rsidR="002F65D5" w:rsidRPr="00E40301" w:rsidRDefault="002F65D5" w:rsidP="002F65D5">
      <w:pPr>
        <w:rPr>
          <w:rFonts w:ascii="Arial" w:hAnsi="Arial" w:cs="Arial"/>
          <w:b/>
          <w:sz w:val="18"/>
          <w:szCs w:val="18"/>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2F65D5" w:rsidRPr="00E40301" w14:paraId="52DED8C0" w14:textId="77777777" w:rsidTr="00C43D04">
        <w:trPr>
          <w:trHeight w:val="377"/>
        </w:trPr>
        <w:tc>
          <w:tcPr>
            <w:tcW w:w="9540" w:type="dxa"/>
            <w:tcBorders>
              <w:top w:val="single" w:sz="4" w:space="0" w:color="000000"/>
              <w:left w:val="single" w:sz="4" w:space="0" w:color="000000"/>
              <w:bottom w:val="single" w:sz="4" w:space="0" w:color="000000"/>
              <w:right w:val="single" w:sz="4" w:space="0" w:color="000000"/>
            </w:tcBorders>
          </w:tcPr>
          <w:p w14:paraId="137D2136" w14:textId="77777777" w:rsidR="002F65D5" w:rsidRPr="002F65D5" w:rsidRDefault="002F65D5" w:rsidP="00C43D04">
            <w:pPr>
              <w:jc w:val="both"/>
              <w:rPr>
                <w:rFonts w:ascii="Calibri" w:hAnsi="Calibri" w:cs="Arial"/>
                <w:b/>
                <w:sz w:val="18"/>
                <w:szCs w:val="18"/>
              </w:rPr>
            </w:pPr>
            <w:r w:rsidRPr="002F65D5">
              <w:rPr>
                <w:rFonts w:ascii="Calibri" w:hAnsi="Calibri" w:cs="Arial"/>
                <w:b/>
                <w:sz w:val="18"/>
                <w:szCs w:val="18"/>
                <w:highlight w:val="yellow"/>
              </w:rPr>
              <w:t>Revised Recommendation:</w:t>
            </w:r>
            <w:r w:rsidRPr="002F65D5">
              <w:rPr>
                <w:rFonts w:ascii="Calibri" w:hAnsi="Calibri" w:cs="Arial"/>
                <w:b/>
                <w:sz w:val="18"/>
                <w:szCs w:val="18"/>
              </w:rPr>
              <w:t xml:space="preserve"> </w:t>
            </w:r>
          </w:p>
          <w:p w14:paraId="426FCFBC" w14:textId="77777777" w:rsidR="002F65D5" w:rsidRPr="002F65D5" w:rsidRDefault="002F65D5" w:rsidP="00C43D04">
            <w:pPr>
              <w:ind w:left="720"/>
              <w:jc w:val="both"/>
              <w:rPr>
                <w:rFonts w:ascii="Calibri" w:hAnsi="Calibri" w:cs="Arial"/>
                <w:sz w:val="18"/>
                <w:szCs w:val="18"/>
              </w:rPr>
            </w:pPr>
          </w:p>
          <w:p w14:paraId="56814533" w14:textId="2B708A67" w:rsidR="002F65D5" w:rsidRPr="002F65D5" w:rsidRDefault="002F65D5" w:rsidP="00C43D04">
            <w:pPr>
              <w:rPr>
                <w:rFonts w:ascii="Calibri" w:eastAsia="Times New Roman" w:hAnsi="Calibri" w:cs="Arial"/>
                <w:sz w:val="18"/>
                <w:szCs w:val="18"/>
              </w:rPr>
            </w:pPr>
            <w:r w:rsidRPr="00FB7815">
              <w:rPr>
                <w:rFonts w:ascii="Calibri" w:eastAsia="Times New Roman" w:hAnsi="Calibri" w:cs="Arial"/>
                <w:sz w:val="18"/>
                <w:szCs w:val="18"/>
              </w:rPr>
              <w:t xml:space="preserve">The current Chart of Accounts allows for </w:t>
            </w:r>
            <w:r w:rsidRPr="00FB7815">
              <w:rPr>
                <w:rFonts w:ascii="Calibri" w:eastAsia="Times New Roman" w:hAnsi="Calibri" w:cs="Arial"/>
                <w:bCs/>
                <w:sz w:val="18"/>
                <w:szCs w:val="18"/>
              </w:rPr>
              <w:t>appropriate</w:t>
            </w:r>
            <w:r w:rsidRPr="00FB7815">
              <w:rPr>
                <w:rFonts w:ascii="Calibri" w:eastAsia="Times New Roman" w:hAnsi="Calibri" w:cs="Arial"/>
                <w:sz w:val="18"/>
                <w:szCs w:val="18"/>
              </w:rPr>
              <w:t xml:space="preserve"> reporting at the unique school site level using source of revenue codes 1760 and 1920:  Pupil Activity Gifts and Contributions and Contributions and Donations from Private Sources.  Given that the Chart of Accounts addresses specific revenue </w:t>
            </w:r>
            <w:r w:rsidRPr="00FB7815">
              <w:rPr>
                <w:rFonts w:ascii="Calibri" w:eastAsia="Times New Roman" w:hAnsi="Calibri" w:cs="Arial"/>
                <w:bCs/>
                <w:sz w:val="18"/>
                <w:szCs w:val="18"/>
              </w:rPr>
              <w:t xml:space="preserve">appropriate for reporting </w:t>
            </w:r>
            <w:r w:rsidRPr="00FB7815">
              <w:rPr>
                <w:rFonts w:ascii="Calibri" w:eastAsia="Times New Roman" w:hAnsi="Calibri" w:cs="Arial"/>
                <w:sz w:val="18"/>
                <w:szCs w:val="18"/>
              </w:rPr>
              <w:t xml:space="preserve">at unique school sites, the Financial Policies and Procedures (FPP) Committee recommends that no changes be made to revenue </w:t>
            </w:r>
            <w:r w:rsidRPr="00FB7815">
              <w:rPr>
                <w:rFonts w:ascii="Calibri" w:eastAsia="Times New Roman" w:hAnsi="Calibri" w:cs="Arial"/>
                <w:sz w:val="18"/>
                <w:szCs w:val="18"/>
              </w:rPr>
              <w:lastRenderedPageBreak/>
              <w:t>reporting.</w:t>
            </w:r>
            <w:r w:rsidRPr="002F65D5">
              <w:rPr>
                <w:rFonts w:ascii="Calibri" w:eastAsia="Times New Roman" w:hAnsi="Calibri" w:cs="Arial"/>
                <w:sz w:val="18"/>
                <w:szCs w:val="18"/>
              </w:rPr>
              <w:br/>
              <w:t> </w:t>
            </w:r>
            <w:r w:rsidRPr="002F65D5">
              <w:rPr>
                <w:rFonts w:ascii="Calibri" w:eastAsia="Times New Roman" w:hAnsi="Calibri" w:cs="Arial"/>
                <w:sz w:val="18"/>
                <w:szCs w:val="18"/>
              </w:rPr>
              <w:br/>
              <w:t>The FPP Committee believes that revenue which can and should be tied to unique school sites is already addressed in the Chart of Accounts: gifts</w:t>
            </w:r>
            <w:r w:rsidR="00A032E9">
              <w:rPr>
                <w:rFonts w:ascii="Calibri" w:eastAsia="Times New Roman" w:hAnsi="Calibri" w:cs="Arial"/>
                <w:sz w:val="18"/>
                <w:szCs w:val="18"/>
              </w:rPr>
              <w:t xml:space="preserve">, </w:t>
            </w:r>
            <w:r w:rsidR="00FB7815">
              <w:rPr>
                <w:rFonts w:ascii="Calibri" w:eastAsia="Times New Roman" w:hAnsi="Calibri" w:cs="Arial"/>
                <w:sz w:val="18"/>
                <w:szCs w:val="18"/>
              </w:rPr>
              <w:t>contributions a</w:t>
            </w:r>
            <w:r w:rsidRPr="002F65D5">
              <w:rPr>
                <w:rFonts w:ascii="Calibri" w:eastAsia="Times New Roman" w:hAnsi="Calibri" w:cs="Arial"/>
                <w:sz w:val="18"/>
                <w:szCs w:val="18"/>
              </w:rPr>
              <w:t>nd donations.  The reporting of activity, such as local property tax revenue, and State Equalization should not be tied to unique school sites because this is centralized revenue, and the focus for uniqu</w:t>
            </w:r>
            <w:r w:rsidRPr="00FB7815">
              <w:rPr>
                <w:rFonts w:ascii="Calibri" w:eastAsia="Times New Roman" w:hAnsi="Calibri" w:cs="Arial"/>
                <w:sz w:val="18"/>
                <w:szCs w:val="18"/>
              </w:rPr>
              <w:t xml:space="preserve">e school sites should be what is being spent at those unique school sites, and not </w:t>
            </w:r>
            <w:r w:rsidRPr="00FB7815">
              <w:rPr>
                <w:rFonts w:ascii="Calibri" w:eastAsia="Times New Roman" w:hAnsi="Calibri" w:cs="Arial"/>
                <w:bCs/>
                <w:sz w:val="18"/>
                <w:szCs w:val="18"/>
              </w:rPr>
              <w:t>the sources of district revenue</w:t>
            </w:r>
            <w:r w:rsidR="00FB7815" w:rsidRPr="00FB7815">
              <w:rPr>
                <w:rFonts w:ascii="Calibri" w:eastAsia="Times New Roman" w:hAnsi="Calibri" w:cs="Arial"/>
                <w:sz w:val="18"/>
                <w:szCs w:val="18"/>
              </w:rPr>
              <w:t>.</w:t>
            </w:r>
            <w:r w:rsidRPr="00FB7815">
              <w:rPr>
                <w:rFonts w:ascii="Calibri" w:eastAsia="Times New Roman" w:hAnsi="Calibri" w:cs="Arial"/>
                <w:sz w:val="18"/>
                <w:szCs w:val="18"/>
              </w:rPr>
              <w:t xml:space="preserve">  The nature of property taxes and State Equalization is generated at the district level and not the unique school level.  All appropriate revenues which unique schools </w:t>
            </w:r>
            <w:r w:rsidRPr="00FB7815">
              <w:rPr>
                <w:rFonts w:ascii="Calibri" w:eastAsia="Times New Roman" w:hAnsi="Calibri" w:cs="Arial"/>
                <w:bCs/>
                <w:sz w:val="18"/>
                <w:szCs w:val="18"/>
              </w:rPr>
              <w:t>generate</w:t>
            </w:r>
            <w:r w:rsidRPr="00FB7815">
              <w:rPr>
                <w:rFonts w:ascii="Calibri" w:eastAsia="Times New Roman" w:hAnsi="Calibri" w:cs="Arial"/>
                <w:sz w:val="18"/>
                <w:szCs w:val="18"/>
              </w:rPr>
              <w:t xml:space="preserve"> are captured in the current Chart of Accounts structure.</w:t>
            </w:r>
            <w:r w:rsidRPr="002F65D5">
              <w:rPr>
                <w:rFonts w:ascii="Calibri" w:eastAsia="Times New Roman" w:hAnsi="Calibri" w:cs="Arial"/>
                <w:sz w:val="18"/>
                <w:szCs w:val="18"/>
              </w:rPr>
              <w:br/>
              <w:t> </w:t>
            </w:r>
            <w:r w:rsidRPr="002F65D5">
              <w:rPr>
                <w:rFonts w:ascii="Calibri" w:eastAsia="Times New Roman" w:hAnsi="Calibri" w:cs="Arial"/>
                <w:sz w:val="18"/>
                <w:szCs w:val="18"/>
              </w:rPr>
              <w:br/>
            </w:r>
            <w:r w:rsidRPr="00FB7815">
              <w:rPr>
                <w:rFonts w:ascii="Calibri" w:eastAsia="Times New Roman" w:hAnsi="Calibri" w:cs="Arial"/>
                <w:bCs/>
                <w:sz w:val="18"/>
                <w:szCs w:val="18"/>
              </w:rPr>
              <w:t>Per Pupil Revenue is not a true revenue source, but rather a calculation based on student and district demographics.  The sources of the revenue to meet the funding level determined by the formula in the School Finance Act are tied exclusively to the district.  Property tax is not levied by a school, but uniformly for all areas of a district.  Equalized Specific Ownership Tax is generated by area car registrations and not tied to a student or a school.  The State Share of school funding is tied to a formula as the remainder to be funded after taking into account the amount generated by local taxes.  To allocat</w:t>
            </w:r>
            <w:bookmarkStart w:id="0" w:name="_GoBack"/>
            <w:bookmarkEnd w:id="0"/>
            <w:r w:rsidRPr="00FB7815">
              <w:rPr>
                <w:rFonts w:ascii="Calibri" w:eastAsia="Times New Roman" w:hAnsi="Calibri" w:cs="Arial"/>
                <w:bCs/>
                <w:sz w:val="18"/>
                <w:szCs w:val="18"/>
              </w:rPr>
              <w:t xml:space="preserve">e those types of revenues to a specific school would not paint an accurate picture of a district's overall funding.  At best, the allocation would be a proportional share of overall per pupil funding by revenue source.  This would not accurately reflect where, how and why those taxes were generated when a student is </w:t>
            </w:r>
            <w:proofErr w:type="gramStart"/>
            <w:r w:rsidRPr="00FB7815">
              <w:rPr>
                <w:rFonts w:ascii="Calibri" w:eastAsia="Times New Roman" w:hAnsi="Calibri" w:cs="Arial"/>
                <w:bCs/>
                <w:sz w:val="18"/>
                <w:szCs w:val="18"/>
              </w:rPr>
              <w:t>open</w:t>
            </w:r>
            <w:proofErr w:type="gramEnd"/>
            <w:r w:rsidRPr="00FB7815">
              <w:rPr>
                <w:rFonts w:ascii="Calibri" w:eastAsia="Times New Roman" w:hAnsi="Calibri" w:cs="Arial"/>
                <w:bCs/>
                <w:sz w:val="18"/>
                <w:szCs w:val="18"/>
              </w:rPr>
              <w:t xml:space="preserve"> enrolled, or a district covers multiple municipalities or counties.  At worst, it would be a nearly impossible process and calculation to track down to the student level the actual source of revenue.</w:t>
            </w:r>
          </w:p>
          <w:p w14:paraId="38489091" w14:textId="77777777" w:rsidR="002F65D5" w:rsidRPr="00E40301" w:rsidRDefault="002F65D5" w:rsidP="00C43D04">
            <w:pPr>
              <w:ind w:left="720"/>
              <w:jc w:val="both"/>
              <w:rPr>
                <w:rFonts w:ascii="Arial" w:hAnsi="Arial" w:cs="Arial"/>
                <w:sz w:val="18"/>
                <w:szCs w:val="18"/>
              </w:rPr>
            </w:pPr>
          </w:p>
        </w:tc>
      </w:tr>
    </w:tbl>
    <w:p w14:paraId="1A0DA259" w14:textId="77777777" w:rsidR="002F65D5" w:rsidRPr="00E40301" w:rsidRDefault="002F65D5" w:rsidP="002F65D5">
      <w:pPr>
        <w:rPr>
          <w:rFonts w:ascii="Arial" w:hAnsi="Arial" w:cs="Arial"/>
          <w:b/>
          <w:sz w:val="18"/>
          <w:szCs w:val="18"/>
        </w:rPr>
      </w:pPr>
    </w:p>
    <w:p w14:paraId="1819E589" w14:textId="77777777" w:rsidR="002F65D5" w:rsidRPr="002F65D5" w:rsidRDefault="002F65D5" w:rsidP="002F65D5">
      <w:pPr>
        <w:numPr>
          <w:ilvl w:val="0"/>
          <w:numId w:val="14"/>
        </w:numPr>
        <w:rPr>
          <w:rFonts w:ascii="Trebuchet MS" w:hAnsi="Trebuchet MS" w:cs="Arial"/>
          <w:b/>
          <w:sz w:val="18"/>
          <w:szCs w:val="18"/>
        </w:rPr>
      </w:pPr>
      <w:r w:rsidRPr="002F65D5">
        <w:rPr>
          <w:rFonts w:ascii="Trebuchet MS" w:hAnsi="Trebuchet MS" w:cs="Arial"/>
          <w:b/>
          <w:sz w:val="18"/>
          <w:szCs w:val="18"/>
        </w:rPr>
        <w:t>FPP Action, Decision Made: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2F65D5" w:rsidRPr="00E40301" w14:paraId="4A1CC0E3" w14:textId="77777777" w:rsidTr="00C43D04">
        <w:trPr>
          <w:trHeight w:val="467"/>
        </w:trPr>
        <w:tc>
          <w:tcPr>
            <w:tcW w:w="9540" w:type="dxa"/>
            <w:tcBorders>
              <w:top w:val="single" w:sz="4" w:space="0" w:color="000000"/>
              <w:left w:val="single" w:sz="4" w:space="0" w:color="000000"/>
              <w:bottom w:val="single" w:sz="4" w:space="0" w:color="000000"/>
              <w:right w:val="single" w:sz="4" w:space="0" w:color="000000"/>
            </w:tcBorders>
          </w:tcPr>
          <w:p w14:paraId="34876AE6" w14:textId="77777777" w:rsidR="002F65D5" w:rsidRPr="00E40301" w:rsidRDefault="002F65D5" w:rsidP="00C43D04">
            <w:pPr>
              <w:jc w:val="both"/>
              <w:rPr>
                <w:rFonts w:ascii="Arial" w:hAnsi="Arial" w:cs="Arial"/>
                <w:sz w:val="18"/>
                <w:szCs w:val="18"/>
              </w:rPr>
            </w:pPr>
          </w:p>
        </w:tc>
      </w:tr>
    </w:tbl>
    <w:p w14:paraId="4C209B4E" w14:textId="77777777" w:rsidR="002F65D5" w:rsidRPr="00E40301" w:rsidRDefault="002F65D5" w:rsidP="002F65D5">
      <w:pPr>
        <w:rPr>
          <w:rFonts w:ascii="Arial" w:hAnsi="Arial" w:cs="Arial"/>
          <w:b/>
          <w:sz w:val="18"/>
          <w:szCs w:val="18"/>
        </w:rPr>
      </w:pPr>
    </w:p>
    <w:p w14:paraId="19F2ED2F" w14:textId="77777777" w:rsidR="002F65D5" w:rsidRPr="002F65D5" w:rsidRDefault="002F65D5" w:rsidP="002F65D5">
      <w:pPr>
        <w:numPr>
          <w:ilvl w:val="0"/>
          <w:numId w:val="14"/>
        </w:numPr>
        <w:rPr>
          <w:rFonts w:ascii="Trebuchet MS" w:hAnsi="Trebuchet MS" w:cs="Arial"/>
          <w:b/>
          <w:sz w:val="18"/>
          <w:szCs w:val="18"/>
        </w:rPr>
      </w:pPr>
      <w:r w:rsidRPr="002F65D5">
        <w:rPr>
          <w:rFonts w:ascii="Trebuchet MS" w:hAnsi="Trebuchet MS" w:cs="Arial"/>
          <w:b/>
          <w:sz w:val="18"/>
          <w:szCs w:val="18"/>
        </w:rPr>
        <w:t>Further Action/Research Needed/Table for Future Meeting:</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2F65D5" w:rsidRPr="00E40301" w14:paraId="6CDABB03" w14:textId="77777777" w:rsidTr="00C43D04">
        <w:trPr>
          <w:trHeight w:val="467"/>
        </w:trPr>
        <w:tc>
          <w:tcPr>
            <w:tcW w:w="9540" w:type="dxa"/>
            <w:tcBorders>
              <w:top w:val="single" w:sz="4" w:space="0" w:color="000000"/>
              <w:left w:val="single" w:sz="4" w:space="0" w:color="000000"/>
              <w:bottom w:val="single" w:sz="4" w:space="0" w:color="000000"/>
              <w:right w:val="single" w:sz="4" w:space="0" w:color="000000"/>
            </w:tcBorders>
          </w:tcPr>
          <w:p w14:paraId="1781E27E" w14:textId="77777777" w:rsidR="002F65D5" w:rsidRPr="00E40301" w:rsidRDefault="002F65D5" w:rsidP="00C43D04">
            <w:pPr>
              <w:jc w:val="both"/>
              <w:rPr>
                <w:rFonts w:ascii="Arial" w:hAnsi="Arial" w:cs="Arial"/>
                <w:sz w:val="18"/>
                <w:szCs w:val="18"/>
              </w:rPr>
            </w:pPr>
          </w:p>
        </w:tc>
      </w:tr>
    </w:tbl>
    <w:p w14:paraId="1E45479F" w14:textId="77777777" w:rsidR="002F65D5" w:rsidRPr="00E40301" w:rsidRDefault="002F65D5" w:rsidP="002F65D5">
      <w:pPr>
        <w:rPr>
          <w:rFonts w:ascii="Arial" w:hAnsi="Arial" w:cs="Arial"/>
          <w:b/>
          <w:sz w:val="18"/>
          <w:szCs w:val="18"/>
        </w:rPr>
      </w:pPr>
    </w:p>
    <w:p w14:paraId="62D95708" w14:textId="77777777" w:rsidR="002F65D5" w:rsidRPr="002F65D5" w:rsidRDefault="002F65D5" w:rsidP="002F65D5">
      <w:pPr>
        <w:numPr>
          <w:ilvl w:val="0"/>
          <w:numId w:val="14"/>
        </w:numPr>
        <w:rPr>
          <w:rFonts w:ascii="Trebuchet MS" w:hAnsi="Trebuchet MS" w:cs="Arial"/>
          <w:b/>
          <w:sz w:val="18"/>
          <w:szCs w:val="18"/>
        </w:rPr>
      </w:pPr>
      <w:r w:rsidRPr="002F65D5">
        <w:rPr>
          <w:rFonts w:ascii="Trebuchet MS" w:hAnsi="Trebuchet MS" w:cs="Arial"/>
          <w:b/>
          <w:sz w:val="18"/>
          <w:szCs w:val="18"/>
        </w:rPr>
        <w:t>Effective Date: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2F65D5" w:rsidRPr="00E40301" w14:paraId="024AA0C6" w14:textId="77777777" w:rsidTr="00C43D04">
        <w:trPr>
          <w:trHeight w:val="377"/>
        </w:trPr>
        <w:tc>
          <w:tcPr>
            <w:tcW w:w="9540" w:type="dxa"/>
            <w:tcBorders>
              <w:top w:val="single" w:sz="4" w:space="0" w:color="000000"/>
              <w:left w:val="single" w:sz="4" w:space="0" w:color="000000"/>
              <w:bottom w:val="single" w:sz="4" w:space="0" w:color="000000"/>
              <w:right w:val="single" w:sz="4" w:space="0" w:color="000000"/>
            </w:tcBorders>
          </w:tcPr>
          <w:p w14:paraId="46ECB78E" w14:textId="77777777" w:rsidR="002F65D5" w:rsidRPr="00E40301" w:rsidRDefault="002F65D5" w:rsidP="00C43D04">
            <w:pPr>
              <w:jc w:val="both"/>
              <w:rPr>
                <w:rFonts w:ascii="Arial" w:hAnsi="Arial" w:cs="Arial"/>
                <w:sz w:val="18"/>
                <w:szCs w:val="18"/>
              </w:rPr>
            </w:pPr>
          </w:p>
        </w:tc>
      </w:tr>
    </w:tbl>
    <w:p w14:paraId="04068BC6" w14:textId="77777777" w:rsidR="002F65D5" w:rsidRPr="00E40301" w:rsidRDefault="002F65D5" w:rsidP="002F65D5">
      <w:pPr>
        <w:jc w:val="both"/>
        <w:rPr>
          <w:rFonts w:ascii="Arial" w:hAnsi="Arial" w:cs="Arial"/>
          <w:sz w:val="18"/>
          <w:szCs w:val="18"/>
        </w:rPr>
      </w:pPr>
    </w:p>
    <w:p w14:paraId="0A2CD51F" w14:textId="77777777" w:rsidR="002F65D5" w:rsidRPr="00E40301" w:rsidRDefault="002F65D5" w:rsidP="002F65D5">
      <w:pPr>
        <w:rPr>
          <w:rFonts w:ascii="Arial" w:hAnsi="Arial" w:cs="Arial"/>
          <w:sz w:val="18"/>
          <w:szCs w:val="18"/>
        </w:rPr>
      </w:pPr>
    </w:p>
    <w:p w14:paraId="74F8B47C" w14:textId="77777777" w:rsidR="002F65D5" w:rsidRPr="00E40301" w:rsidRDefault="002F65D5" w:rsidP="002F65D5">
      <w:pPr>
        <w:rPr>
          <w:rFonts w:ascii="Arial" w:hAnsi="Arial" w:cs="Arial"/>
          <w:sz w:val="18"/>
          <w:szCs w:val="18"/>
        </w:rPr>
      </w:pPr>
    </w:p>
    <w:p w14:paraId="0430F467" w14:textId="77777777" w:rsidR="002F65D5" w:rsidRPr="00E40301" w:rsidRDefault="002F65D5" w:rsidP="002F65D5">
      <w:pPr>
        <w:rPr>
          <w:rFonts w:ascii="Arial" w:hAnsi="Arial" w:cs="Arial"/>
          <w:sz w:val="18"/>
          <w:szCs w:val="18"/>
        </w:rPr>
      </w:pPr>
    </w:p>
    <w:p w14:paraId="651CBE5A" w14:textId="77777777" w:rsidR="002F65D5" w:rsidRPr="00E40301" w:rsidRDefault="002F65D5" w:rsidP="002F65D5">
      <w:pPr>
        <w:rPr>
          <w:rFonts w:ascii="Arial" w:hAnsi="Arial" w:cs="Arial"/>
          <w:sz w:val="18"/>
          <w:szCs w:val="18"/>
        </w:rPr>
      </w:pPr>
    </w:p>
    <w:p w14:paraId="1ABF5F9C" w14:textId="77777777" w:rsidR="002F65D5" w:rsidRPr="00E40301" w:rsidRDefault="002F65D5" w:rsidP="002F65D5">
      <w:pPr>
        <w:rPr>
          <w:rFonts w:ascii="Arial" w:hAnsi="Arial" w:cs="Arial"/>
          <w:sz w:val="18"/>
          <w:szCs w:val="18"/>
        </w:rPr>
      </w:pPr>
    </w:p>
    <w:p w14:paraId="3AC3A024" w14:textId="77777777" w:rsidR="002F65D5" w:rsidRPr="00E40301" w:rsidRDefault="002F65D5" w:rsidP="002F65D5">
      <w:pPr>
        <w:rPr>
          <w:rFonts w:ascii="Arial" w:hAnsi="Arial" w:cs="Arial"/>
          <w:sz w:val="18"/>
          <w:szCs w:val="18"/>
        </w:rPr>
      </w:pPr>
    </w:p>
    <w:p w14:paraId="7DE34EF4" w14:textId="77777777" w:rsidR="002F65D5" w:rsidRPr="00E40301" w:rsidRDefault="002F65D5" w:rsidP="002F65D5">
      <w:pPr>
        <w:rPr>
          <w:rFonts w:ascii="Arial" w:hAnsi="Arial" w:cs="Arial"/>
          <w:sz w:val="18"/>
          <w:szCs w:val="18"/>
        </w:rPr>
      </w:pPr>
    </w:p>
    <w:p w14:paraId="1458EA98" w14:textId="77777777" w:rsidR="002F65D5" w:rsidRPr="00E40301" w:rsidRDefault="002F65D5" w:rsidP="002F65D5">
      <w:pPr>
        <w:rPr>
          <w:rFonts w:ascii="Arial" w:hAnsi="Arial" w:cs="Arial"/>
          <w:sz w:val="18"/>
          <w:szCs w:val="18"/>
        </w:rPr>
      </w:pPr>
    </w:p>
    <w:p w14:paraId="322C77C0" w14:textId="77777777" w:rsidR="002F65D5" w:rsidRPr="00E40301" w:rsidRDefault="002F65D5" w:rsidP="002F65D5">
      <w:pPr>
        <w:rPr>
          <w:rFonts w:ascii="Arial" w:hAnsi="Arial" w:cs="Arial"/>
          <w:sz w:val="18"/>
          <w:szCs w:val="18"/>
        </w:rPr>
      </w:pPr>
    </w:p>
    <w:p w14:paraId="6EFAD2DE" w14:textId="77777777" w:rsidR="002F65D5" w:rsidRPr="00E40301" w:rsidRDefault="002F65D5" w:rsidP="002F65D5">
      <w:pPr>
        <w:rPr>
          <w:rFonts w:ascii="Arial" w:hAnsi="Arial" w:cs="Arial"/>
          <w:sz w:val="18"/>
          <w:szCs w:val="18"/>
        </w:rPr>
      </w:pPr>
    </w:p>
    <w:p w14:paraId="277891DA" w14:textId="77777777" w:rsidR="002F65D5" w:rsidRPr="00E40301" w:rsidRDefault="002F65D5" w:rsidP="002F65D5">
      <w:pPr>
        <w:rPr>
          <w:rFonts w:ascii="Arial" w:hAnsi="Arial" w:cs="Arial"/>
          <w:sz w:val="18"/>
          <w:szCs w:val="18"/>
        </w:rPr>
      </w:pPr>
    </w:p>
    <w:p w14:paraId="57800DC5" w14:textId="77777777" w:rsidR="002F65D5" w:rsidRPr="00E40301" w:rsidRDefault="002F65D5" w:rsidP="002F65D5">
      <w:pPr>
        <w:rPr>
          <w:rFonts w:ascii="Arial" w:hAnsi="Arial" w:cs="Arial"/>
          <w:sz w:val="18"/>
          <w:szCs w:val="18"/>
        </w:rPr>
      </w:pPr>
    </w:p>
    <w:p w14:paraId="669D1388" w14:textId="77777777" w:rsidR="002F65D5" w:rsidRPr="00E40301" w:rsidRDefault="002F65D5" w:rsidP="002F65D5">
      <w:pPr>
        <w:rPr>
          <w:rFonts w:ascii="Arial" w:hAnsi="Arial" w:cs="Arial"/>
          <w:sz w:val="18"/>
          <w:szCs w:val="18"/>
        </w:rPr>
      </w:pPr>
    </w:p>
    <w:p w14:paraId="330347DC" w14:textId="77777777" w:rsidR="002F65D5" w:rsidRPr="00E40301" w:rsidRDefault="002F65D5" w:rsidP="002F65D5">
      <w:pPr>
        <w:rPr>
          <w:rFonts w:ascii="Arial" w:hAnsi="Arial" w:cs="Arial"/>
          <w:sz w:val="18"/>
          <w:szCs w:val="18"/>
        </w:rPr>
      </w:pPr>
    </w:p>
    <w:p w14:paraId="20EB1282" w14:textId="748BE81C" w:rsidR="004F2605" w:rsidRPr="001D494A" w:rsidRDefault="004F2605" w:rsidP="002F65D5">
      <w:pPr>
        <w:pStyle w:val="body"/>
        <w:rPr>
          <w:rFonts w:eastAsia="Times New Roman" w:cs="Arial"/>
          <w:sz w:val="21"/>
          <w:szCs w:val="21"/>
        </w:rPr>
      </w:pPr>
    </w:p>
    <w:sectPr w:rsidR="004F2605" w:rsidRPr="001D494A" w:rsidSect="00F64841">
      <w:footerReference w:type="default" r:id="rId9"/>
      <w:headerReference w:type="first" r:id="rId10"/>
      <w:footerReference w:type="first" r:id="rId11"/>
      <w:pgSz w:w="12240" w:h="15840"/>
      <w:pgMar w:top="878" w:right="1800" w:bottom="360" w:left="1080" w:header="634" w:footer="18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5EB5A" w14:textId="77777777" w:rsidR="006678D7" w:rsidRDefault="006678D7" w:rsidP="00370CDA">
      <w:r>
        <w:separator/>
      </w:r>
    </w:p>
  </w:endnote>
  <w:endnote w:type="continuationSeparator" w:id="0">
    <w:p w14:paraId="629E3C86" w14:textId="77777777" w:rsidR="006678D7" w:rsidRDefault="006678D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useo Slab 5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4B7A9" w14:textId="77777777" w:rsidR="005776FA" w:rsidRDefault="003D1DE2">
    <w:pPr>
      <w:pStyle w:val="Footer"/>
    </w:pPr>
    <w:r>
      <w:rPr>
        <w:noProof/>
      </w:rPr>
      <w:drawing>
        <wp:anchor distT="0" distB="0" distL="114300" distR="114300" simplePos="0" relativeHeight="251659264" behindDoc="0" locked="0" layoutInCell="1" allowOverlap="1" wp14:anchorId="406E94B2" wp14:editId="6D4B513F">
          <wp:simplePos x="0" y="0"/>
          <wp:positionH relativeFrom="column">
            <wp:posOffset>5486400</wp:posOffset>
          </wp:positionH>
          <wp:positionV relativeFrom="paragraph">
            <wp:posOffset>475615</wp:posOffset>
          </wp:positionV>
          <wp:extent cx="15240" cy="345440"/>
          <wp:effectExtent l="0" t="0" r="0" b="0"/>
          <wp:wrapNone/>
          <wp:docPr id="86" name="Picture 86"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5408" behindDoc="0" locked="1" layoutInCell="1" allowOverlap="1" wp14:anchorId="7D78BCE4" wp14:editId="6FF085BC">
              <wp:simplePos x="0" y="0"/>
              <wp:positionH relativeFrom="column">
                <wp:posOffset>0</wp:posOffset>
              </wp:positionH>
              <wp:positionV relativeFrom="page">
                <wp:posOffset>9144000</wp:posOffset>
              </wp:positionV>
              <wp:extent cx="5367655" cy="347472"/>
              <wp:effectExtent l="0" t="0" r="17145" b="8255"/>
              <wp:wrapNone/>
              <wp:docPr id="9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347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D53BA" w14:textId="77777777" w:rsidR="00837814" w:rsidRDefault="00837814" w:rsidP="00837814">
                          <w:pPr>
                            <w:pStyle w:val="returnaddressbottom"/>
                          </w:pPr>
                          <w:r>
                            <w:t>201 East Colfax Avenue, Room 206, Denver, CO 80203-1799</w:t>
                          </w:r>
                          <w:r>
                            <w:rPr>
                              <w:rFonts w:ascii="Times New Roman" w:hAnsi="Times New Roman"/>
                            </w:rPr>
                            <w:t> </w:t>
                          </w:r>
                          <w:r>
                            <w:t>P 303.866.6847</w:t>
                          </w:r>
                          <w:r>
                            <w:rPr>
                              <w:rFonts w:ascii="Times New Roman" w:hAnsi="Times New Roman"/>
                            </w:rPr>
                            <w:t> </w:t>
                          </w:r>
                          <w:r>
                            <w:t>F 303.866.6663</w:t>
                          </w:r>
                        </w:p>
                        <w:p w14:paraId="6785FD51" w14:textId="77777777" w:rsidR="00AE74B2" w:rsidRPr="00CA6E16" w:rsidRDefault="00AE74B2" w:rsidP="00AE74B2">
                          <w:pPr>
                            <w:pStyle w:val="returnaddressbottom"/>
                          </w:pPr>
                          <w:r>
                            <w:t xml:space="preserve">Robert K. Hammond, Commissioner of Education | Keith Owen Ph.D., Deputy Commissioner | </w:t>
                          </w:r>
                          <w:r w:rsidRPr="00CA6E16">
                            <w:t>www.</w:t>
                          </w:r>
                          <w:r>
                            <w:t>cde.state.co.us</w:t>
                          </w:r>
                        </w:p>
                        <w:p w14:paraId="1A53EBE3" w14:textId="77777777" w:rsidR="00AE74B2" w:rsidRPr="00CA6E16" w:rsidRDefault="00AE74B2" w:rsidP="00AE74B2">
                          <w:pPr>
                            <w:pStyle w:val="returnaddressbottom"/>
                          </w:pPr>
                        </w:p>
                        <w:p w14:paraId="4B146D17" w14:textId="794778B3" w:rsidR="005776FA" w:rsidRPr="00CA6E16" w:rsidRDefault="005776FA" w:rsidP="00FC0C58">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0;margin-top:10in;width:422.65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o2rg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" filled="f" stroked="f">
              <v:textbox inset="0,0,0,0">
                <w:txbxContent>
                  <w:p w14:paraId="19DD53BA" w14:textId="77777777" w:rsidR="00837814" w:rsidRDefault="00837814" w:rsidP="00837814">
                    <w:pPr>
                      <w:pStyle w:val="returnaddressbottom"/>
                    </w:pPr>
                    <w:r>
                      <w:t>201 East Colfax Avenue, Room 206, Denver, CO 80203-1799</w:t>
                    </w:r>
                    <w:r>
                      <w:rPr>
                        <w:rFonts w:ascii="Times New Roman" w:hAnsi="Times New Roman"/>
                      </w:rPr>
                      <w:t> </w:t>
                    </w:r>
                    <w:r>
                      <w:t>P 303.866.6847</w:t>
                    </w:r>
                    <w:r>
                      <w:rPr>
                        <w:rFonts w:ascii="Times New Roman" w:hAnsi="Times New Roman"/>
                      </w:rPr>
                      <w:t> </w:t>
                    </w:r>
                    <w:r>
                      <w:t>F 303.866.6663</w:t>
                    </w:r>
                  </w:p>
                  <w:p w14:paraId="6785FD51" w14:textId="77777777" w:rsidR="00AE74B2" w:rsidRPr="00CA6E16" w:rsidRDefault="00AE74B2" w:rsidP="00AE74B2">
                    <w:pPr>
                      <w:pStyle w:val="returnaddressbottom"/>
                    </w:pPr>
                    <w:r>
                      <w:t xml:space="preserve">Robert K. Hammond, Commissioner of Education | Keith Owen Ph.D., Deputy Commissioner | </w:t>
                    </w:r>
                    <w:r w:rsidRPr="00CA6E16">
                      <w:t>www.</w:t>
                    </w:r>
                    <w:r>
                      <w:t>cde.state.co.us</w:t>
                    </w:r>
                  </w:p>
                  <w:p w14:paraId="1A53EBE3" w14:textId="77777777" w:rsidR="00AE74B2" w:rsidRPr="00CA6E16" w:rsidRDefault="00AE74B2" w:rsidP="00AE74B2">
                    <w:pPr>
                      <w:pStyle w:val="returnaddressbottom"/>
                    </w:pPr>
                  </w:p>
                  <w:p w14:paraId="4B146D17" w14:textId="794778B3" w:rsidR="005776FA" w:rsidRPr="00CA6E16" w:rsidRDefault="005776FA" w:rsidP="00FC0C58">
                    <w:pPr>
                      <w:pStyle w:val="returnaddressbottom"/>
                    </w:pPr>
                  </w:p>
                </w:txbxContent>
              </v:textbox>
              <w10:wrap anchory="page"/>
              <w10:anchorlock/>
            </v:shape>
          </w:pict>
        </mc:Fallback>
      </mc:AlternateContent>
    </w:r>
    <w:r w:rsidR="005776FA">
      <w:rPr>
        <w:noProof/>
      </w:rPr>
      <w:drawing>
        <wp:anchor distT="0" distB="0" distL="114300" distR="114300" simplePos="0" relativeHeight="251661312" behindDoc="0" locked="1" layoutInCell="1" allowOverlap="1" wp14:anchorId="6801AA71" wp14:editId="22F4A019">
          <wp:simplePos x="0" y="0"/>
          <wp:positionH relativeFrom="column">
            <wp:posOffset>5632450</wp:posOffset>
          </wp:positionH>
          <wp:positionV relativeFrom="paragraph">
            <wp:posOffset>265430</wp:posOffset>
          </wp:positionV>
          <wp:extent cx="727710" cy="731520"/>
          <wp:effectExtent l="0" t="0" r="0" b="0"/>
          <wp:wrapNone/>
          <wp:docPr id="87" name="Picture 87"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07D23" w14:textId="77777777" w:rsidR="005776FA" w:rsidRDefault="003D1DE2"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1DAE99E7" wp14:editId="4E52FCF2">
              <wp:simplePos x="0" y="0"/>
              <wp:positionH relativeFrom="column">
                <wp:posOffset>-62865</wp:posOffset>
              </wp:positionH>
              <wp:positionV relativeFrom="paragraph">
                <wp:posOffset>814070</wp:posOffset>
              </wp:positionV>
              <wp:extent cx="5373370" cy="228600"/>
              <wp:effectExtent l="635" t="1270" r="0" b="0"/>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1F78" w14:textId="77777777" w:rsidR="005776FA" w:rsidRPr="00CA6E16" w:rsidRDefault="005776FA"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A+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BMSoD6zAgAAsgUA&#10;AA4AAAAAAAAAAAAAAAAALgIAAGRycy9lMm9Eb2MueG1sUEsBAi0AFAAGAAgAAAAhAJASWsDfAAAA&#10;CgEAAA8AAAAAAAAAAAAAAAAADQUAAGRycy9kb3ducmV2LnhtbFBLBQYAAAAABAAEAPMAAAAZBgAA&#10;AAA=&#10;" filled="f" stroked="f">
              <v:textbox inset="0,0,0,0">
                <w:txbxContent>
                  <w:p w14:paraId="38B01F78" w14:textId="77777777" w:rsidR="005776FA" w:rsidRPr="00CA6E16" w:rsidRDefault="005776FA"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5776FA">
      <w:rPr>
        <w:noProof/>
      </w:rPr>
      <w:drawing>
        <wp:anchor distT="0" distB="0" distL="114300" distR="114300" simplePos="0" relativeHeight="251655168" behindDoc="1" locked="0" layoutInCell="1" allowOverlap="1" wp14:anchorId="60BEBB6F" wp14:editId="10298444">
          <wp:simplePos x="0" y="0"/>
          <wp:positionH relativeFrom="column">
            <wp:posOffset>5486400</wp:posOffset>
          </wp:positionH>
          <wp:positionV relativeFrom="paragraph">
            <wp:posOffset>740410</wp:posOffset>
          </wp:positionV>
          <wp:extent cx="15240" cy="345440"/>
          <wp:effectExtent l="25400" t="0" r="10160" b="0"/>
          <wp:wrapNone/>
          <wp:docPr id="88" name="Picture 88"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5776FA">
      <w:rPr>
        <w:noProof/>
      </w:rPr>
      <w:drawing>
        <wp:anchor distT="0" distB="0" distL="114300" distR="114300" simplePos="0" relativeHeight="251657216" behindDoc="0" locked="0" layoutInCell="1" allowOverlap="1" wp14:anchorId="23C3F09C" wp14:editId="2EF24439">
          <wp:simplePos x="0" y="0"/>
          <wp:positionH relativeFrom="column">
            <wp:posOffset>5632450</wp:posOffset>
          </wp:positionH>
          <wp:positionV relativeFrom="paragraph">
            <wp:posOffset>530225</wp:posOffset>
          </wp:positionV>
          <wp:extent cx="727710" cy="731520"/>
          <wp:effectExtent l="25400" t="0" r="8890" b="0"/>
          <wp:wrapNone/>
          <wp:docPr id="89" name="Picture 89"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BD466" w14:textId="77777777" w:rsidR="006678D7" w:rsidRDefault="006678D7" w:rsidP="00370CDA">
      <w:r>
        <w:separator/>
      </w:r>
    </w:p>
  </w:footnote>
  <w:footnote w:type="continuationSeparator" w:id="0">
    <w:p w14:paraId="4021673E" w14:textId="77777777" w:rsidR="006678D7" w:rsidRDefault="006678D7"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F384" w14:textId="77777777" w:rsidR="005776FA" w:rsidRDefault="005776FA"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4521428D"/>
    <w:multiLevelType w:val="hybridMultilevel"/>
    <w:tmpl w:val="6B003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1B2252A"/>
    <w:multiLevelType w:val="hybridMultilevel"/>
    <w:tmpl w:val="D818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23E7F"/>
    <w:multiLevelType w:val="hybridMultilevel"/>
    <w:tmpl w:val="86BEA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84E249E"/>
    <w:multiLevelType w:val="hybridMultilevel"/>
    <w:tmpl w:val="19F09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DD3CF5"/>
    <w:multiLevelType w:val="hybridMultilevel"/>
    <w:tmpl w:val="E612E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D7"/>
    <w:rsid w:val="00010F16"/>
    <w:rsid w:val="0001139B"/>
    <w:rsid w:val="000665B9"/>
    <w:rsid w:val="000A14EB"/>
    <w:rsid w:val="000A623E"/>
    <w:rsid w:val="00152A71"/>
    <w:rsid w:val="001D494A"/>
    <w:rsid w:val="00283E9E"/>
    <w:rsid w:val="002F65D5"/>
    <w:rsid w:val="00370CDA"/>
    <w:rsid w:val="003D1DE2"/>
    <w:rsid w:val="00437AFE"/>
    <w:rsid w:val="004569A4"/>
    <w:rsid w:val="004646B6"/>
    <w:rsid w:val="004A6479"/>
    <w:rsid w:val="004F2605"/>
    <w:rsid w:val="0051282F"/>
    <w:rsid w:val="005776FA"/>
    <w:rsid w:val="0058513F"/>
    <w:rsid w:val="006678D7"/>
    <w:rsid w:val="006B6F29"/>
    <w:rsid w:val="006C53F3"/>
    <w:rsid w:val="007225F1"/>
    <w:rsid w:val="007A261B"/>
    <w:rsid w:val="007A7E20"/>
    <w:rsid w:val="007D5A63"/>
    <w:rsid w:val="00837814"/>
    <w:rsid w:val="0086683E"/>
    <w:rsid w:val="009E6D04"/>
    <w:rsid w:val="009E7A84"/>
    <w:rsid w:val="009F63B1"/>
    <w:rsid w:val="00A032E9"/>
    <w:rsid w:val="00A451AF"/>
    <w:rsid w:val="00AE74B2"/>
    <w:rsid w:val="00BA6491"/>
    <w:rsid w:val="00BB5A81"/>
    <w:rsid w:val="00CA6E16"/>
    <w:rsid w:val="00D10630"/>
    <w:rsid w:val="00D33DC1"/>
    <w:rsid w:val="00D6243B"/>
    <w:rsid w:val="00DC62AA"/>
    <w:rsid w:val="00E37B54"/>
    <w:rsid w:val="00E70A23"/>
    <w:rsid w:val="00E77696"/>
    <w:rsid w:val="00EA36A7"/>
    <w:rsid w:val="00EE405D"/>
    <w:rsid w:val="00F64841"/>
    <w:rsid w:val="00FA139A"/>
    <w:rsid w:val="00FB7815"/>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6501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ListParagraph">
    <w:name w:val="List Paragraph"/>
    <w:basedOn w:val="Normal"/>
    <w:uiPriority w:val="34"/>
    <w:qFormat/>
    <w:rsid w:val="00BA6491"/>
    <w:pPr>
      <w:ind w:left="720"/>
      <w:contextualSpacing/>
    </w:pPr>
  </w:style>
  <w:style w:type="character" w:styleId="CommentReference">
    <w:name w:val="annotation reference"/>
    <w:basedOn w:val="DefaultParagraphFont"/>
    <w:rsid w:val="00FA139A"/>
    <w:rPr>
      <w:sz w:val="16"/>
      <w:szCs w:val="16"/>
    </w:rPr>
  </w:style>
  <w:style w:type="paragraph" w:styleId="CommentText">
    <w:name w:val="annotation text"/>
    <w:basedOn w:val="Normal"/>
    <w:link w:val="CommentTextChar"/>
    <w:rsid w:val="00FA139A"/>
    <w:rPr>
      <w:sz w:val="20"/>
      <w:szCs w:val="20"/>
    </w:rPr>
  </w:style>
  <w:style w:type="character" w:customStyle="1" w:styleId="CommentTextChar">
    <w:name w:val="Comment Text Char"/>
    <w:basedOn w:val="DefaultParagraphFont"/>
    <w:link w:val="CommentText"/>
    <w:rsid w:val="00FA139A"/>
    <w:rPr>
      <w:sz w:val="20"/>
      <w:szCs w:val="20"/>
      <w:lang w:eastAsia="en-US"/>
    </w:rPr>
  </w:style>
  <w:style w:type="paragraph" w:styleId="CommentSubject">
    <w:name w:val="annotation subject"/>
    <w:basedOn w:val="CommentText"/>
    <w:next w:val="CommentText"/>
    <w:link w:val="CommentSubjectChar"/>
    <w:rsid w:val="00FA139A"/>
    <w:rPr>
      <w:b/>
      <w:bCs/>
    </w:rPr>
  </w:style>
  <w:style w:type="character" w:customStyle="1" w:styleId="CommentSubjectChar">
    <w:name w:val="Comment Subject Char"/>
    <w:basedOn w:val="CommentTextChar"/>
    <w:link w:val="CommentSubject"/>
    <w:rsid w:val="00FA139A"/>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ListParagraph">
    <w:name w:val="List Paragraph"/>
    <w:basedOn w:val="Normal"/>
    <w:uiPriority w:val="34"/>
    <w:qFormat/>
    <w:rsid w:val="00BA6491"/>
    <w:pPr>
      <w:ind w:left="720"/>
      <w:contextualSpacing/>
    </w:pPr>
  </w:style>
  <w:style w:type="character" w:styleId="CommentReference">
    <w:name w:val="annotation reference"/>
    <w:basedOn w:val="DefaultParagraphFont"/>
    <w:rsid w:val="00FA139A"/>
    <w:rPr>
      <w:sz w:val="16"/>
      <w:szCs w:val="16"/>
    </w:rPr>
  </w:style>
  <w:style w:type="paragraph" w:styleId="CommentText">
    <w:name w:val="annotation text"/>
    <w:basedOn w:val="Normal"/>
    <w:link w:val="CommentTextChar"/>
    <w:rsid w:val="00FA139A"/>
    <w:rPr>
      <w:sz w:val="20"/>
      <w:szCs w:val="20"/>
    </w:rPr>
  </w:style>
  <w:style w:type="character" w:customStyle="1" w:styleId="CommentTextChar">
    <w:name w:val="Comment Text Char"/>
    <w:basedOn w:val="DefaultParagraphFont"/>
    <w:link w:val="CommentText"/>
    <w:rsid w:val="00FA139A"/>
    <w:rPr>
      <w:sz w:val="20"/>
      <w:szCs w:val="20"/>
      <w:lang w:eastAsia="en-US"/>
    </w:rPr>
  </w:style>
  <w:style w:type="paragraph" w:styleId="CommentSubject">
    <w:name w:val="annotation subject"/>
    <w:basedOn w:val="CommentText"/>
    <w:next w:val="CommentText"/>
    <w:link w:val="CommentSubjectChar"/>
    <w:rsid w:val="00FA139A"/>
    <w:rPr>
      <w:b/>
      <w:bCs/>
    </w:rPr>
  </w:style>
  <w:style w:type="character" w:customStyle="1" w:styleId="CommentSubjectChar">
    <w:name w:val="Comment Subject Char"/>
    <w:basedOn w:val="CommentTextChar"/>
    <w:link w:val="CommentSubject"/>
    <w:rsid w:val="00FA139A"/>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530842595">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1997224483">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Williams, Adam</cp:lastModifiedBy>
  <cp:revision>2</cp:revision>
  <cp:lastPrinted>2014-03-26T20:55:00Z</cp:lastPrinted>
  <dcterms:created xsi:type="dcterms:W3CDTF">2015-05-22T16:11:00Z</dcterms:created>
  <dcterms:modified xsi:type="dcterms:W3CDTF">2015-05-22T16:11:00Z</dcterms:modified>
</cp:coreProperties>
</file>