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9141" w14:textId="77777777" w:rsidR="00D04168" w:rsidRDefault="00D04168" w:rsidP="00B97B79">
      <w:pPr>
        <w:pStyle w:val="Heading1"/>
      </w:pPr>
      <w:r>
        <w:t xml:space="preserve">Federal Coronavirus Relief Funding </w:t>
      </w:r>
    </w:p>
    <w:p w14:paraId="50AB30F8" w14:textId="77777777" w:rsidR="0086052E" w:rsidRDefault="00D04168" w:rsidP="00B97B79">
      <w:pPr>
        <w:pStyle w:val="Heading1"/>
      </w:pPr>
      <w:r>
        <w:t>for Education</w:t>
      </w:r>
    </w:p>
    <w:p w14:paraId="52828970" w14:textId="77777777" w:rsidR="00D04168" w:rsidRDefault="00D04168" w:rsidP="00D60D44">
      <w:pPr>
        <w:pStyle w:val="Heading3"/>
        <w:spacing w:before="0"/>
        <w:rPr>
          <w:noProof/>
        </w:rPr>
      </w:pPr>
    </w:p>
    <w:p w14:paraId="74DF6460" w14:textId="77777777" w:rsidR="00F74350" w:rsidRDefault="00D04168" w:rsidP="00CC09DB">
      <w:pPr>
        <w:pStyle w:val="Heading3"/>
        <w:spacing w:before="0" w:after="0"/>
      </w:pPr>
      <w:r>
        <w:rPr>
          <w:noProof/>
        </w:rPr>
        <w:t>Overview</w:t>
      </w:r>
    </w:p>
    <w:p w14:paraId="391ABD26" w14:textId="77777777" w:rsidR="00D04168" w:rsidRDefault="00D04168" w:rsidP="00D04168">
      <w:pPr>
        <w:pStyle w:val="Text"/>
      </w:pPr>
      <w:r>
        <w:t xml:space="preserve">In response to the COVID-19 pandemic, Congress passed </w:t>
      </w:r>
      <w:r w:rsidR="004522D3">
        <w:t>three</w:t>
      </w:r>
      <w:r>
        <w:t xml:space="preserve"> stimulus bills </w:t>
      </w:r>
      <w:r w:rsidR="00230323">
        <w:t xml:space="preserve">that </w:t>
      </w:r>
      <w:r>
        <w:t>include funding for education</w:t>
      </w:r>
      <w:r w:rsidR="004522D3">
        <w:t xml:space="preserve">: </w:t>
      </w:r>
      <w:proofErr w:type="gramStart"/>
      <w:r w:rsidR="004522D3">
        <w:t>t</w:t>
      </w:r>
      <w:r>
        <w:t>he</w:t>
      </w:r>
      <w:proofErr w:type="gramEnd"/>
      <w:r>
        <w:t xml:space="preserve"> Coronavirus Aid, Relief, and Economic Security (CARES) Act </w:t>
      </w:r>
      <w:r w:rsidR="004522D3">
        <w:t>(</w:t>
      </w:r>
      <w:r w:rsidR="003A3859">
        <w:t>March 2020</w:t>
      </w:r>
      <w:r w:rsidR="004522D3">
        <w:t>)</w:t>
      </w:r>
      <w:r w:rsidR="00230323">
        <w:t>;</w:t>
      </w:r>
      <w:r>
        <w:t xml:space="preserve"> </w:t>
      </w:r>
      <w:r w:rsidR="004522D3">
        <w:t>the Coronavirus Response and Relief Supplemental Appropriations (CRRSA) Act (</w:t>
      </w:r>
      <w:r>
        <w:t>December 2020)</w:t>
      </w:r>
      <w:r w:rsidR="00230323">
        <w:t>;</w:t>
      </w:r>
      <w:r w:rsidR="004522D3">
        <w:t xml:space="preserve"> and the American Rescue Plan (ARP) Act (March 2021).</w:t>
      </w:r>
    </w:p>
    <w:p w14:paraId="51D72176" w14:textId="77777777" w:rsidR="00FD3648" w:rsidRDefault="004522D3" w:rsidP="00D04168">
      <w:pPr>
        <w:pStyle w:val="Text"/>
      </w:pPr>
      <w:r>
        <w:t xml:space="preserve">Each stimulus bill provided funding </w:t>
      </w:r>
      <w:r w:rsidR="00172D0C">
        <w:t xml:space="preserve">for </w:t>
      </w:r>
      <w:r>
        <w:t xml:space="preserve">the </w:t>
      </w:r>
      <w:r w:rsidR="00D04168" w:rsidRPr="00D04168">
        <w:t>Elementary and Secondary School Emergency Relief (ESSER</w:t>
      </w:r>
      <w:r>
        <w:t xml:space="preserve">) </w:t>
      </w:r>
      <w:r w:rsidR="00FD3648">
        <w:t>fund and</w:t>
      </w:r>
      <w:r>
        <w:t xml:space="preserve"> </w:t>
      </w:r>
      <w:r w:rsidR="00FD3648">
        <w:t xml:space="preserve">the </w:t>
      </w:r>
      <w:r w:rsidR="00FD3648" w:rsidRPr="00090E6E">
        <w:t xml:space="preserve">Governor’s Emergency Education Relief </w:t>
      </w:r>
      <w:r w:rsidR="00FD3648">
        <w:t>(GEER)</w:t>
      </w:r>
      <w:r w:rsidR="001C689A">
        <w:t xml:space="preserve"> fund.</w:t>
      </w:r>
      <w:r w:rsidR="00FD3648">
        <w:t xml:space="preserve"> The ESSER fund</w:t>
      </w:r>
      <w:r>
        <w:t xml:space="preserve"> directs </w:t>
      </w:r>
      <w:r w:rsidR="00D04168" w:rsidRPr="00D04168">
        <w:t xml:space="preserve">90% </w:t>
      </w:r>
      <w:r>
        <w:t>of</w:t>
      </w:r>
      <w:r w:rsidR="00FD3648">
        <w:t xml:space="preserve"> the total</w:t>
      </w:r>
      <w:r>
        <w:t xml:space="preserve"> state </w:t>
      </w:r>
      <w:r w:rsidR="00FD3648">
        <w:t>allocation</w:t>
      </w:r>
      <w:r>
        <w:t xml:space="preserve"> </w:t>
      </w:r>
      <w:r w:rsidR="00D04168" w:rsidRPr="00D04168">
        <w:t xml:space="preserve">to local education agencies (LEAs) </w:t>
      </w:r>
      <w:r w:rsidR="00FD3648">
        <w:t>based on the</w:t>
      </w:r>
      <w:r w:rsidR="00D04168" w:rsidRPr="00D04168">
        <w:t xml:space="preserve"> Title I </w:t>
      </w:r>
      <w:r w:rsidR="00FD3648">
        <w:t>formula</w:t>
      </w:r>
      <w:r w:rsidR="00D04168" w:rsidRPr="00D04168">
        <w:t xml:space="preserve"> and the remaining 10% for a state reserve fund. </w:t>
      </w:r>
      <w:r w:rsidR="00FD3648">
        <w:t xml:space="preserve"> </w:t>
      </w:r>
    </w:p>
    <w:p w14:paraId="452B90B8" w14:textId="77777777" w:rsidR="00FD3648" w:rsidRDefault="00FD3648" w:rsidP="00FD3648">
      <w:pPr>
        <w:pStyle w:val="Text"/>
      </w:pPr>
      <w:r>
        <w:t>The GEER fund is a largely discretionary program for</w:t>
      </w:r>
      <w:r w:rsidR="001C689A">
        <w:t xml:space="preserve"> </w:t>
      </w:r>
      <w:r w:rsidR="00230323">
        <w:t>g</w:t>
      </w:r>
      <w:r w:rsidR="001C689A">
        <w:t>overnors to direct</w:t>
      </w:r>
      <w:r>
        <w:t xml:space="preserve"> emergency supports for early childhood through higher education. </w:t>
      </w:r>
      <w:r w:rsidR="001C689A">
        <w:t xml:space="preserve">Under the CRRSA and ARP, funding is provided </w:t>
      </w:r>
      <w:r>
        <w:t>for emergency assistance to nonpublic schools through the Emergency Assistance to Non-Public Schools (EANS) grants</w:t>
      </w:r>
      <w:r w:rsidR="001C689A">
        <w:t xml:space="preserve">.  EANS is administered through </w:t>
      </w:r>
      <w:r>
        <w:t>state education agenc</w:t>
      </w:r>
      <w:r w:rsidR="001C689A">
        <w:t xml:space="preserve">ies.  </w:t>
      </w:r>
      <w:r>
        <w:t xml:space="preserve"> </w:t>
      </w:r>
    </w:p>
    <w:p w14:paraId="335BCF6A" w14:textId="77777777" w:rsidR="00613152" w:rsidRDefault="00172D0C" w:rsidP="00FD3648">
      <w:pPr>
        <w:pStyle w:val="Text"/>
      </w:pPr>
      <w:r w:rsidRPr="00172D0C">
        <w:t>The CARES Act established the $150 billion Coronavirus Relief Fund (CRF) to support states with COVID-19 related expenses incurred from March 1 to Dec. 30, 2020. Gov. Polis directed $510 million from the state's CRF to the Colorado Department of Education to be awarded to school districts, the Charter School Institute, the Colorado School for the Deaf and the Blind and facility schools on a per pupil basis. Additionally, each Boards of Cooperative Educational Services (BOCES) in the state received $25,000.</w:t>
      </w:r>
    </w:p>
    <w:p w14:paraId="6430F6EA" w14:textId="77777777" w:rsidR="00090E6E" w:rsidRDefault="004D1C41" w:rsidP="00CC09DB">
      <w:pPr>
        <w:pStyle w:val="Text"/>
        <w:spacing w:after="0" w:line="240" w:lineRule="auto"/>
        <w:rPr>
          <w:b/>
          <w:bCs/>
          <w:sz w:val="28"/>
          <w:szCs w:val="28"/>
        </w:rPr>
      </w:pPr>
      <w:r>
        <w:rPr>
          <w:b/>
          <w:bCs/>
          <w:sz w:val="28"/>
          <w:szCs w:val="28"/>
        </w:rPr>
        <w:t>Funding by Grant Program</w:t>
      </w:r>
    </w:p>
    <w:p w14:paraId="457D4DF1" w14:textId="77777777" w:rsidR="00090E6E" w:rsidRDefault="001C689A" w:rsidP="00F74350">
      <w:pPr>
        <w:pStyle w:val="Text"/>
      </w:pPr>
      <w:r>
        <w:t>The following table provides information about these grant programs.</w:t>
      </w:r>
    </w:p>
    <w:tbl>
      <w:tblPr>
        <w:tblW w:w="10710" w:type="dxa"/>
        <w:tblInd w:w="1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350"/>
        <w:gridCol w:w="2340"/>
        <w:gridCol w:w="2340"/>
        <w:gridCol w:w="2340"/>
        <w:gridCol w:w="2340"/>
      </w:tblGrid>
      <w:tr w:rsidR="004522D3" w:rsidRPr="004835E6" w14:paraId="72A2A2E5" w14:textId="77777777" w:rsidTr="00B12597">
        <w:trPr>
          <w:cantSplit/>
          <w:trHeight w:val="278"/>
          <w:tblHeader/>
        </w:trPr>
        <w:tc>
          <w:tcPr>
            <w:tcW w:w="1350" w:type="dxa"/>
            <w:tcBorders>
              <w:top w:val="single" w:sz="4" w:space="0" w:color="70AD47"/>
              <w:left w:val="single" w:sz="4" w:space="0" w:color="70AD47"/>
              <w:bottom w:val="single" w:sz="4" w:space="0" w:color="70AD47"/>
              <w:right w:val="nil"/>
            </w:tcBorders>
            <w:shd w:val="clear" w:color="auto" w:fill="70AD47"/>
            <w:hideMark/>
          </w:tcPr>
          <w:p w14:paraId="7323F5B5" w14:textId="77777777" w:rsidR="004522D3" w:rsidRPr="004835E6" w:rsidRDefault="004522D3" w:rsidP="00DF0CC1">
            <w:pPr>
              <w:spacing w:after="0"/>
              <w:rPr>
                <w:b/>
                <w:bCs/>
                <w:color w:val="FFFFFF"/>
              </w:rPr>
            </w:pPr>
          </w:p>
        </w:tc>
        <w:tc>
          <w:tcPr>
            <w:tcW w:w="2340" w:type="dxa"/>
            <w:tcBorders>
              <w:top w:val="single" w:sz="4" w:space="0" w:color="70AD47"/>
              <w:left w:val="nil"/>
              <w:bottom w:val="single" w:sz="4" w:space="0" w:color="70AD47"/>
              <w:right w:val="nil"/>
            </w:tcBorders>
            <w:shd w:val="clear" w:color="auto" w:fill="70AD47"/>
            <w:vAlign w:val="center"/>
            <w:hideMark/>
          </w:tcPr>
          <w:p w14:paraId="459614D1" w14:textId="77777777" w:rsidR="00DF0CC1" w:rsidRDefault="00DF0CC1" w:rsidP="00DF0CC1">
            <w:pPr>
              <w:pStyle w:val="Heading3"/>
              <w:spacing w:before="0" w:after="0"/>
              <w:ind w:right="-50"/>
              <w:jc w:val="center"/>
            </w:pPr>
            <w:r>
              <w:t>CARES Act</w:t>
            </w:r>
          </w:p>
          <w:p w14:paraId="29A97DB4" w14:textId="77777777" w:rsidR="004522D3" w:rsidRPr="00F270F1" w:rsidRDefault="004522D3" w:rsidP="00DF0CC1">
            <w:pPr>
              <w:pStyle w:val="Heading3"/>
              <w:spacing w:before="0" w:after="0"/>
              <w:ind w:right="-50"/>
              <w:jc w:val="center"/>
            </w:pPr>
            <w:r w:rsidRPr="00F270F1">
              <w:t>ESSER</w:t>
            </w:r>
            <w:r>
              <w:t xml:space="preserve"> I</w:t>
            </w:r>
          </w:p>
        </w:tc>
        <w:tc>
          <w:tcPr>
            <w:tcW w:w="2340" w:type="dxa"/>
            <w:tcBorders>
              <w:top w:val="single" w:sz="4" w:space="0" w:color="70AD47"/>
              <w:left w:val="nil"/>
              <w:bottom w:val="single" w:sz="4" w:space="0" w:color="70AD47"/>
              <w:right w:val="single" w:sz="4" w:space="0" w:color="70AD47"/>
            </w:tcBorders>
            <w:shd w:val="clear" w:color="auto" w:fill="70AD47"/>
            <w:vAlign w:val="center"/>
            <w:hideMark/>
          </w:tcPr>
          <w:p w14:paraId="66482BD1" w14:textId="77777777" w:rsidR="004522D3" w:rsidRPr="00F270F1" w:rsidRDefault="004522D3" w:rsidP="00DF0CC1">
            <w:pPr>
              <w:pStyle w:val="Heading3"/>
              <w:spacing w:after="0"/>
              <w:ind w:right="-50"/>
              <w:jc w:val="center"/>
            </w:pPr>
            <w:r w:rsidRPr="00F270F1">
              <w:t>CRF</w:t>
            </w:r>
          </w:p>
        </w:tc>
        <w:tc>
          <w:tcPr>
            <w:tcW w:w="2340" w:type="dxa"/>
            <w:tcBorders>
              <w:top w:val="single" w:sz="4" w:space="0" w:color="70AD47"/>
              <w:left w:val="nil"/>
              <w:bottom w:val="single" w:sz="4" w:space="0" w:color="70AD47"/>
              <w:right w:val="single" w:sz="4" w:space="0" w:color="70AD47"/>
            </w:tcBorders>
            <w:shd w:val="clear" w:color="auto" w:fill="70AD47"/>
          </w:tcPr>
          <w:p w14:paraId="79C5F16D" w14:textId="77777777" w:rsidR="00DF0CC1" w:rsidRDefault="00DF0CC1" w:rsidP="00DF0CC1">
            <w:pPr>
              <w:pStyle w:val="Heading3"/>
              <w:spacing w:before="0" w:after="0"/>
              <w:ind w:right="-50"/>
              <w:jc w:val="center"/>
            </w:pPr>
            <w:r>
              <w:t>CRRSA Act</w:t>
            </w:r>
          </w:p>
          <w:p w14:paraId="39CBD025" w14:textId="77777777" w:rsidR="004522D3" w:rsidRPr="00F270F1" w:rsidRDefault="004522D3" w:rsidP="00DF0CC1">
            <w:pPr>
              <w:pStyle w:val="Heading3"/>
              <w:spacing w:before="0" w:after="0"/>
              <w:ind w:right="-50"/>
              <w:jc w:val="center"/>
            </w:pPr>
            <w:r>
              <w:t>ESSER II</w:t>
            </w:r>
          </w:p>
        </w:tc>
        <w:tc>
          <w:tcPr>
            <w:tcW w:w="2340" w:type="dxa"/>
            <w:tcBorders>
              <w:top w:val="single" w:sz="4" w:space="0" w:color="70AD47"/>
              <w:left w:val="nil"/>
              <w:bottom w:val="single" w:sz="4" w:space="0" w:color="70AD47"/>
              <w:right w:val="single" w:sz="4" w:space="0" w:color="70AD47"/>
            </w:tcBorders>
            <w:shd w:val="clear" w:color="auto" w:fill="70AD47"/>
          </w:tcPr>
          <w:p w14:paraId="5AFCE47F" w14:textId="77777777" w:rsidR="00DF0CC1" w:rsidRDefault="00DF0CC1" w:rsidP="00DF0CC1">
            <w:pPr>
              <w:pStyle w:val="Heading3"/>
              <w:spacing w:before="0" w:after="0"/>
              <w:ind w:right="-50"/>
              <w:jc w:val="center"/>
            </w:pPr>
            <w:r>
              <w:t>ARP Act</w:t>
            </w:r>
          </w:p>
          <w:p w14:paraId="32D6B9CC" w14:textId="77777777" w:rsidR="004522D3" w:rsidRDefault="004522D3" w:rsidP="00DF0CC1">
            <w:pPr>
              <w:pStyle w:val="Heading3"/>
              <w:spacing w:before="0" w:after="0"/>
              <w:ind w:right="-50"/>
              <w:jc w:val="center"/>
            </w:pPr>
            <w:r>
              <w:t>ESSER III</w:t>
            </w:r>
          </w:p>
        </w:tc>
      </w:tr>
      <w:tr w:rsidR="004522D3" w:rsidRPr="004835E6" w14:paraId="1F619EC7" w14:textId="77777777" w:rsidTr="00B12597">
        <w:trPr>
          <w:trHeight w:val="323"/>
        </w:trPr>
        <w:tc>
          <w:tcPr>
            <w:tcW w:w="1350" w:type="dxa"/>
            <w:shd w:val="clear" w:color="auto" w:fill="FFFFFF"/>
          </w:tcPr>
          <w:p w14:paraId="64501896" w14:textId="77777777" w:rsidR="004522D3" w:rsidRPr="004835E6" w:rsidRDefault="00FD3648" w:rsidP="007E6168">
            <w:pPr>
              <w:pStyle w:val="Normal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National funding</w:t>
            </w:r>
          </w:p>
        </w:tc>
        <w:tc>
          <w:tcPr>
            <w:tcW w:w="2340" w:type="dxa"/>
            <w:shd w:val="clear" w:color="auto" w:fill="FFFFFF"/>
          </w:tcPr>
          <w:p w14:paraId="6FCC13D2" w14:textId="77777777" w:rsidR="004522D3" w:rsidRPr="004835E6" w:rsidRDefault="00FD3648"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Pr="00FD3648">
              <w:rPr>
                <w:rFonts w:ascii="Calibri" w:hAnsi="Calibri" w:cs="Calibri"/>
                <w:color w:val="000000"/>
                <w:sz w:val="22"/>
                <w:szCs w:val="22"/>
              </w:rPr>
              <w:t>13,229,265,000</w:t>
            </w:r>
          </w:p>
        </w:tc>
        <w:tc>
          <w:tcPr>
            <w:tcW w:w="2340" w:type="dxa"/>
            <w:shd w:val="clear" w:color="auto" w:fill="FFFFFF"/>
          </w:tcPr>
          <w:p w14:paraId="03215D9F" w14:textId="77777777" w:rsidR="004522D3" w:rsidRPr="004835E6" w:rsidRDefault="004522D3" w:rsidP="007E6168">
            <w:pPr>
              <w:pStyle w:val="NormalWeb"/>
              <w:spacing w:before="0" w:beforeAutospacing="0" w:after="0" w:afterAutospacing="0"/>
              <w:rPr>
                <w:rFonts w:ascii="Calibri" w:hAnsi="Calibri" w:cs="Calibri"/>
                <w:color w:val="000000"/>
                <w:sz w:val="22"/>
                <w:szCs w:val="22"/>
              </w:rPr>
            </w:pPr>
          </w:p>
        </w:tc>
        <w:tc>
          <w:tcPr>
            <w:tcW w:w="2340" w:type="dxa"/>
            <w:shd w:val="clear" w:color="auto" w:fill="FFFFFF"/>
          </w:tcPr>
          <w:p w14:paraId="321159D4" w14:textId="77777777" w:rsidR="004522D3" w:rsidRPr="00A414E4" w:rsidRDefault="00FD3648"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Pr="00FD3648">
              <w:rPr>
                <w:rFonts w:ascii="Calibri" w:hAnsi="Calibri" w:cs="Calibri"/>
                <w:color w:val="000000"/>
                <w:sz w:val="22"/>
                <w:szCs w:val="22"/>
              </w:rPr>
              <w:t>54,311,004,000</w:t>
            </w:r>
          </w:p>
        </w:tc>
        <w:tc>
          <w:tcPr>
            <w:tcW w:w="2340" w:type="dxa"/>
            <w:shd w:val="clear" w:color="auto" w:fill="FFFFFF"/>
          </w:tcPr>
          <w:p w14:paraId="5EAFF547" w14:textId="77777777" w:rsidR="004522D3" w:rsidRDefault="00FD3648"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Pr="00FD3648">
              <w:rPr>
                <w:rFonts w:ascii="Calibri" w:hAnsi="Calibri" w:cs="Calibri"/>
                <w:color w:val="000000"/>
                <w:sz w:val="22"/>
                <w:szCs w:val="22"/>
              </w:rPr>
              <w:t>121,974,800,000</w:t>
            </w:r>
          </w:p>
        </w:tc>
      </w:tr>
      <w:tr w:rsidR="004522D3" w:rsidRPr="004835E6" w14:paraId="1DC4A8BC" w14:textId="77777777" w:rsidTr="00B12597">
        <w:trPr>
          <w:trHeight w:val="323"/>
        </w:trPr>
        <w:tc>
          <w:tcPr>
            <w:tcW w:w="1350" w:type="dxa"/>
            <w:shd w:val="clear" w:color="auto" w:fill="E2EFD9"/>
            <w:hideMark/>
          </w:tcPr>
          <w:p w14:paraId="7F15070A" w14:textId="77777777" w:rsidR="004522D3" w:rsidRPr="004835E6" w:rsidRDefault="004522D3" w:rsidP="007E6168">
            <w:pPr>
              <w:pStyle w:val="NormalWeb"/>
              <w:spacing w:before="0" w:beforeAutospacing="0" w:after="0" w:afterAutospacing="0"/>
              <w:rPr>
                <w:rFonts w:ascii="Calibri" w:hAnsi="Calibri" w:cs="Calibri"/>
                <w:b/>
                <w:bCs/>
                <w:color w:val="000000"/>
                <w:sz w:val="22"/>
                <w:szCs w:val="22"/>
              </w:rPr>
            </w:pPr>
            <w:r w:rsidRPr="004835E6">
              <w:rPr>
                <w:rFonts w:ascii="Calibri" w:hAnsi="Calibri" w:cs="Calibri"/>
                <w:b/>
                <w:bCs/>
                <w:color w:val="000000"/>
                <w:sz w:val="22"/>
                <w:szCs w:val="22"/>
              </w:rPr>
              <w:t>Colorado funding</w:t>
            </w:r>
          </w:p>
        </w:tc>
        <w:tc>
          <w:tcPr>
            <w:tcW w:w="2340" w:type="dxa"/>
            <w:shd w:val="clear" w:color="auto" w:fill="E2EFD9"/>
            <w:hideMark/>
          </w:tcPr>
          <w:p w14:paraId="64BC0729" w14:textId="77777777" w:rsidR="004522D3" w:rsidRPr="004835E6" w:rsidRDefault="004522D3" w:rsidP="007E6168">
            <w:pPr>
              <w:pStyle w:val="NormalWeb"/>
              <w:spacing w:before="0" w:beforeAutospacing="0" w:after="0" w:afterAutospacing="0"/>
              <w:rPr>
                <w:rFonts w:ascii="Calibri" w:hAnsi="Calibri" w:cs="Calibri"/>
                <w:color w:val="000000"/>
                <w:sz w:val="22"/>
                <w:szCs w:val="22"/>
              </w:rPr>
            </w:pPr>
            <w:r w:rsidRPr="004835E6">
              <w:rPr>
                <w:rFonts w:ascii="Calibri" w:hAnsi="Calibri" w:cs="Calibri"/>
                <w:color w:val="000000"/>
                <w:sz w:val="22"/>
                <w:szCs w:val="22"/>
              </w:rPr>
              <w:t>$120,993,782</w:t>
            </w:r>
          </w:p>
        </w:tc>
        <w:tc>
          <w:tcPr>
            <w:tcW w:w="2340" w:type="dxa"/>
            <w:shd w:val="clear" w:color="auto" w:fill="E2EFD9"/>
            <w:hideMark/>
          </w:tcPr>
          <w:p w14:paraId="1C6BABE7" w14:textId="77777777" w:rsidR="004522D3" w:rsidRDefault="004522D3" w:rsidP="007E6168">
            <w:pPr>
              <w:pStyle w:val="NormalWeb"/>
              <w:spacing w:before="0" w:beforeAutospacing="0" w:after="0" w:afterAutospacing="0"/>
            </w:pPr>
            <w:r w:rsidRPr="004835E6">
              <w:rPr>
                <w:rFonts w:ascii="Calibri" w:hAnsi="Calibri" w:cs="Calibri"/>
                <w:color w:val="000000"/>
                <w:sz w:val="22"/>
                <w:szCs w:val="22"/>
              </w:rPr>
              <w:t>$510,000,000 </w:t>
            </w:r>
          </w:p>
        </w:tc>
        <w:tc>
          <w:tcPr>
            <w:tcW w:w="2340" w:type="dxa"/>
            <w:shd w:val="clear" w:color="auto" w:fill="E2EFD9"/>
          </w:tcPr>
          <w:p w14:paraId="69AE87FE" w14:textId="77777777" w:rsidR="004522D3" w:rsidRPr="004835E6" w:rsidRDefault="004522D3" w:rsidP="007E6168">
            <w:pPr>
              <w:pStyle w:val="NormalWeb"/>
              <w:spacing w:before="0" w:beforeAutospacing="0" w:after="0" w:afterAutospacing="0"/>
              <w:rPr>
                <w:rFonts w:ascii="Calibri" w:hAnsi="Calibri" w:cs="Calibri"/>
                <w:color w:val="000000"/>
                <w:sz w:val="22"/>
                <w:szCs w:val="22"/>
              </w:rPr>
            </w:pPr>
            <w:r w:rsidRPr="00A414E4">
              <w:rPr>
                <w:rFonts w:ascii="Calibri" w:hAnsi="Calibri" w:cs="Calibri"/>
                <w:color w:val="000000"/>
                <w:sz w:val="22"/>
                <w:szCs w:val="22"/>
              </w:rPr>
              <w:t>$519,324,311</w:t>
            </w:r>
          </w:p>
        </w:tc>
        <w:tc>
          <w:tcPr>
            <w:tcW w:w="2340" w:type="dxa"/>
            <w:shd w:val="clear" w:color="auto" w:fill="E2EFD9"/>
          </w:tcPr>
          <w:p w14:paraId="67A41BA0" w14:textId="77777777" w:rsidR="004522D3" w:rsidRPr="00A414E4" w:rsidRDefault="004522D3"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Pr="004522D3">
              <w:rPr>
                <w:rFonts w:ascii="Calibri" w:hAnsi="Calibri" w:cs="Calibri"/>
                <w:color w:val="000000"/>
                <w:sz w:val="22"/>
                <w:szCs w:val="22"/>
              </w:rPr>
              <w:t>1,166,328,632</w:t>
            </w:r>
          </w:p>
        </w:tc>
      </w:tr>
      <w:tr w:rsidR="004522D3" w:rsidRPr="004835E6" w14:paraId="77CD8CB0" w14:textId="77777777" w:rsidTr="00B12597">
        <w:trPr>
          <w:trHeight w:val="449"/>
        </w:trPr>
        <w:tc>
          <w:tcPr>
            <w:tcW w:w="1350" w:type="dxa"/>
            <w:shd w:val="clear" w:color="auto" w:fill="auto"/>
            <w:hideMark/>
          </w:tcPr>
          <w:p w14:paraId="1C8A0572" w14:textId="77777777" w:rsidR="004522D3" w:rsidRPr="00584DA2" w:rsidRDefault="004522D3" w:rsidP="007E6168">
            <w:pPr>
              <w:pStyle w:val="NormalWeb"/>
              <w:spacing w:before="0" w:beforeAutospacing="0" w:after="0" w:afterAutospacing="0"/>
              <w:rPr>
                <w:b/>
                <w:bCs/>
              </w:rPr>
            </w:pPr>
            <w:r w:rsidRPr="004835E6">
              <w:rPr>
                <w:rFonts w:ascii="Calibri" w:hAnsi="Calibri" w:cs="Calibri"/>
                <w:b/>
                <w:bCs/>
                <w:color w:val="000000"/>
                <w:sz w:val="22"/>
                <w:szCs w:val="22"/>
              </w:rPr>
              <w:t>Distribution method</w:t>
            </w:r>
          </w:p>
        </w:tc>
        <w:tc>
          <w:tcPr>
            <w:tcW w:w="2340" w:type="dxa"/>
            <w:shd w:val="clear" w:color="auto" w:fill="auto"/>
            <w:hideMark/>
          </w:tcPr>
          <w:p w14:paraId="75FFB563" w14:textId="77777777" w:rsidR="004522D3" w:rsidRDefault="004522D3" w:rsidP="007E6168">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90% (</w:t>
            </w:r>
            <w:r w:rsidRPr="004835E6">
              <w:rPr>
                <w:rFonts w:ascii="Calibri" w:hAnsi="Calibri" w:cs="Calibri"/>
                <w:color w:val="333333"/>
                <w:sz w:val="22"/>
                <w:szCs w:val="22"/>
                <w:shd w:val="clear" w:color="auto" w:fill="FFFFFF"/>
              </w:rPr>
              <w:t>$108,894,404</w:t>
            </w:r>
            <w:r>
              <w:rPr>
                <w:rFonts w:ascii="Calibri" w:hAnsi="Calibri" w:cs="Calibri"/>
                <w:color w:val="333333"/>
                <w:sz w:val="22"/>
                <w:szCs w:val="22"/>
                <w:shd w:val="clear" w:color="auto" w:fill="FFFFFF"/>
              </w:rPr>
              <w:t xml:space="preserve">) to </w:t>
            </w:r>
            <w:r w:rsidR="00B12597">
              <w:rPr>
                <w:rFonts w:ascii="Calibri" w:hAnsi="Calibri" w:cs="Calibri"/>
                <w:color w:val="333333"/>
                <w:sz w:val="22"/>
                <w:szCs w:val="22"/>
                <w:shd w:val="clear" w:color="auto" w:fill="FFFFFF"/>
              </w:rPr>
              <w:t>LEAs</w:t>
            </w:r>
            <w:r>
              <w:rPr>
                <w:rFonts w:ascii="Calibri" w:hAnsi="Calibri" w:cs="Calibri"/>
                <w:color w:val="333333"/>
                <w:sz w:val="22"/>
                <w:szCs w:val="22"/>
                <w:shd w:val="clear" w:color="auto" w:fill="FFFFFF"/>
              </w:rPr>
              <w:t xml:space="preserve"> </w:t>
            </w:r>
            <w:r w:rsidRPr="004835E6">
              <w:rPr>
                <w:rFonts w:ascii="Calibri" w:hAnsi="Calibri" w:cs="Calibri"/>
                <w:color w:val="333333"/>
                <w:sz w:val="22"/>
                <w:szCs w:val="22"/>
                <w:shd w:val="clear" w:color="auto" w:fill="FFFFFF"/>
              </w:rPr>
              <w:t>through the Title I formula</w:t>
            </w:r>
          </w:p>
          <w:p w14:paraId="6DDE8209" w14:textId="77777777" w:rsidR="004522D3" w:rsidRDefault="004522D3" w:rsidP="007E6168">
            <w:pPr>
              <w:pStyle w:val="NormalWeb"/>
              <w:spacing w:before="0" w:beforeAutospacing="0" w:after="0" w:afterAutospacing="0"/>
              <w:rPr>
                <w:rFonts w:ascii="Calibri" w:hAnsi="Calibri" w:cs="Calibri"/>
                <w:color w:val="333333"/>
                <w:sz w:val="22"/>
                <w:szCs w:val="22"/>
                <w:shd w:val="clear" w:color="auto" w:fill="FFFFFF"/>
              </w:rPr>
            </w:pPr>
          </w:p>
          <w:p w14:paraId="0C2F82D7" w14:textId="77777777" w:rsidR="004522D3" w:rsidRDefault="004522D3" w:rsidP="007E6168">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10%</w:t>
            </w:r>
            <w:r w:rsidR="00172D0C">
              <w:rPr>
                <w:rFonts w:ascii="Calibri" w:hAnsi="Calibri" w:cs="Calibri"/>
                <w:color w:val="333333"/>
                <w:sz w:val="22"/>
                <w:szCs w:val="22"/>
                <w:shd w:val="clear" w:color="auto" w:fill="FFFFFF"/>
              </w:rPr>
              <w:t xml:space="preserve"> (</w:t>
            </w:r>
            <w:r w:rsidR="00172D0C" w:rsidRPr="00172D0C">
              <w:rPr>
                <w:rFonts w:ascii="Calibri" w:hAnsi="Calibri" w:cs="Calibri"/>
                <w:color w:val="333333"/>
                <w:sz w:val="22"/>
                <w:szCs w:val="22"/>
                <w:shd w:val="clear" w:color="auto" w:fill="FFFFFF"/>
              </w:rPr>
              <w:t>$12,099,378</w:t>
            </w:r>
            <w:r w:rsidR="00172D0C">
              <w:rPr>
                <w:rFonts w:ascii="Calibri" w:hAnsi="Calibri" w:cs="Calibri"/>
                <w:color w:val="333333"/>
                <w:sz w:val="22"/>
                <w:szCs w:val="22"/>
                <w:shd w:val="clear" w:color="auto" w:fill="FFFFFF"/>
              </w:rPr>
              <w:t>)</w:t>
            </w:r>
            <w:r>
              <w:rPr>
                <w:rFonts w:ascii="Calibri" w:hAnsi="Calibri" w:cs="Calibri"/>
                <w:color w:val="333333"/>
                <w:sz w:val="22"/>
                <w:szCs w:val="22"/>
                <w:shd w:val="clear" w:color="auto" w:fill="FFFFFF"/>
              </w:rPr>
              <w:t xml:space="preserve"> for state reserve</w:t>
            </w:r>
          </w:p>
          <w:p w14:paraId="15BB376B" w14:textId="77777777" w:rsidR="004522D3" w:rsidRDefault="004522D3" w:rsidP="007E6168">
            <w:pPr>
              <w:pStyle w:val="NormalWeb"/>
              <w:spacing w:before="0" w:beforeAutospacing="0" w:after="0" w:afterAutospacing="0"/>
              <w:rPr>
                <w:rFonts w:ascii="Calibri" w:hAnsi="Calibri" w:cs="Calibri"/>
                <w:color w:val="333333"/>
                <w:sz w:val="22"/>
                <w:szCs w:val="22"/>
                <w:shd w:val="clear" w:color="auto" w:fill="FFFFFF"/>
              </w:rPr>
            </w:pPr>
          </w:p>
          <w:p w14:paraId="4A49B805" w14:textId="77777777" w:rsidR="004522D3" w:rsidRDefault="004522D3" w:rsidP="00A414E4">
            <w:pPr>
              <w:pStyle w:val="NormalWeb"/>
              <w:spacing w:before="0" w:beforeAutospacing="0" w:after="0" w:afterAutospacing="0"/>
            </w:pPr>
          </w:p>
        </w:tc>
        <w:tc>
          <w:tcPr>
            <w:tcW w:w="2340" w:type="dxa"/>
            <w:shd w:val="clear" w:color="auto" w:fill="auto"/>
            <w:hideMark/>
          </w:tcPr>
          <w:p w14:paraId="092581D8" w14:textId="77777777" w:rsidR="004522D3" w:rsidRDefault="004522D3" w:rsidP="007E6168">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Per pupil funding to</w:t>
            </w:r>
            <w:r w:rsidRPr="004835E6">
              <w:rPr>
                <w:rFonts w:ascii="Calibri" w:hAnsi="Calibri" w:cs="Calibri"/>
                <w:color w:val="333333"/>
                <w:sz w:val="22"/>
                <w:szCs w:val="22"/>
                <w:shd w:val="clear" w:color="auto" w:fill="FFFFFF"/>
              </w:rPr>
              <w:t xml:space="preserve"> school districts, the Charter School Institute, the Colorado School for the Deaf and the Blind and facility schools. </w:t>
            </w:r>
          </w:p>
          <w:p w14:paraId="7EF2EFC4" w14:textId="77777777" w:rsidR="004522D3" w:rsidRDefault="004522D3" w:rsidP="007E6168">
            <w:pPr>
              <w:pStyle w:val="NormalWeb"/>
              <w:spacing w:before="0" w:beforeAutospacing="0" w:after="0" w:afterAutospacing="0"/>
            </w:pPr>
            <w:r w:rsidRPr="004835E6">
              <w:rPr>
                <w:rFonts w:ascii="Calibri" w:hAnsi="Calibri" w:cs="Calibri"/>
                <w:color w:val="333333"/>
                <w:sz w:val="22"/>
                <w:szCs w:val="22"/>
                <w:shd w:val="clear" w:color="auto" w:fill="FFFFFF"/>
              </w:rPr>
              <w:t>Each BOCES in the state received $25,000.</w:t>
            </w:r>
          </w:p>
        </w:tc>
        <w:tc>
          <w:tcPr>
            <w:tcW w:w="2340" w:type="dxa"/>
          </w:tcPr>
          <w:p w14:paraId="48E52A2A" w14:textId="77777777" w:rsidR="004522D3" w:rsidRDefault="004522D3" w:rsidP="00B5794D">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90% (</w:t>
            </w:r>
            <w:r w:rsidRPr="004835E6">
              <w:rPr>
                <w:rFonts w:ascii="Calibri" w:hAnsi="Calibri" w:cs="Calibri"/>
                <w:color w:val="333333"/>
                <w:sz w:val="22"/>
                <w:szCs w:val="22"/>
                <w:shd w:val="clear" w:color="auto" w:fill="FFFFFF"/>
              </w:rPr>
              <w:t>$</w:t>
            </w:r>
            <w:r w:rsidRPr="00B5794D">
              <w:rPr>
                <w:rFonts w:ascii="Calibri" w:hAnsi="Calibri" w:cs="Calibri"/>
                <w:color w:val="333333"/>
                <w:sz w:val="22"/>
                <w:szCs w:val="22"/>
                <w:shd w:val="clear" w:color="auto" w:fill="FFFFFF"/>
              </w:rPr>
              <w:t>467,391,880</w:t>
            </w:r>
            <w:r>
              <w:rPr>
                <w:rFonts w:ascii="Calibri" w:hAnsi="Calibri" w:cs="Calibri"/>
                <w:color w:val="333333"/>
                <w:sz w:val="22"/>
                <w:szCs w:val="22"/>
                <w:shd w:val="clear" w:color="auto" w:fill="FFFFFF"/>
              </w:rPr>
              <w:t xml:space="preserve">) to </w:t>
            </w:r>
            <w:r w:rsidR="00B12597">
              <w:rPr>
                <w:rFonts w:ascii="Calibri" w:hAnsi="Calibri" w:cs="Calibri"/>
                <w:color w:val="333333"/>
                <w:sz w:val="22"/>
                <w:szCs w:val="22"/>
                <w:shd w:val="clear" w:color="auto" w:fill="FFFFFF"/>
              </w:rPr>
              <w:t>LEAs</w:t>
            </w:r>
            <w:r>
              <w:rPr>
                <w:rFonts w:ascii="Calibri" w:hAnsi="Calibri" w:cs="Calibri"/>
                <w:color w:val="333333"/>
                <w:sz w:val="22"/>
                <w:szCs w:val="22"/>
                <w:shd w:val="clear" w:color="auto" w:fill="FFFFFF"/>
              </w:rPr>
              <w:t xml:space="preserve"> </w:t>
            </w:r>
            <w:r w:rsidRPr="004835E6">
              <w:rPr>
                <w:rFonts w:ascii="Calibri" w:hAnsi="Calibri" w:cs="Calibri"/>
                <w:color w:val="333333"/>
                <w:sz w:val="22"/>
                <w:szCs w:val="22"/>
                <w:shd w:val="clear" w:color="auto" w:fill="FFFFFF"/>
              </w:rPr>
              <w:t>through the Title I formula</w:t>
            </w:r>
          </w:p>
          <w:p w14:paraId="1A8F5FC2" w14:textId="77777777" w:rsidR="004522D3" w:rsidRDefault="004522D3" w:rsidP="00B5794D">
            <w:pPr>
              <w:pStyle w:val="NormalWeb"/>
              <w:spacing w:before="0" w:beforeAutospacing="0" w:after="0" w:afterAutospacing="0"/>
              <w:rPr>
                <w:rFonts w:ascii="Calibri" w:hAnsi="Calibri" w:cs="Calibri"/>
                <w:color w:val="333333"/>
                <w:sz w:val="22"/>
                <w:szCs w:val="22"/>
                <w:shd w:val="clear" w:color="auto" w:fill="FFFFFF"/>
              </w:rPr>
            </w:pPr>
          </w:p>
          <w:p w14:paraId="0959486E" w14:textId="77777777" w:rsidR="004522D3" w:rsidRDefault="004522D3" w:rsidP="00B5794D">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 xml:space="preserve">10% </w:t>
            </w:r>
            <w:r w:rsidR="00172D0C">
              <w:rPr>
                <w:rFonts w:ascii="Calibri" w:hAnsi="Calibri" w:cs="Calibri"/>
                <w:color w:val="333333"/>
                <w:sz w:val="22"/>
                <w:szCs w:val="22"/>
                <w:shd w:val="clear" w:color="auto" w:fill="FFFFFF"/>
              </w:rPr>
              <w:t>(</w:t>
            </w:r>
            <w:r w:rsidR="00172D0C" w:rsidRPr="00172D0C">
              <w:rPr>
                <w:rFonts w:ascii="Calibri" w:hAnsi="Calibri" w:cs="Calibri"/>
                <w:color w:val="333333"/>
                <w:sz w:val="22"/>
                <w:szCs w:val="22"/>
                <w:shd w:val="clear" w:color="auto" w:fill="FFFFFF"/>
              </w:rPr>
              <w:t>$51,932,431</w:t>
            </w:r>
            <w:r w:rsidR="00172D0C">
              <w:rPr>
                <w:rFonts w:ascii="Calibri" w:hAnsi="Calibri" w:cs="Calibri"/>
                <w:color w:val="333333"/>
                <w:sz w:val="22"/>
                <w:szCs w:val="22"/>
                <w:shd w:val="clear" w:color="auto" w:fill="FFFFFF"/>
              </w:rPr>
              <w:t xml:space="preserve">) </w:t>
            </w:r>
            <w:r>
              <w:rPr>
                <w:rFonts w:ascii="Calibri" w:hAnsi="Calibri" w:cs="Calibri"/>
                <w:color w:val="333333"/>
                <w:sz w:val="22"/>
                <w:szCs w:val="22"/>
                <w:shd w:val="clear" w:color="auto" w:fill="FFFFFF"/>
              </w:rPr>
              <w:t>for state reserve</w:t>
            </w:r>
          </w:p>
          <w:p w14:paraId="413C6B38" w14:textId="77777777" w:rsidR="004522D3" w:rsidRPr="004835E6" w:rsidRDefault="004522D3" w:rsidP="007E6168">
            <w:pPr>
              <w:pStyle w:val="NormalWeb"/>
              <w:spacing w:before="0" w:beforeAutospacing="0" w:after="0" w:afterAutospacing="0"/>
              <w:rPr>
                <w:rFonts w:ascii="Calibri" w:hAnsi="Calibri" w:cs="Calibri"/>
                <w:color w:val="333333"/>
                <w:sz w:val="22"/>
                <w:szCs w:val="22"/>
                <w:shd w:val="clear" w:color="auto" w:fill="FFFFFF"/>
              </w:rPr>
            </w:pPr>
          </w:p>
        </w:tc>
        <w:tc>
          <w:tcPr>
            <w:tcW w:w="2340" w:type="dxa"/>
          </w:tcPr>
          <w:p w14:paraId="45EA1338" w14:textId="77777777" w:rsidR="004522D3" w:rsidRDefault="004522D3" w:rsidP="004522D3">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90% (</w:t>
            </w:r>
            <w:r w:rsidRPr="004835E6">
              <w:rPr>
                <w:rFonts w:ascii="Calibri" w:hAnsi="Calibri" w:cs="Calibri"/>
                <w:color w:val="333333"/>
                <w:sz w:val="22"/>
                <w:szCs w:val="22"/>
                <w:shd w:val="clear" w:color="auto" w:fill="FFFFFF"/>
              </w:rPr>
              <w:t>$</w:t>
            </w:r>
            <w:r w:rsidRPr="004522D3">
              <w:rPr>
                <w:rFonts w:ascii="Calibri" w:hAnsi="Calibri" w:cs="Calibri"/>
                <w:color w:val="333333"/>
                <w:sz w:val="22"/>
                <w:szCs w:val="22"/>
                <w:shd w:val="clear" w:color="auto" w:fill="FFFFFF"/>
              </w:rPr>
              <w:t>1,049,695,769</w:t>
            </w:r>
            <w:r>
              <w:rPr>
                <w:rFonts w:ascii="Calibri" w:hAnsi="Calibri" w:cs="Calibri"/>
                <w:color w:val="333333"/>
                <w:sz w:val="22"/>
                <w:szCs w:val="22"/>
                <w:shd w:val="clear" w:color="auto" w:fill="FFFFFF"/>
              </w:rPr>
              <w:t xml:space="preserve">) </w:t>
            </w:r>
            <w:r w:rsidR="00B12597">
              <w:rPr>
                <w:rFonts w:ascii="Calibri" w:hAnsi="Calibri" w:cs="Calibri"/>
                <w:color w:val="333333"/>
                <w:sz w:val="22"/>
                <w:szCs w:val="22"/>
                <w:shd w:val="clear" w:color="auto" w:fill="FFFFFF"/>
              </w:rPr>
              <w:t>to LEAs</w:t>
            </w:r>
            <w:r>
              <w:rPr>
                <w:rFonts w:ascii="Calibri" w:hAnsi="Calibri" w:cs="Calibri"/>
                <w:color w:val="333333"/>
                <w:sz w:val="22"/>
                <w:szCs w:val="22"/>
                <w:shd w:val="clear" w:color="auto" w:fill="FFFFFF"/>
              </w:rPr>
              <w:t xml:space="preserve"> </w:t>
            </w:r>
            <w:r w:rsidRPr="004835E6">
              <w:rPr>
                <w:rFonts w:ascii="Calibri" w:hAnsi="Calibri" w:cs="Calibri"/>
                <w:color w:val="333333"/>
                <w:sz w:val="22"/>
                <w:szCs w:val="22"/>
                <w:shd w:val="clear" w:color="auto" w:fill="FFFFFF"/>
              </w:rPr>
              <w:t>through the Title I formula</w:t>
            </w:r>
            <w:r w:rsidR="00CC09DB">
              <w:rPr>
                <w:rFonts w:ascii="Calibri" w:hAnsi="Calibri" w:cs="Calibri"/>
                <w:color w:val="333333"/>
                <w:sz w:val="22"/>
                <w:szCs w:val="22"/>
                <w:shd w:val="clear" w:color="auto" w:fill="FFFFFF"/>
              </w:rPr>
              <w:t xml:space="preserve"> with:</w:t>
            </w:r>
          </w:p>
          <w:p w14:paraId="3FF016F2" w14:textId="77777777" w:rsidR="00CC09DB" w:rsidRDefault="00CC09DB" w:rsidP="00CC09DB">
            <w:pPr>
              <w:pStyle w:val="NormalWeb"/>
              <w:numPr>
                <w:ilvl w:val="0"/>
                <w:numId w:val="9"/>
              </w:numPr>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 xml:space="preserve">At least 20% </w:t>
            </w:r>
            <w:r w:rsidR="00B12597">
              <w:rPr>
                <w:rFonts w:ascii="Calibri" w:hAnsi="Calibri" w:cs="Calibri"/>
                <w:color w:val="333333"/>
                <w:sz w:val="22"/>
                <w:szCs w:val="22"/>
                <w:shd w:val="clear" w:color="auto" w:fill="FFFFFF"/>
              </w:rPr>
              <w:t>for</w:t>
            </w:r>
            <w:r>
              <w:rPr>
                <w:rFonts w:ascii="Calibri" w:hAnsi="Calibri" w:cs="Calibri"/>
                <w:color w:val="333333"/>
                <w:sz w:val="22"/>
                <w:szCs w:val="22"/>
                <w:shd w:val="clear" w:color="auto" w:fill="FFFFFF"/>
              </w:rPr>
              <w:t xml:space="preserve"> learning opportunity loss</w:t>
            </w:r>
          </w:p>
          <w:p w14:paraId="78AD2651" w14:textId="77777777" w:rsidR="004522D3" w:rsidRDefault="004522D3" w:rsidP="004522D3">
            <w:pPr>
              <w:pStyle w:val="NormalWeb"/>
              <w:spacing w:before="0" w:beforeAutospacing="0" w:after="0" w:afterAutospacing="0"/>
              <w:rPr>
                <w:rFonts w:ascii="Calibri" w:hAnsi="Calibri" w:cs="Calibri"/>
                <w:color w:val="333333"/>
                <w:sz w:val="22"/>
                <w:szCs w:val="22"/>
                <w:shd w:val="clear" w:color="auto" w:fill="FFFFFF"/>
              </w:rPr>
            </w:pPr>
          </w:p>
          <w:p w14:paraId="25A3DA8D" w14:textId="77777777" w:rsidR="003919FD" w:rsidRDefault="004522D3" w:rsidP="003919FD">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 xml:space="preserve">10% </w:t>
            </w:r>
            <w:r w:rsidR="00172D0C">
              <w:rPr>
                <w:rFonts w:ascii="Calibri" w:hAnsi="Calibri" w:cs="Calibri"/>
                <w:color w:val="333333"/>
                <w:sz w:val="22"/>
                <w:szCs w:val="22"/>
                <w:shd w:val="clear" w:color="auto" w:fill="FFFFFF"/>
              </w:rPr>
              <w:t>(</w:t>
            </w:r>
            <w:r w:rsidR="00172D0C" w:rsidRPr="00172D0C">
              <w:rPr>
                <w:rFonts w:ascii="Calibri" w:hAnsi="Calibri" w:cs="Calibri"/>
                <w:color w:val="333333"/>
                <w:sz w:val="22"/>
                <w:szCs w:val="22"/>
                <w:shd w:val="clear" w:color="auto" w:fill="FFFFFF"/>
              </w:rPr>
              <w:t>$116,632,863</w:t>
            </w:r>
            <w:r w:rsidR="00172D0C">
              <w:rPr>
                <w:rFonts w:ascii="Calibri" w:hAnsi="Calibri" w:cs="Calibri"/>
                <w:color w:val="333333"/>
                <w:sz w:val="22"/>
                <w:szCs w:val="22"/>
                <w:shd w:val="clear" w:color="auto" w:fill="FFFFFF"/>
              </w:rPr>
              <w:t xml:space="preserve">) </w:t>
            </w:r>
            <w:r>
              <w:rPr>
                <w:rFonts w:ascii="Calibri" w:hAnsi="Calibri" w:cs="Calibri"/>
                <w:color w:val="333333"/>
                <w:sz w:val="22"/>
                <w:szCs w:val="22"/>
                <w:shd w:val="clear" w:color="auto" w:fill="FFFFFF"/>
              </w:rPr>
              <w:t>for state reserve</w:t>
            </w:r>
            <w:r w:rsidR="003919FD">
              <w:rPr>
                <w:rFonts w:ascii="Calibri" w:hAnsi="Calibri" w:cs="Calibri"/>
                <w:color w:val="333333"/>
                <w:sz w:val="22"/>
                <w:szCs w:val="22"/>
                <w:shd w:val="clear" w:color="auto" w:fill="FFFFFF"/>
              </w:rPr>
              <w:t xml:space="preserve"> with</w:t>
            </w:r>
            <w:r w:rsidR="00613152">
              <w:rPr>
                <w:rFonts w:ascii="Calibri" w:hAnsi="Calibri" w:cs="Calibri"/>
                <w:color w:val="333333"/>
                <w:sz w:val="22"/>
                <w:szCs w:val="22"/>
                <w:shd w:val="clear" w:color="auto" w:fill="FFFFFF"/>
              </w:rPr>
              <w:t xml:space="preserve"> at least</w:t>
            </w:r>
            <w:r w:rsidR="003919FD">
              <w:rPr>
                <w:rFonts w:ascii="Calibri" w:hAnsi="Calibri" w:cs="Calibri"/>
                <w:color w:val="333333"/>
                <w:sz w:val="22"/>
                <w:szCs w:val="22"/>
                <w:shd w:val="clear" w:color="auto" w:fill="FFFFFF"/>
              </w:rPr>
              <w:t>:</w:t>
            </w:r>
          </w:p>
          <w:p w14:paraId="1A042712" w14:textId="77777777" w:rsidR="003919FD" w:rsidRDefault="003919FD" w:rsidP="003919FD">
            <w:pPr>
              <w:pStyle w:val="NormalWeb"/>
              <w:numPr>
                <w:ilvl w:val="0"/>
                <w:numId w:val="8"/>
              </w:numPr>
              <w:spacing w:before="0" w:beforeAutospacing="0" w:after="0" w:afterAutospacing="0"/>
              <w:rPr>
                <w:rFonts w:ascii="Calibri" w:hAnsi="Calibri" w:cs="Calibri"/>
                <w:color w:val="333333"/>
                <w:sz w:val="22"/>
                <w:szCs w:val="22"/>
                <w:shd w:val="clear" w:color="auto" w:fill="FFFFFF"/>
              </w:rPr>
            </w:pPr>
            <w:r w:rsidRPr="003919FD">
              <w:rPr>
                <w:rFonts w:ascii="Calibri" w:hAnsi="Calibri" w:cs="Calibri"/>
                <w:color w:val="333333"/>
                <w:sz w:val="22"/>
                <w:szCs w:val="22"/>
                <w:shd w:val="clear" w:color="auto" w:fill="FFFFFF"/>
              </w:rPr>
              <w:t xml:space="preserve">5% </w:t>
            </w:r>
            <w:r w:rsidR="00B12597">
              <w:rPr>
                <w:rFonts w:ascii="Calibri" w:hAnsi="Calibri" w:cs="Calibri"/>
                <w:color w:val="333333"/>
                <w:sz w:val="22"/>
                <w:szCs w:val="22"/>
                <w:shd w:val="clear" w:color="auto" w:fill="FFFFFF"/>
              </w:rPr>
              <w:t>for</w:t>
            </w:r>
            <w:r w:rsidRPr="003919FD">
              <w:rPr>
                <w:rFonts w:ascii="Calibri" w:hAnsi="Calibri" w:cs="Calibri"/>
                <w:color w:val="333333"/>
                <w:sz w:val="22"/>
                <w:szCs w:val="22"/>
                <w:shd w:val="clear" w:color="auto" w:fill="FFFFFF"/>
              </w:rPr>
              <w:t xml:space="preserve"> learning </w:t>
            </w:r>
            <w:r w:rsidR="00CC09DB">
              <w:rPr>
                <w:rFonts w:ascii="Calibri" w:hAnsi="Calibri" w:cs="Calibri"/>
                <w:color w:val="333333"/>
                <w:sz w:val="22"/>
                <w:szCs w:val="22"/>
                <w:shd w:val="clear" w:color="auto" w:fill="FFFFFF"/>
              </w:rPr>
              <w:t xml:space="preserve">opportunity </w:t>
            </w:r>
            <w:r w:rsidRPr="003919FD">
              <w:rPr>
                <w:rFonts w:ascii="Calibri" w:hAnsi="Calibri" w:cs="Calibri"/>
                <w:color w:val="333333"/>
                <w:sz w:val="22"/>
                <w:szCs w:val="22"/>
                <w:shd w:val="clear" w:color="auto" w:fill="FFFFFF"/>
              </w:rPr>
              <w:t>loss</w:t>
            </w:r>
          </w:p>
          <w:p w14:paraId="2C5B9AD5" w14:textId="77777777" w:rsidR="003919FD" w:rsidRDefault="003919FD" w:rsidP="003919FD">
            <w:pPr>
              <w:pStyle w:val="NormalWeb"/>
              <w:numPr>
                <w:ilvl w:val="0"/>
                <w:numId w:val="8"/>
              </w:numPr>
              <w:spacing w:before="0" w:beforeAutospacing="0" w:after="0" w:afterAutospacing="0"/>
              <w:rPr>
                <w:rFonts w:ascii="Calibri" w:hAnsi="Calibri" w:cs="Calibri"/>
                <w:color w:val="333333"/>
                <w:sz w:val="22"/>
                <w:szCs w:val="22"/>
                <w:shd w:val="clear" w:color="auto" w:fill="FFFFFF"/>
              </w:rPr>
            </w:pPr>
            <w:r w:rsidRPr="003919FD">
              <w:rPr>
                <w:rFonts w:ascii="Calibri" w:hAnsi="Calibri" w:cs="Calibri"/>
                <w:color w:val="333333"/>
                <w:sz w:val="22"/>
                <w:szCs w:val="22"/>
                <w:shd w:val="clear" w:color="auto" w:fill="FFFFFF"/>
              </w:rPr>
              <w:t xml:space="preserve">1% for summer </w:t>
            </w:r>
            <w:r>
              <w:rPr>
                <w:rFonts w:ascii="Calibri" w:hAnsi="Calibri" w:cs="Calibri"/>
                <w:color w:val="333333"/>
                <w:sz w:val="22"/>
                <w:szCs w:val="22"/>
                <w:shd w:val="clear" w:color="auto" w:fill="FFFFFF"/>
              </w:rPr>
              <w:t>programs</w:t>
            </w:r>
          </w:p>
          <w:p w14:paraId="514FA72F" w14:textId="77777777" w:rsidR="00CC09DB" w:rsidRPr="003919FD" w:rsidRDefault="003919FD" w:rsidP="00B12597">
            <w:pPr>
              <w:pStyle w:val="NormalWeb"/>
              <w:numPr>
                <w:ilvl w:val="0"/>
                <w:numId w:val="8"/>
              </w:numPr>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1% for afterschool programs</w:t>
            </w:r>
          </w:p>
        </w:tc>
      </w:tr>
      <w:tr w:rsidR="004522D3" w:rsidRPr="004835E6" w14:paraId="7A8AC6D2" w14:textId="77777777" w:rsidTr="00B12597">
        <w:trPr>
          <w:trHeight w:val="620"/>
        </w:trPr>
        <w:tc>
          <w:tcPr>
            <w:tcW w:w="1350" w:type="dxa"/>
            <w:shd w:val="clear" w:color="auto" w:fill="E2EFD9"/>
          </w:tcPr>
          <w:p w14:paraId="239B3B3E" w14:textId="77777777" w:rsidR="004522D3" w:rsidRPr="004835E6" w:rsidRDefault="004522D3" w:rsidP="007E6168">
            <w:pPr>
              <w:pStyle w:val="NormalWeb"/>
              <w:spacing w:before="0" w:beforeAutospacing="0" w:after="0" w:afterAutospacing="0"/>
              <w:rPr>
                <w:rFonts w:ascii="Calibri" w:hAnsi="Calibri" w:cs="Calibri"/>
                <w:b/>
                <w:bCs/>
                <w:color w:val="000000"/>
                <w:sz w:val="22"/>
                <w:szCs w:val="22"/>
              </w:rPr>
            </w:pPr>
            <w:r w:rsidRPr="004835E6">
              <w:rPr>
                <w:rFonts w:ascii="Calibri" w:hAnsi="Calibri" w:cs="Calibri"/>
                <w:b/>
                <w:bCs/>
                <w:color w:val="000000"/>
                <w:sz w:val="22"/>
                <w:szCs w:val="22"/>
              </w:rPr>
              <w:lastRenderedPageBreak/>
              <w:t>Funding by LEA</w:t>
            </w:r>
          </w:p>
        </w:tc>
        <w:tc>
          <w:tcPr>
            <w:tcW w:w="2340" w:type="dxa"/>
            <w:shd w:val="clear" w:color="auto" w:fill="E2EFD9"/>
          </w:tcPr>
          <w:p w14:paraId="153C8461" w14:textId="77777777" w:rsidR="004522D3" w:rsidRPr="00C10815" w:rsidRDefault="004522D3" w:rsidP="007E6168">
            <w:pPr>
              <w:pStyle w:val="NormalWeb"/>
              <w:spacing w:before="0" w:beforeAutospacing="0" w:after="0" w:afterAutospacing="0"/>
              <w:rPr>
                <w:rFonts w:ascii="Calibri" w:hAnsi="Calibri" w:cs="Calibri"/>
                <w:color w:val="333333"/>
                <w:sz w:val="22"/>
                <w:szCs w:val="22"/>
                <w:shd w:val="clear" w:color="auto" w:fill="FFFFFF"/>
              </w:rPr>
            </w:pPr>
            <w:hyperlink r:id="rId8" w:history="1">
              <w:r w:rsidRPr="00C10815">
                <w:rPr>
                  <w:rStyle w:val="Hyperlink"/>
                  <w:rFonts w:ascii="Calibri" w:hAnsi="Calibri" w:cs="Calibri"/>
                  <w:sz w:val="22"/>
                  <w:szCs w:val="22"/>
                </w:rPr>
                <w:t>http://www.cde.state.co.us/fedprograms/ed</w:t>
              </w:r>
              <w:r w:rsidRPr="00C10815">
                <w:rPr>
                  <w:rStyle w:val="Hyperlink"/>
                  <w:rFonts w:ascii="Calibri" w:hAnsi="Calibri" w:cs="Calibri"/>
                  <w:sz w:val="22"/>
                  <w:szCs w:val="22"/>
                </w:rPr>
                <w:t>u</w:t>
              </w:r>
              <w:r w:rsidRPr="00C10815">
                <w:rPr>
                  <w:rStyle w:val="Hyperlink"/>
                  <w:rFonts w:ascii="Calibri" w:hAnsi="Calibri" w:cs="Calibri"/>
                  <w:sz w:val="22"/>
                  <w:szCs w:val="22"/>
                </w:rPr>
                <w:t>cation</w:t>
              </w:r>
              <w:r w:rsidRPr="00C10815">
                <w:rPr>
                  <w:rStyle w:val="Hyperlink"/>
                  <w:rFonts w:ascii="Calibri" w:hAnsi="Calibri" w:cs="Calibri"/>
                  <w:sz w:val="22"/>
                  <w:szCs w:val="22"/>
                </w:rPr>
                <w:t>s</w:t>
              </w:r>
              <w:r w:rsidRPr="00C10815">
                <w:rPr>
                  <w:rStyle w:val="Hyperlink"/>
                  <w:rFonts w:ascii="Calibri" w:hAnsi="Calibri" w:cs="Calibri"/>
                  <w:sz w:val="22"/>
                  <w:szCs w:val="22"/>
                </w:rPr>
                <w:t>tabilizationfund</w:t>
              </w:r>
            </w:hyperlink>
            <w:r w:rsidRPr="00C10815">
              <w:rPr>
                <w:rFonts w:ascii="Calibri" w:hAnsi="Calibri" w:cs="Calibri"/>
                <w:sz w:val="22"/>
                <w:szCs w:val="22"/>
              </w:rPr>
              <w:t xml:space="preserve"> </w:t>
            </w:r>
          </w:p>
        </w:tc>
        <w:tc>
          <w:tcPr>
            <w:tcW w:w="2340" w:type="dxa"/>
            <w:shd w:val="clear" w:color="auto" w:fill="E2EFD9"/>
          </w:tcPr>
          <w:p w14:paraId="4DAF4252" w14:textId="77777777" w:rsidR="004522D3" w:rsidRPr="00C10815" w:rsidRDefault="004522D3" w:rsidP="007E6168">
            <w:pPr>
              <w:pStyle w:val="NormalWeb"/>
              <w:spacing w:before="0" w:beforeAutospacing="0" w:after="0" w:afterAutospacing="0"/>
              <w:rPr>
                <w:rFonts w:ascii="Calibri" w:hAnsi="Calibri" w:cs="Calibri"/>
                <w:color w:val="333333"/>
                <w:sz w:val="22"/>
                <w:szCs w:val="22"/>
                <w:shd w:val="clear" w:color="auto" w:fill="FFFFFF"/>
              </w:rPr>
            </w:pPr>
            <w:hyperlink r:id="rId9" w:history="1">
              <w:r w:rsidRPr="00C10815">
                <w:rPr>
                  <w:rStyle w:val="Hyperlink"/>
                  <w:rFonts w:ascii="Calibri" w:hAnsi="Calibri" w:cs="Calibri"/>
                  <w:sz w:val="22"/>
                  <w:szCs w:val="22"/>
                </w:rPr>
                <w:t>http://www.cde.state.co.us/cdefinance/co</w:t>
              </w:r>
              <w:r w:rsidRPr="00C10815">
                <w:rPr>
                  <w:rStyle w:val="Hyperlink"/>
                  <w:rFonts w:ascii="Calibri" w:hAnsi="Calibri" w:cs="Calibri"/>
                  <w:sz w:val="22"/>
                  <w:szCs w:val="22"/>
                </w:rPr>
                <w:t>r</w:t>
              </w:r>
              <w:r w:rsidRPr="00C10815">
                <w:rPr>
                  <w:rStyle w:val="Hyperlink"/>
                  <w:rFonts w:ascii="Calibri" w:hAnsi="Calibri" w:cs="Calibri"/>
                  <w:sz w:val="22"/>
                  <w:szCs w:val="22"/>
                </w:rPr>
                <w:t>onavirusr</w:t>
              </w:r>
              <w:r w:rsidRPr="00C10815">
                <w:rPr>
                  <w:rStyle w:val="Hyperlink"/>
                  <w:rFonts w:ascii="Calibri" w:hAnsi="Calibri" w:cs="Calibri"/>
                  <w:sz w:val="22"/>
                  <w:szCs w:val="22"/>
                </w:rPr>
                <w:t>e</w:t>
              </w:r>
              <w:r w:rsidRPr="00C10815">
                <w:rPr>
                  <w:rStyle w:val="Hyperlink"/>
                  <w:rFonts w:ascii="Calibri" w:hAnsi="Calibri" w:cs="Calibri"/>
                  <w:sz w:val="22"/>
                  <w:szCs w:val="22"/>
                </w:rPr>
                <w:t>lieffundallocations</w:t>
              </w:r>
            </w:hyperlink>
            <w:r w:rsidRPr="00C10815">
              <w:rPr>
                <w:rFonts w:ascii="Calibri" w:hAnsi="Calibri" w:cs="Calibri"/>
                <w:sz w:val="22"/>
                <w:szCs w:val="22"/>
              </w:rPr>
              <w:t xml:space="preserve"> </w:t>
            </w:r>
          </w:p>
        </w:tc>
        <w:tc>
          <w:tcPr>
            <w:tcW w:w="2340" w:type="dxa"/>
            <w:shd w:val="clear" w:color="auto" w:fill="E2EFD9"/>
          </w:tcPr>
          <w:p w14:paraId="57902FC2" w14:textId="77777777" w:rsidR="004522D3" w:rsidRPr="00C10815" w:rsidRDefault="004522D3" w:rsidP="007E6168">
            <w:pPr>
              <w:pStyle w:val="NormalWeb"/>
              <w:spacing w:before="0" w:beforeAutospacing="0" w:after="0" w:afterAutospacing="0"/>
              <w:rPr>
                <w:rFonts w:ascii="Calibri" w:hAnsi="Calibri" w:cs="Calibri"/>
                <w:sz w:val="22"/>
                <w:szCs w:val="22"/>
              </w:rPr>
            </w:pPr>
            <w:hyperlink r:id="rId10" w:history="1">
              <w:r w:rsidRPr="005C1BBD">
                <w:rPr>
                  <w:rStyle w:val="Hyperlink"/>
                  <w:rFonts w:ascii="Calibri" w:hAnsi="Calibri" w:cs="Calibri"/>
                  <w:sz w:val="22"/>
                  <w:szCs w:val="22"/>
                </w:rPr>
                <w:t>http://www.cde.state.co.us/caresact/esseriipreliminary</w:t>
              </w:r>
              <w:r w:rsidRPr="005C1BBD">
                <w:rPr>
                  <w:rStyle w:val="Hyperlink"/>
                  <w:rFonts w:ascii="Calibri" w:hAnsi="Calibri" w:cs="Calibri"/>
                  <w:sz w:val="22"/>
                  <w:szCs w:val="22"/>
                </w:rPr>
                <w:t>a</w:t>
              </w:r>
              <w:r w:rsidRPr="005C1BBD">
                <w:rPr>
                  <w:rStyle w:val="Hyperlink"/>
                  <w:rFonts w:ascii="Calibri" w:hAnsi="Calibri" w:cs="Calibri"/>
                  <w:sz w:val="22"/>
                  <w:szCs w:val="22"/>
                </w:rPr>
                <w:t>llocations</w:t>
              </w:r>
            </w:hyperlink>
          </w:p>
        </w:tc>
        <w:tc>
          <w:tcPr>
            <w:tcW w:w="2340" w:type="dxa"/>
            <w:shd w:val="clear" w:color="auto" w:fill="E2EFD9"/>
          </w:tcPr>
          <w:p w14:paraId="51851BDD" w14:textId="77777777" w:rsidR="004522D3" w:rsidRDefault="00613152" w:rsidP="007E6168">
            <w:pPr>
              <w:pStyle w:val="NormalWeb"/>
              <w:spacing w:before="0" w:beforeAutospacing="0" w:after="0" w:afterAutospacing="0"/>
              <w:rPr>
                <w:rFonts w:ascii="Calibri" w:hAnsi="Calibri" w:cs="Calibri"/>
                <w:sz w:val="22"/>
                <w:szCs w:val="22"/>
              </w:rPr>
            </w:pPr>
            <w:hyperlink r:id="rId11" w:history="1">
              <w:r w:rsidRPr="00D5239C">
                <w:rPr>
                  <w:rStyle w:val="Hyperlink"/>
                  <w:rFonts w:ascii="Calibri" w:hAnsi="Calibri" w:cs="Calibri"/>
                  <w:sz w:val="22"/>
                  <w:szCs w:val="22"/>
                </w:rPr>
                <w:t>https://www.cde.state.co.us/cdefisgrant/esseriiiallocations</w:t>
              </w:r>
            </w:hyperlink>
            <w:r>
              <w:rPr>
                <w:rFonts w:ascii="Calibri" w:hAnsi="Calibri" w:cs="Calibri"/>
                <w:sz w:val="22"/>
                <w:szCs w:val="22"/>
              </w:rPr>
              <w:t xml:space="preserve"> </w:t>
            </w:r>
          </w:p>
        </w:tc>
      </w:tr>
      <w:tr w:rsidR="004522D3" w:rsidRPr="004835E6" w14:paraId="5645FC45" w14:textId="77777777" w:rsidTr="00B12597">
        <w:trPr>
          <w:trHeight w:val="359"/>
        </w:trPr>
        <w:tc>
          <w:tcPr>
            <w:tcW w:w="1350" w:type="dxa"/>
            <w:shd w:val="clear" w:color="auto" w:fill="auto"/>
            <w:hideMark/>
          </w:tcPr>
          <w:p w14:paraId="38FA68D1" w14:textId="77777777" w:rsidR="004522D3" w:rsidRPr="00584DA2" w:rsidRDefault="00DF0CC1" w:rsidP="007E6168">
            <w:pPr>
              <w:pStyle w:val="NormalWeb"/>
              <w:spacing w:before="0" w:beforeAutospacing="0" w:after="0" w:afterAutospacing="0"/>
              <w:rPr>
                <w:b/>
                <w:bCs/>
              </w:rPr>
            </w:pPr>
            <w:r>
              <w:rPr>
                <w:rFonts w:ascii="Calibri" w:hAnsi="Calibri" w:cs="Calibri"/>
                <w:b/>
                <w:bCs/>
                <w:color w:val="000000"/>
                <w:sz w:val="22"/>
                <w:szCs w:val="22"/>
              </w:rPr>
              <w:t xml:space="preserve">Fund Use </w:t>
            </w:r>
            <w:r w:rsidR="004522D3" w:rsidRPr="004835E6">
              <w:rPr>
                <w:rFonts w:ascii="Calibri" w:hAnsi="Calibri" w:cs="Calibri"/>
                <w:b/>
                <w:bCs/>
                <w:color w:val="000000"/>
                <w:sz w:val="22"/>
                <w:szCs w:val="22"/>
              </w:rPr>
              <w:t xml:space="preserve">Timeframe </w:t>
            </w:r>
          </w:p>
        </w:tc>
        <w:tc>
          <w:tcPr>
            <w:tcW w:w="2340" w:type="dxa"/>
            <w:shd w:val="clear" w:color="auto" w:fill="auto"/>
            <w:hideMark/>
          </w:tcPr>
          <w:p w14:paraId="7993DD95" w14:textId="77777777" w:rsidR="004522D3" w:rsidRPr="00AE79E5" w:rsidRDefault="004522D3" w:rsidP="007E6168">
            <w:pPr>
              <w:pStyle w:val="NormalWeb"/>
              <w:spacing w:before="0" w:beforeAutospacing="0" w:after="0" w:afterAutospacing="0"/>
              <w:rPr>
                <w:rFonts w:ascii="Calibri" w:hAnsi="Calibri" w:cs="Calibri"/>
                <w:color w:val="000000"/>
                <w:sz w:val="22"/>
                <w:szCs w:val="22"/>
              </w:rPr>
            </w:pPr>
            <w:r w:rsidRPr="004835E6">
              <w:rPr>
                <w:rFonts w:ascii="Calibri" w:hAnsi="Calibri" w:cs="Calibri"/>
                <w:color w:val="000000"/>
                <w:sz w:val="22"/>
                <w:szCs w:val="22"/>
              </w:rPr>
              <w:t>Through Sept. 30, 2022</w:t>
            </w:r>
          </w:p>
        </w:tc>
        <w:tc>
          <w:tcPr>
            <w:tcW w:w="2340" w:type="dxa"/>
            <w:shd w:val="clear" w:color="auto" w:fill="auto"/>
            <w:hideMark/>
          </w:tcPr>
          <w:p w14:paraId="38A89E28" w14:textId="77777777" w:rsidR="004522D3" w:rsidRDefault="004522D3" w:rsidP="007E6168">
            <w:pPr>
              <w:pStyle w:val="NormalWeb"/>
              <w:spacing w:before="0" w:beforeAutospacing="0" w:after="0" w:afterAutospacing="0"/>
            </w:pPr>
            <w:r>
              <w:rPr>
                <w:rFonts w:ascii="Calibri" w:hAnsi="Calibri" w:cs="Calibri"/>
                <w:color w:val="000000"/>
                <w:sz w:val="22"/>
                <w:szCs w:val="22"/>
              </w:rPr>
              <w:t>Extended to</w:t>
            </w:r>
            <w:r w:rsidRPr="004835E6">
              <w:rPr>
                <w:rFonts w:ascii="Calibri" w:hAnsi="Calibri" w:cs="Calibri"/>
                <w:color w:val="000000"/>
                <w:sz w:val="22"/>
                <w:szCs w:val="22"/>
              </w:rPr>
              <w:t xml:space="preserve"> Dec. 30, 202</w:t>
            </w:r>
            <w:r>
              <w:rPr>
                <w:rFonts w:ascii="Calibri" w:hAnsi="Calibri" w:cs="Calibri"/>
                <w:color w:val="000000"/>
                <w:sz w:val="22"/>
                <w:szCs w:val="22"/>
              </w:rPr>
              <w:t>1</w:t>
            </w:r>
          </w:p>
        </w:tc>
        <w:tc>
          <w:tcPr>
            <w:tcW w:w="2340" w:type="dxa"/>
          </w:tcPr>
          <w:p w14:paraId="37C83647" w14:textId="77777777" w:rsidR="004522D3" w:rsidRPr="004835E6" w:rsidRDefault="004522D3"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Through Sept. 30, 2023</w:t>
            </w:r>
          </w:p>
        </w:tc>
        <w:tc>
          <w:tcPr>
            <w:tcW w:w="2340" w:type="dxa"/>
          </w:tcPr>
          <w:p w14:paraId="16D72227" w14:textId="77777777" w:rsidR="004522D3" w:rsidRDefault="004522D3" w:rsidP="007E6168">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Through Sept. 30, 2024</w:t>
            </w:r>
          </w:p>
        </w:tc>
      </w:tr>
      <w:tr w:rsidR="004522D3" w:rsidRPr="004835E6" w14:paraId="61020FB5" w14:textId="77777777" w:rsidTr="00B12597">
        <w:trPr>
          <w:trHeight w:val="359"/>
        </w:trPr>
        <w:tc>
          <w:tcPr>
            <w:tcW w:w="1350" w:type="dxa"/>
            <w:shd w:val="clear" w:color="auto" w:fill="E2EFD9"/>
          </w:tcPr>
          <w:p w14:paraId="55EBD58E" w14:textId="77777777" w:rsidR="004522D3" w:rsidRPr="004835E6" w:rsidRDefault="004522D3" w:rsidP="007E6168">
            <w:pPr>
              <w:pStyle w:val="NormalWeb"/>
              <w:spacing w:before="0" w:beforeAutospacing="0" w:after="0" w:afterAutospacing="0"/>
              <w:rPr>
                <w:rFonts w:ascii="Calibri" w:hAnsi="Calibri" w:cs="Calibri"/>
                <w:b/>
                <w:bCs/>
                <w:color w:val="000000"/>
                <w:sz w:val="22"/>
                <w:szCs w:val="22"/>
              </w:rPr>
            </w:pPr>
            <w:r w:rsidRPr="004835E6">
              <w:rPr>
                <w:rFonts w:ascii="Calibri" w:hAnsi="Calibri" w:cs="Calibri"/>
                <w:b/>
                <w:bCs/>
                <w:color w:val="000000"/>
                <w:sz w:val="22"/>
                <w:szCs w:val="22"/>
              </w:rPr>
              <w:t>Allowable uses</w:t>
            </w:r>
          </w:p>
        </w:tc>
        <w:tc>
          <w:tcPr>
            <w:tcW w:w="2340" w:type="dxa"/>
            <w:shd w:val="clear" w:color="auto" w:fill="E2EFD9"/>
          </w:tcPr>
          <w:p w14:paraId="536C9767" w14:textId="77777777" w:rsidR="004522D3" w:rsidRPr="004835E6" w:rsidRDefault="004522D3" w:rsidP="004522D3">
            <w:pPr>
              <w:pStyle w:val="NormalWeb"/>
              <w:spacing w:before="0" w:beforeAutospacing="0" w:after="0" w:afterAutospacing="0"/>
              <w:rPr>
                <w:rFonts w:ascii="Calibri" w:hAnsi="Calibri" w:cs="Calibri"/>
                <w:color w:val="000000"/>
                <w:sz w:val="22"/>
                <w:szCs w:val="22"/>
              </w:rPr>
            </w:pPr>
            <w:r w:rsidRPr="004835E6">
              <w:rPr>
                <w:rFonts w:ascii="Calibri" w:hAnsi="Calibri" w:cs="Calibri"/>
                <w:color w:val="000000"/>
                <w:sz w:val="22"/>
                <w:szCs w:val="22"/>
              </w:rPr>
              <w:t xml:space="preserve">Funds must be used to address the impact </w:t>
            </w:r>
            <w:r>
              <w:rPr>
                <w:rFonts w:ascii="Calibri" w:hAnsi="Calibri" w:cs="Calibri"/>
                <w:color w:val="000000"/>
                <w:sz w:val="22"/>
                <w:szCs w:val="22"/>
              </w:rPr>
              <w:t xml:space="preserve">of </w:t>
            </w:r>
            <w:r w:rsidRPr="004835E6">
              <w:rPr>
                <w:rFonts w:ascii="Calibri" w:hAnsi="Calibri" w:cs="Calibri"/>
                <w:color w:val="000000"/>
                <w:sz w:val="22"/>
                <w:szCs w:val="22"/>
              </w:rPr>
              <w:t>COVID-19</w:t>
            </w:r>
            <w:r w:rsidR="00613152">
              <w:rPr>
                <w:rFonts w:ascii="Calibri" w:hAnsi="Calibri" w:cs="Calibri"/>
                <w:color w:val="000000"/>
                <w:sz w:val="22"/>
                <w:szCs w:val="22"/>
              </w:rPr>
              <w:t xml:space="preserve"> </w:t>
            </w:r>
            <w:r w:rsidRPr="004835E6">
              <w:rPr>
                <w:rFonts w:ascii="Calibri" w:hAnsi="Calibri" w:cs="Calibri"/>
                <w:color w:val="000000"/>
                <w:sz w:val="22"/>
                <w:szCs w:val="22"/>
              </w:rPr>
              <w:t>on schools</w:t>
            </w:r>
            <w:r w:rsidR="00613152">
              <w:rPr>
                <w:rFonts w:ascii="Calibri" w:hAnsi="Calibri" w:cs="Calibri"/>
                <w:color w:val="000000"/>
                <w:sz w:val="22"/>
                <w:szCs w:val="22"/>
              </w:rPr>
              <w:t xml:space="preserve">, including activities that are necessary to maintain the operation of and continuity of services, </w:t>
            </w:r>
            <w:r>
              <w:rPr>
                <w:rFonts w:ascii="Calibri" w:hAnsi="Calibri" w:cs="Calibri"/>
                <w:color w:val="000000"/>
                <w:sz w:val="22"/>
                <w:szCs w:val="22"/>
              </w:rPr>
              <w:t xml:space="preserve">as well as </w:t>
            </w:r>
            <w:r w:rsidRPr="004835E6">
              <w:rPr>
                <w:rFonts w:ascii="Calibri" w:hAnsi="Calibri" w:cs="Calibri"/>
                <w:color w:val="000000"/>
                <w:sz w:val="22"/>
                <w:szCs w:val="22"/>
              </w:rPr>
              <w:t>existing federal programs*</w:t>
            </w:r>
          </w:p>
        </w:tc>
        <w:tc>
          <w:tcPr>
            <w:tcW w:w="2340" w:type="dxa"/>
            <w:shd w:val="clear" w:color="auto" w:fill="E2EFD9"/>
          </w:tcPr>
          <w:p w14:paraId="07F93D10" w14:textId="77777777" w:rsidR="004522D3" w:rsidRPr="008F2D74" w:rsidRDefault="004522D3" w:rsidP="004522D3">
            <w:pPr>
              <w:pStyle w:val="NormalWeb"/>
              <w:spacing w:before="0" w:beforeAutospacing="0" w:after="0" w:afterAutospacing="0"/>
              <w:rPr>
                <w:rFonts w:ascii="Calibri" w:hAnsi="Calibri" w:cs="Calibri"/>
                <w:color w:val="000000"/>
                <w:sz w:val="22"/>
                <w:szCs w:val="22"/>
              </w:rPr>
            </w:pPr>
            <w:r w:rsidRPr="004835E6">
              <w:rPr>
                <w:rFonts w:ascii="Calibri" w:hAnsi="Calibri" w:cs="Calibri"/>
                <w:color w:val="000000"/>
                <w:sz w:val="22"/>
                <w:szCs w:val="22"/>
              </w:rPr>
              <w:t>Funds must be used to facilitate compliance with COVID-19</w:t>
            </w:r>
            <w:r w:rsidR="0032105F">
              <w:rPr>
                <w:rFonts w:ascii="Calibri" w:hAnsi="Calibri" w:cs="Calibri"/>
                <w:color w:val="000000"/>
                <w:sz w:val="22"/>
                <w:szCs w:val="22"/>
              </w:rPr>
              <w:t>-</w:t>
            </w:r>
            <w:r w:rsidRPr="004835E6">
              <w:rPr>
                <w:rFonts w:ascii="Calibri" w:hAnsi="Calibri" w:cs="Calibri"/>
                <w:color w:val="000000"/>
                <w:sz w:val="22"/>
                <w:szCs w:val="22"/>
              </w:rPr>
              <w:t xml:space="preserve">related public health measures and mitigate the second-order effects of the virus </w:t>
            </w:r>
          </w:p>
        </w:tc>
        <w:tc>
          <w:tcPr>
            <w:tcW w:w="2340" w:type="dxa"/>
            <w:shd w:val="clear" w:color="auto" w:fill="E2EFD9"/>
          </w:tcPr>
          <w:p w14:paraId="7FA83ED7" w14:textId="77777777" w:rsidR="004522D3" w:rsidRPr="00B5794D" w:rsidRDefault="004522D3" w:rsidP="00B5794D">
            <w:pPr>
              <w:spacing w:after="0" w:line="240" w:lineRule="auto"/>
              <w:ind w:right="0"/>
              <w:textAlignment w:val="baseline"/>
              <w:rPr>
                <w:rFonts w:eastAsia="Times New Roman" w:cs="Calibri"/>
                <w:color w:val="000000"/>
              </w:rPr>
            </w:pPr>
            <w:r>
              <w:rPr>
                <w:rFonts w:eastAsia="Times New Roman" w:cs="Calibri"/>
                <w:color w:val="000000"/>
              </w:rPr>
              <w:t>Same as ESSER I with emphasis on:</w:t>
            </w:r>
          </w:p>
          <w:p w14:paraId="747FA880" w14:textId="77777777" w:rsidR="004522D3" w:rsidRPr="00B5794D" w:rsidRDefault="004522D3" w:rsidP="00B5794D">
            <w:pPr>
              <w:numPr>
                <w:ilvl w:val="0"/>
                <w:numId w:val="6"/>
              </w:numPr>
              <w:spacing w:after="0" w:line="240" w:lineRule="auto"/>
              <w:ind w:right="0"/>
              <w:textAlignment w:val="baseline"/>
              <w:rPr>
                <w:rFonts w:eastAsia="Times New Roman" w:cs="Calibri"/>
                <w:color w:val="000000"/>
              </w:rPr>
            </w:pPr>
            <w:r w:rsidRPr="00B5794D">
              <w:rPr>
                <w:rFonts w:eastAsia="Times New Roman" w:cs="Calibri"/>
                <w:color w:val="000000"/>
              </w:rPr>
              <w:t>Addressing learning loss</w:t>
            </w:r>
          </w:p>
          <w:p w14:paraId="60703401" w14:textId="77777777" w:rsidR="004522D3" w:rsidRPr="00B5794D" w:rsidRDefault="004522D3" w:rsidP="00B5794D">
            <w:pPr>
              <w:numPr>
                <w:ilvl w:val="0"/>
                <w:numId w:val="6"/>
              </w:numPr>
              <w:spacing w:after="0" w:line="240" w:lineRule="auto"/>
              <w:ind w:right="0"/>
              <w:textAlignment w:val="baseline"/>
              <w:rPr>
                <w:rFonts w:eastAsia="Times New Roman" w:cs="Calibri"/>
                <w:color w:val="000000"/>
              </w:rPr>
            </w:pPr>
            <w:r w:rsidRPr="00B5794D">
              <w:rPr>
                <w:rFonts w:eastAsia="Times New Roman" w:cs="Calibri"/>
                <w:color w:val="000000"/>
              </w:rPr>
              <w:t xml:space="preserve">School facility repairs and improvements </w:t>
            </w:r>
          </w:p>
          <w:p w14:paraId="4B87EDCB" w14:textId="77777777" w:rsidR="004522D3" w:rsidRPr="004835E6" w:rsidRDefault="004522D3" w:rsidP="00B12597">
            <w:pPr>
              <w:spacing w:after="0" w:line="240" w:lineRule="auto"/>
              <w:ind w:left="360" w:right="0"/>
              <w:textAlignment w:val="baseline"/>
              <w:rPr>
                <w:rFonts w:cs="Calibri"/>
                <w:color w:val="000000"/>
              </w:rPr>
            </w:pPr>
          </w:p>
        </w:tc>
        <w:tc>
          <w:tcPr>
            <w:tcW w:w="2340" w:type="dxa"/>
            <w:shd w:val="clear" w:color="auto" w:fill="E2EFD9"/>
          </w:tcPr>
          <w:p w14:paraId="38BA6002" w14:textId="77777777" w:rsidR="004522D3" w:rsidRDefault="004522D3" w:rsidP="00B5794D">
            <w:pPr>
              <w:spacing w:after="0" w:line="240" w:lineRule="auto"/>
              <w:ind w:right="0"/>
              <w:textAlignment w:val="baseline"/>
              <w:rPr>
                <w:rFonts w:eastAsia="Times New Roman" w:cs="Calibri"/>
                <w:color w:val="000000"/>
              </w:rPr>
            </w:pPr>
            <w:r>
              <w:rPr>
                <w:rFonts w:eastAsia="Times New Roman" w:cs="Calibri"/>
                <w:color w:val="000000"/>
              </w:rPr>
              <w:t xml:space="preserve">Same as ESSER </w:t>
            </w:r>
            <w:r w:rsidR="00CB397A">
              <w:rPr>
                <w:rFonts w:eastAsia="Times New Roman" w:cs="Calibri"/>
                <w:color w:val="000000"/>
              </w:rPr>
              <w:t>I</w:t>
            </w:r>
            <w:r>
              <w:rPr>
                <w:rFonts w:eastAsia="Times New Roman" w:cs="Calibri"/>
                <w:color w:val="000000"/>
              </w:rPr>
              <w:t xml:space="preserve"> with a requirement </w:t>
            </w:r>
            <w:r w:rsidR="00CC09DB">
              <w:rPr>
                <w:rFonts w:eastAsia="Times New Roman" w:cs="Calibri"/>
                <w:color w:val="000000"/>
              </w:rPr>
              <w:t>for LEAs to</w:t>
            </w:r>
            <w:r>
              <w:rPr>
                <w:rFonts w:eastAsia="Times New Roman" w:cs="Calibri"/>
                <w:color w:val="000000"/>
              </w:rPr>
              <w:t xml:space="preserve"> </w:t>
            </w:r>
            <w:r w:rsidR="00CC09DB">
              <w:rPr>
                <w:rFonts w:eastAsia="Times New Roman" w:cs="Calibri"/>
                <w:color w:val="000000"/>
              </w:rPr>
              <w:t>use</w:t>
            </w:r>
            <w:r>
              <w:rPr>
                <w:rFonts w:eastAsia="Times New Roman" w:cs="Calibri"/>
                <w:color w:val="000000"/>
              </w:rPr>
              <w:t xml:space="preserve"> at</w:t>
            </w:r>
            <w:r w:rsidRPr="004522D3">
              <w:rPr>
                <w:rFonts w:eastAsia="Times New Roman" w:cs="Calibri"/>
                <w:color w:val="000000"/>
              </w:rPr>
              <w:t xml:space="preserve"> least 20% of fund</w:t>
            </w:r>
            <w:r w:rsidR="00CC09DB">
              <w:rPr>
                <w:rFonts w:eastAsia="Times New Roman" w:cs="Calibri"/>
                <w:color w:val="000000"/>
              </w:rPr>
              <w:t>s</w:t>
            </w:r>
            <w:r w:rsidR="004E09C4">
              <w:rPr>
                <w:rFonts w:eastAsia="Times New Roman" w:cs="Calibri"/>
                <w:color w:val="000000"/>
              </w:rPr>
              <w:t xml:space="preserve"> </w:t>
            </w:r>
            <w:r w:rsidRPr="004522D3">
              <w:rPr>
                <w:rFonts w:eastAsia="Times New Roman" w:cs="Calibri"/>
                <w:color w:val="000000"/>
              </w:rPr>
              <w:t xml:space="preserve">to address the </w:t>
            </w:r>
            <w:r w:rsidR="00CC09DB">
              <w:rPr>
                <w:rFonts w:eastAsia="Times New Roman" w:cs="Calibri"/>
                <w:color w:val="000000"/>
              </w:rPr>
              <w:t xml:space="preserve">impact of COVID-19 on </w:t>
            </w:r>
            <w:r w:rsidRPr="004522D3">
              <w:rPr>
                <w:rFonts w:eastAsia="Times New Roman" w:cs="Calibri"/>
                <w:color w:val="000000"/>
              </w:rPr>
              <w:t xml:space="preserve">learning </w:t>
            </w:r>
            <w:r w:rsidR="00CC09DB">
              <w:rPr>
                <w:rFonts w:eastAsia="Times New Roman" w:cs="Calibri"/>
                <w:color w:val="000000"/>
              </w:rPr>
              <w:t>and for states to use</w:t>
            </w:r>
            <w:r w:rsidR="004E09C4">
              <w:rPr>
                <w:rFonts w:eastAsia="Times New Roman" w:cs="Calibri"/>
                <w:color w:val="000000"/>
              </w:rPr>
              <w:t xml:space="preserve"> part of the state reserve </w:t>
            </w:r>
            <w:r w:rsidR="0032105F">
              <w:rPr>
                <w:rFonts w:eastAsia="Times New Roman" w:cs="Calibri"/>
                <w:color w:val="000000"/>
              </w:rPr>
              <w:t xml:space="preserve">for </w:t>
            </w:r>
            <w:r w:rsidR="004E09C4">
              <w:rPr>
                <w:rFonts w:eastAsia="Times New Roman" w:cs="Calibri"/>
                <w:color w:val="000000"/>
              </w:rPr>
              <w:t>learning</w:t>
            </w:r>
            <w:r w:rsidR="00CC09DB">
              <w:rPr>
                <w:rFonts w:eastAsia="Times New Roman" w:cs="Calibri"/>
                <w:color w:val="000000"/>
              </w:rPr>
              <w:t xml:space="preserve"> opportunity</w:t>
            </w:r>
            <w:r w:rsidR="004E09C4">
              <w:rPr>
                <w:rFonts w:eastAsia="Times New Roman" w:cs="Calibri"/>
                <w:color w:val="000000"/>
              </w:rPr>
              <w:t xml:space="preserve"> loss, </w:t>
            </w:r>
            <w:r w:rsidRPr="004522D3">
              <w:rPr>
                <w:rFonts w:eastAsia="Times New Roman" w:cs="Calibri"/>
                <w:color w:val="000000"/>
              </w:rPr>
              <w:t>summer programming, and after-school opportunities</w:t>
            </w:r>
          </w:p>
        </w:tc>
      </w:tr>
      <w:tr w:rsidR="004522D3" w:rsidRPr="004835E6" w14:paraId="3619DEFF" w14:textId="77777777" w:rsidTr="00B12597">
        <w:trPr>
          <w:cantSplit/>
          <w:trHeight w:val="56"/>
        </w:trPr>
        <w:tc>
          <w:tcPr>
            <w:tcW w:w="1350" w:type="dxa"/>
            <w:shd w:val="clear" w:color="auto" w:fill="auto"/>
            <w:hideMark/>
          </w:tcPr>
          <w:p w14:paraId="27216A92" w14:textId="77777777" w:rsidR="004522D3" w:rsidRPr="00584DA2" w:rsidRDefault="004522D3" w:rsidP="007E6168">
            <w:pPr>
              <w:pStyle w:val="NormalWeb"/>
              <w:spacing w:before="0" w:beforeAutospacing="0" w:after="0" w:afterAutospacing="0"/>
              <w:rPr>
                <w:b/>
                <w:bCs/>
              </w:rPr>
            </w:pPr>
            <w:r w:rsidRPr="004835E6">
              <w:rPr>
                <w:rFonts w:ascii="Calibri" w:hAnsi="Calibri" w:cs="Calibri"/>
                <w:b/>
                <w:bCs/>
                <w:color w:val="000000"/>
                <w:sz w:val="22"/>
                <w:szCs w:val="22"/>
              </w:rPr>
              <w:t>Charter Schools and Non-Public Schools</w:t>
            </w:r>
          </w:p>
        </w:tc>
        <w:tc>
          <w:tcPr>
            <w:tcW w:w="2340" w:type="dxa"/>
            <w:shd w:val="clear" w:color="auto" w:fill="auto"/>
            <w:hideMark/>
          </w:tcPr>
          <w:p w14:paraId="48023862" w14:textId="77777777" w:rsidR="004522D3" w:rsidRDefault="004522D3" w:rsidP="007E6168">
            <w:pPr>
              <w:pStyle w:val="NormalWeb"/>
              <w:spacing w:before="0" w:beforeAutospacing="0" w:after="0" w:afterAutospacing="0"/>
            </w:pPr>
            <w:r w:rsidRPr="004835E6">
              <w:rPr>
                <w:rFonts w:ascii="Calibri" w:hAnsi="Calibri" w:cs="Calibri"/>
                <w:color w:val="000000"/>
                <w:sz w:val="22"/>
                <w:szCs w:val="22"/>
              </w:rPr>
              <w:t>LEAs must provide equitable services to students and teachers in non-public schools in the same manner as they do with Title funds. </w:t>
            </w:r>
          </w:p>
          <w:p w14:paraId="1839DD2C" w14:textId="77777777" w:rsidR="004522D3" w:rsidRDefault="004522D3" w:rsidP="007E6168">
            <w:pPr>
              <w:pStyle w:val="NormalWeb"/>
              <w:spacing w:before="0" w:beforeAutospacing="0" w:after="0" w:afterAutospacing="0"/>
            </w:pPr>
            <w:r w:rsidRPr="004835E6">
              <w:rPr>
                <w:rFonts w:ascii="Calibri" w:hAnsi="Calibri" w:cs="Calibri"/>
                <w:color w:val="000000"/>
                <w:sz w:val="22"/>
                <w:szCs w:val="22"/>
              </w:rPr>
              <w:t xml:space="preserve">CDE </w:t>
            </w:r>
            <w:r w:rsidR="00613152">
              <w:rPr>
                <w:rFonts w:ascii="Calibri" w:hAnsi="Calibri" w:cs="Calibri"/>
                <w:color w:val="000000"/>
                <w:sz w:val="22"/>
                <w:szCs w:val="22"/>
              </w:rPr>
              <w:t>requests</w:t>
            </w:r>
            <w:r w:rsidRPr="004835E6">
              <w:rPr>
                <w:rFonts w:ascii="Calibri" w:hAnsi="Calibri" w:cs="Calibri"/>
                <w:color w:val="000000"/>
                <w:sz w:val="22"/>
                <w:szCs w:val="22"/>
              </w:rPr>
              <w:t xml:space="preserve"> districts include their charter schools on equal footing with traditional schools when determining fund usage.</w:t>
            </w:r>
          </w:p>
        </w:tc>
        <w:tc>
          <w:tcPr>
            <w:tcW w:w="2340" w:type="dxa"/>
            <w:shd w:val="clear" w:color="auto" w:fill="auto"/>
            <w:hideMark/>
          </w:tcPr>
          <w:p w14:paraId="7EE6A517" w14:textId="77777777" w:rsidR="004522D3" w:rsidRDefault="004522D3" w:rsidP="007E6168">
            <w:pPr>
              <w:pStyle w:val="NormalWeb"/>
              <w:spacing w:before="0" w:beforeAutospacing="0" w:after="0" w:afterAutospacing="0"/>
            </w:pPr>
            <w:r w:rsidRPr="004835E6">
              <w:rPr>
                <w:rFonts w:ascii="Calibri" w:hAnsi="Calibri" w:cs="Calibri"/>
                <w:color w:val="000000"/>
                <w:sz w:val="22"/>
                <w:szCs w:val="22"/>
              </w:rPr>
              <w:t>Section 22-30.5-112(3), C.R.S. requires districts to share CRF funds with charter schools on a per pupil basis. </w:t>
            </w:r>
          </w:p>
        </w:tc>
        <w:tc>
          <w:tcPr>
            <w:tcW w:w="2340" w:type="dxa"/>
          </w:tcPr>
          <w:p w14:paraId="715867D3" w14:textId="77777777" w:rsidR="004522D3" w:rsidRPr="004835E6" w:rsidRDefault="004522D3" w:rsidP="00B5794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There is no </w:t>
            </w:r>
            <w:r w:rsidRPr="004835E6">
              <w:rPr>
                <w:rFonts w:ascii="Calibri" w:hAnsi="Calibri" w:cs="Calibri"/>
                <w:color w:val="000000"/>
                <w:sz w:val="22"/>
                <w:szCs w:val="22"/>
              </w:rPr>
              <w:t xml:space="preserve">equitable services </w:t>
            </w:r>
            <w:r>
              <w:rPr>
                <w:rFonts w:ascii="Calibri" w:hAnsi="Calibri" w:cs="Calibri"/>
                <w:color w:val="000000"/>
                <w:sz w:val="22"/>
                <w:szCs w:val="22"/>
              </w:rPr>
              <w:t>provision for</w:t>
            </w:r>
            <w:r w:rsidRPr="004835E6">
              <w:rPr>
                <w:rFonts w:ascii="Calibri" w:hAnsi="Calibri" w:cs="Calibri"/>
                <w:color w:val="000000"/>
                <w:sz w:val="22"/>
                <w:szCs w:val="22"/>
              </w:rPr>
              <w:t xml:space="preserve"> non-public schools </w:t>
            </w:r>
            <w:r>
              <w:rPr>
                <w:rFonts w:ascii="Calibri" w:hAnsi="Calibri" w:cs="Calibri"/>
                <w:color w:val="000000"/>
                <w:sz w:val="22"/>
                <w:szCs w:val="22"/>
              </w:rPr>
              <w:t>in ESSER II</w:t>
            </w:r>
            <w:r w:rsidR="00613152">
              <w:rPr>
                <w:rFonts w:ascii="Calibri" w:hAnsi="Calibri" w:cs="Calibri"/>
                <w:color w:val="000000"/>
                <w:sz w:val="22"/>
                <w:szCs w:val="22"/>
              </w:rPr>
              <w:t xml:space="preserve"> due to funding provided under the Emergency Assistance to Non-Public Schools program</w:t>
            </w:r>
            <w:r>
              <w:rPr>
                <w:rFonts w:ascii="Calibri" w:hAnsi="Calibri" w:cs="Calibri"/>
                <w:color w:val="000000"/>
                <w:sz w:val="22"/>
                <w:szCs w:val="22"/>
              </w:rPr>
              <w:t xml:space="preserve">.  </w:t>
            </w:r>
            <w:r w:rsidRPr="004835E6">
              <w:rPr>
                <w:rFonts w:ascii="Calibri" w:hAnsi="Calibri" w:cs="Calibri"/>
                <w:color w:val="000000"/>
                <w:sz w:val="22"/>
                <w:szCs w:val="22"/>
              </w:rPr>
              <w:t xml:space="preserve">CDE </w:t>
            </w:r>
            <w:r w:rsidR="00613152">
              <w:rPr>
                <w:rFonts w:ascii="Calibri" w:hAnsi="Calibri" w:cs="Calibri"/>
                <w:color w:val="000000"/>
                <w:sz w:val="22"/>
                <w:szCs w:val="22"/>
              </w:rPr>
              <w:t>requests</w:t>
            </w:r>
            <w:r w:rsidRPr="004835E6">
              <w:rPr>
                <w:rFonts w:ascii="Calibri" w:hAnsi="Calibri" w:cs="Calibri"/>
                <w:color w:val="000000"/>
                <w:sz w:val="22"/>
                <w:szCs w:val="22"/>
              </w:rPr>
              <w:t xml:space="preserve"> districts include their charter schools on equal footing with traditional schools when determining fund usage.</w:t>
            </w:r>
          </w:p>
        </w:tc>
        <w:tc>
          <w:tcPr>
            <w:tcW w:w="2340" w:type="dxa"/>
          </w:tcPr>
          <w:p w14:paraId="67940F3F" w14:textId="77777777" w:rsidR="004522D3" w:rsidRDefault="004522D3" w:rsidP="00B5794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There is no </w:t>
            </w:r>
            <w:r w:rsidRPr="004835E6">
              <w:rPr>
                <w:rFonts w:ascii="Calibri" w:hAnsi="Calibri" w:cs="Calibri"/>
                <w:color w:val="000000"/>
                <w:sz w:val="22"/>
                <w:szCs w:val="22"/>
              </w:rPr>
              <w:t xml:space="preserve">equitable services </w:t>
            </w:r>
            <w:r>
              <w:rPr>
                <w:rFonts w:ascii="Calibri" w:hAnsi="Calibri" w:cs="Calibri"/>
                <w:color w:val="000000"/>
                <w:sz w:val="22"/>
                <w:szCs w:val="22"/>
              </w:rPr>
              <w:t>provision for</w:t>
            </w:r>
            <w:r w:rsidRPr="004835E6">
              <w:rPr>
                <w:rFonts w:ascii="Calibri" w:hAnsi="Calibri" w:cs="Calibri"/>
                <w:color w:val="000000"/>
                <w:sz w:val="22"/>
                <w:szCs w:val="22"/>
              </w:rPr>
              <w:t xml:space="preserve"> non-public schools </w:t>
            </w:r>
            <w:r>
              <w:rPr>
                <w:rFonts w:ascii="Calibri" w:hAnsi="Calibri" w:cs="Calibri"/>
                <w:color w:val="000000"/>
                <w:sz w:val="22"/>
                <w:szCs w:val="22"/>
              </w:rPr>
              <w:t>in ESSER II</w:t>
            </w:r>
            <w:r w:rsidR="00613152">
              <w:rPr>
                <w:rFonts w:ascii="Calibri" w:hAnsi="Calibri" w:cs="Calibri"/>
                <w:color w:val="000000"/>
                <w:sz w:val="22"/>
                <w:szCs w:val="22"/>
              </w:rPr>
              <w:t>I due to funding provided under the Emergency Assistance to Non-Public Schools program</w:t>
            </w:r>
            <w:r>
              <w:rPr>
                <w:rFonts w:ascii="Calibri" w:hAnsi="Calibri" w:cs="Calibri"/>
                <w:color w:val="000000"/>
                <w:sz w:val="22"/>
                <w:szCs w:val="22"/>
              </w:rPr>
              <w:t xml:space="preserve">.  </w:t>
            </w:r>
            <w:r w:rsidRPr="004835E6">
              <w:rPr>
                <w:rFonts w:ascii="Calibri" w:hAnsi="Calibri" w:cs="Calibri"/>
                <w:color w:val="000000"/>
                <w:sz w:val="22"/>
                <w:szCs w:val="22"/>
              </w:rPr>
              <w:t xml:space="preserve">CDE </w:t>
            </w:r>
            <w:r w:rsidR="00613152">
              <w:rPr>
                <w:rFonts w:ascii="Calibri" w:hAnsi="Calibri" w:cs="Calibri"/>
                <w:color w:val="000000"/>
                <w:sz w:val="22"/>
                <w:szCs w:val="22"/>
              </w:rPr>
              <w:t xml:space="preserve">requests </w:t>
            </w:r>
            <w:r w:rsidRPr="004835E6">
              <w:rPr>
                <w:rFonts w:ascii="Calibri" w:hAnsi="Calibri" w:cs="Calibri"/>
                <w:color w:val="000000"/>
                <w:sz w:val="22"/>
                <w:szCs w:val="22"/>
              </w:rPr>
              <w:t>districts include their charter schools on equal footing with traditional schools when determining fund usage.</w:t>
            </w:r>
          </w:p>
        </w:tc>
      </w:tr>
    </w:tbl>
    <w:p w14:paraId="198CA0D3" w14:textId="77777777" w:rsidR="00FF6B94" w:rsidRPr="00CC09DB" w:rsidRDefault="00FF6B94" w:rsidP="00FF6B94">
      <w:pPr>
        <w:pStyle w:val="NormalWeb"/>
        <w:spacing w:before="0" w:beforeAutospacing="0" w:after="0" w:afterAutospacing="0"/>
        <w:rPr>
          <w:sz w:val="18"/>
          <w:szCs w:val="18"/>
        </w:rPr>
      </w:pPr>
      <w:r w:rsidRPr="00CC09DB">
        <w:rPr>
          <w:rFonts w:ascii="Calibri" w:hAnsi="Calibri" w:cs="Calibri"/>
          <w:color w:val="000000"/>
          <w:sz w:val="16"/>
          <w:szCs w:val="16"/>
        </w:rPr>
        <w:t>*</w:t>
      </w:r>
      <w:r w:rsidRPr="00CC09DB">
        <w:rPr>
          <w:rFonts w:ascii="Calibri" w:hAnsi="Calibri" w:cs="Calibri"/>
          <w:color w:val="333333"/>
          <w:sz w:val="16"/>
          <w:szCs w:val="16"/>
          <w:shd w:val="clear" w:color="auto" w:fill="FFFFFF"/>
        </w:rPr>
        <w:t xml:space="preserve">LEAs can use ESSER </w:t>
      </w:r>
      <w:r w:rsidR="00B5794D" w:rsidRPr="00CC09DB">
        <w:rPr>
          <w:rFonts w:ascii="Calibri" w:hAnsi="Calibri" w:cs="Calibri"/>
          <w:color w:val="333333"/>
          <w:sz w:val="16"/>
          <w:szCs w:val="16"/>
          <w:shd w:val="clear" w:color="auto" w:fill="FFFFFF"/>
        </w:rPr>
        <w:t xml:space="preserve">I and II </w:t>
      </w:r>
      <w:r w:rsidRPr="00CC09DB">
        <w:rPr>
          <w:rFonts w:ascii="Calibri" w:hAnsi="Calibri" w:cs="Calibri"/>
          <w:color w:val="333333"/>
          <w:sz w:val="16"/>
          <w:szCs w:val="16"/>
          <w:shd w:val="clear" w:color="auto" w:fill="FFFFFF"/>
        </w:rPr>
        <w:t xml:space="preserve">funds for activities authorized by ESEA, IDEA, the Adult Education and Family Literacy Act, the Perkins CTE Act, or the McKinney-Vento Homeless Assistance Act.  For a complete list of allowable activities, please refer to </w:t>
      </w:r>
      <w:hyperlink r:id="rId12" w:history="1">
        <w:r w:rsidRPr="00CC09DB">
          <w:rPr>
            <w:rStyle w:val="Hyperlink"/>
            <w:rFonts w:ascii="Calibri" w:hAnsi="Calibri" w:cs="Calibri"/>
            <w:color w:val="1155CC"/>
            <w:sz w:val="16"/>
            <w:szCs w:val="16"/>
            <w:shd w:val="clear" w:color="auto" w:fill="FFFFFF"/>
          </w:rPr>
          <w:t>https://www.cde.state.co.us/caresa</w:t>
        </w:r>
        <w:r w:rsidRPr="00CC09DB">
          <w:rPr>
            <w:rStyle w:val="Hyperlink"/>
            <w:rFonts w:ascii="Calibri" w:hAnsi="Calibri" w:cs="Calibri"/>
            <w:color w:val="1155CC"/>
            <w:sz w:val="16"/>
            <w:szCs w:val="16"/>
            <w:shd w:val="clear" w:color="auto" w:fill="FFFFFF"/>
          </w:rPr>
          <w:t>c</w:t>
        </w:r>
        <w:r w:rsidRPr="00CC09DB">
          <w:rPr>
            <w:rStyle w:val="Hyperlink"/>
            <w:rFonts w:ascii="Calibri" w:hAnsi="Calibri" w:cs="Calibri"/>
            <w:color w:val="1155CC"/>
            <w:sz w:val="16"/>
            <w:szCs w:val="16"/>
            <w:shd w:val="clear" w:color="auto" w:fill="FFFFFF"/>
          </w:rPr>
          <w:t>t/crf-allowableexpenditures</w:t>
        </w:r>
      </w:hyperlink>
      <w:r w:rsidRPr="00CC09DB">
        <w:rPr>
          <w:rFonts w:ascii="Calibri" w:hAnsi="Calibri" w:cs="Calibri"/>
          <w:color w:val="333333"/>
          <w:sz w:val="16"/>
          <w:szCs w:val="16"/>
          <w:shd w:val="clear" w:color="auto" w:fill="FFFFFF"/>
        </w:rPr>
        <w:t>.</w:t>
      </w:r>
      <w:r w:rsidRPr="00CC09DB">
        <w:rPr>
          <w:rFonts w:cs="Calibri"/>
          <w:color w:val="333333"/>
          <w:sz w:val="16"/>
          <w:szCs w:val="16"/>
          <w:shd w:val="clear" w:color="auto" w:fill="FFFFFF"/>
        </w:rPr>
        <w:t> </w:t>
      </w:r>
    </w:p>
    <w:p w14:paraId="43027D5E" w14:textId="77777777" w:rsidR="00D167BF" w:rsidRPr="00FF6B94" w:rsidRDefault="00D60D44" w:rsidP="00CC09DB">
      <w:pPr>
        <w:pStyle w:val="Text"/>
        <w:spacing w:after="0"/>
        <w:rPr>
          <w:b/>
          <w:bCs/>
          <w:sz w:val="28"/>
          <w:szCs w:val="28"/>
        </w:rPr>
      </w:pPr>
      <w:r w:rsidRPr="00FF6B94">
        <w:rPr>
          <w:b/>
          <w:bCs/>
          <w:sz w:val="28"/>
          <w:szCs w:val="28"/>
        </w:rPr>
        <w:t xml:space="preserve">Monitoring and </w:t>
      </w:r>
      <w:r w:rsidR="00F270F1" w:rsidRPr="00FF6B94">
        <w:rPr>
          <w:b/>
          <w:bCs/>
          <w:sz w:val="28"/>
          <w:szCs w:val="28"/>
        </w:rPr>
        <w:t>Reporting</w:t>
      </w:r>
    </w:p>
    <w:p w14:paraId="51905A43" w14:textId="7E6BEE4F" w:rsidR="00D60D44" w:rsidRDefault="006D5D0B" w:rsidP="00F74350">
      <w:pPr>
        <w:pStyle w:val="Text"/>
      </w:pPr>
      <w:r w:rsidRPr="00FF6B94">
        <w:rPr>
          <w:b/>
          <w:bCs/>
          <w:noProof/>
          <w:sz w:val="28"/>
          <w:szCs w:val="28"/>
        </w:rPr>
        <mc:AlternateContent>
          <mc:Choice Requires="wps">
            <w:drawing>
              <wp:anchor distT="0" distB="0" distL="114300" distR="114300" simplePos="0" relativeHeight="251657728" behindDoc="0" locked="0" layoutInCell="1" allowOverlap="1" wp14:anchorId="1A4D3CAA" wp14:editId="3F56C262">
                <wp:simplePos x="0" y="0"/>
                <wp:positionH relativeFrom="column">
                  <wp:posOffset>-577850</wp:posOffset>
                </wp:positionH>
                <wp:positionV relativeFrom="paragraph">
                  <wp:posOffset>641985</wp:posOffset>
                </wp:positionV>
                <wp:extent cx="7893050" cy="25685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0" cy="2568575"/>
                        </a:xfrm>
                        <a:prstGeom prst="rect">
                          <a:avLst/>
                        </a:prstGeom>
                        <a:solidFill>
                          <a:srgbClr val="86BE40"/>
                        </a:solidFill>
                        <a:ln w="6350">
                          <a:noFill/>
                        </a:ln>
                        <a:effectLst/>
                      </wps:spPr>
                      <wps:txbx>
                        <w:txbxContent>
                          <w:p w14:paraId="3F0C73D1" w14:textId="77777777" w:rsidR="005877F1" w:rsidRPr="00B12597" w:rsidRDefault="005877F1" w:rsidP="00B12597">
                            <w:pPr>
                              <w:pStyle w:val="Heading3"/>
                              <w:spacing w:before="0"/>
                              <w:rPr>
                                <w:sz w:val="24"/>
                                <w:szCs w:val="22"/>
                              </w:rPr>
                            </w:pPr>
                            <w:r w:rsidRPr="00B12597">
                              <w:rPr>
                                <w:sz w:val="24"/>
                                <w:szCs w:val="22"/>
                              </w:rPr>
                              <w:t>WHERE CAN I LEARN MORE?</w:t>
                            </w:r>
                          </w:p>
                          <w:p w14:paraId="5BC3F7C9" w14:textId="77777777" w:rsidR="00863B2A" w:rsidRPr="00B12597" w:rsidRDefault="006C0B07" w:rsidP="005877F1">
                            <w:pPr>
                              <w:pStyle w:val="Page01-Side-bar-navy"/>
                              <w:rPr>
                                <w:b/>
                                <w:bCs/>
                                <w:sz w:val="18"/>
                                <w:szCs w:val="20"/>
                              </w:rPr>
                            </w:pPr>
                            <w:r w:rsidRPr="00B12597">
                              <w:rPr>
                                <w:b/>
                                <w:bCs/>
                                <w:sz w:val="18"/>
                                <w:szCs w:val="20"/>
                              </w:rPr>
                              <w:t>Federal COVID-19 Education Funding -</w:t>
                            </w:r>
                            <w:r w:rsidR="00F74350" w:rsidRPr="00B12597">
                              <w:rPr>
                                <w:b/>
                                <w:bCs/>
                                <w:sz w:val="18"/>
                                <w:szCs w:val="20"/>
                              </w:rPr>
                              <w:t xml:space="preserve"> Colorado Department of Education: </w:t>
                            </w:r>
                            <w:hyperlink r:id="rId13" w:history="1">
                              <w:hyperlink r:id="rId14" w:history="1">
                                <w:r w:rsidR="00F74350" w:rsidRPr="00B12597">
                                  <w:rPr>
                                    <w:rStyle w:val="Hyperlink"/>
                                    <w:sz w:val="18"/>
                                    <w:szCs w:val="20"/>
                                  </w:rPr>
                                  <w:t>https://www.cde.state.co.us/caresact</w:t>
                                </w:r>
                              </w:hyperlink>
                            </w:hyperlink>
                          </w:p>
                          <w:p w14:paraId="0805B237" w14:textId="77777777" w:rsidR="005877F1" w:rsidRPr="00B12597" w:rsidRDefault="00F74350" w:rsidP="005877F1">
                            <w:pPr>
                              <w:pStyle w:val="Page01-Side-bar-navy"/>
                              <w:rPr>
                                <w:sz w:val="18"/>
                                <w:szCs w:val="20"/>
                              </w:rPr>
                            </w:pPr>
                            <w:r w:rsidRPr="00B12597">
                              <w:rPr>
                                <w:b/>
                                <w:bCs/>
                                <w:sz w:val="18"/>
                                <w:szCs w:val="20"/>
                              </w:rPr>
                              <w:t xml:space="preserve">U.S Department of Education CARES Act webpage: </w:t>
                            </w:r>
                            <w:hyperlink r:id="rId15" w:history="1">
                              <w:r w:rsidRPr="00B12597">
                                <w:rPr>
                                  <w:rStyle w:val="Hyperlink"/>
                                  <w:sz w:val="18"/>
                                  <w:szCs w:val="20"/>
                                </w:rPr>
                                <w:t>https://www.ed.</w:t>
                              </w:r>
                              <w:r w:rsidRPr="00B12597">
                                <w:rPr>
                                  <w:rStyle w:val="Hyperlink"/>
                                  <w:sz w:val="18"/>
                                  <w:szCs w:val="20"/>
                                </w:rPr>
                                <w:t>g</w:t>
                              </w:r>
                              <w:r w:rsidRPr="00B12597">
                                <w:rPr>
                                  <w:rStyle w:val="Hyperlink"/>
                                  <w:sz w:val="18"/>
                                  <w:szCs w:val="20"/>
                                </w:rPr>
                                <w:t>o</w:t>
                              </w:r>
                              <w:r w:rsidRPr="00B12597">
                                <w:rPr>
                                  <w:rStyle w:val="Hyperlink"/>
                                  <w:sz w:val="18"/>
                                  <w:szCs w:val="20"/>
                                </w:rPr>
                                <w:t>v/cor</w:t>
                              </w:r>
                              <w:r w:rsidRPr="00B12597">
                                <w:rPr>
                                  <w:rStyle w:val="Hyperlink"/>
                                  <w:sz w:val="18"/>
                                  <w:szCs w:val="20"/>
                                </w:rPr>
                                <w:t>onavirus/cares-act-emergency-relief</w:t>
                              </w:r>
                            </w:hyperlink>
                          </w:p>
                          <w:p w14:paraId="5D929370" w14:textId="77777777" w:rsidR="006C0B07" w:rsidRPr="00B12597" w:rsidRDefault="006C0B07" w:rsidP="005877F1">
                            <w:pPr>
                              <w:pStyle w:val="Page01-Side-bar-navy"/>
                              <w:rPr>
                                <w:sz w:val="18"/>
                                <w:szCs w:val="20"/>
                              </w:rPr>
                            </w:pPr>
                            <w:r w:rsidRPr="00B12597">
                              <w:rPr>
                                <w:b/>
                                <w:bCs/>
                                <w:sz w:val="18"/>
                                <w:szCs w:val="20"/>
                              </w:rPr>
                              <w:t xml:space="preserve">U.S Department of Education CRRSA webpage: </w:t>
                            </w:r>
                            <w:hyperlink r:id="rId16" w:history="1">
                              <w:r w:rsidRPr="00B12597">
                                <w:rPr>
                                  <w:rStyle w:val="Hyperlink"/>
                                  <w:sz w:val="18"/>
                                  <w:szCs w:val="20"/>
                                </w:rPr>
                                <w:t>https://oese.ed.gov/offices/education-stabilization-fund/elementary-secondary-school-emergency-relief-fund/?utm_content=&amp;utm_medium=email&amp;utm_name=&amp;utm_source=govdelivery&amp;utm_term=</w:t>
                              </w:r>
                            </w:hyperlink>
                          </w:p>
                          <w:p w14:paraId="5B2F1703" w14:textId="77777777" w:rsidR="001C689A" w:rsidRDefault="001C689A" w:rsidP="005877F1">
                            <w:pPr>
                              <w:pStyle w:val="Page01-Side-bar-navy"/>
                              <w:rPr>
                                <w:b/>
                                <w:bCs/>
                              </w:rPr>
                            </w:pPr>
                            <w:r w:rsidRPr="00B12597">
                              <w:rPr>
                                <w:b/>
                                <w:bCs/>
                                <w:sz w:val="18"/>
                                <w:szCs w:val="20"/>
                              </w:rPr>
                              <w:t xml:space="preserve">U.S. Department of Education ARP Act webpage:  </w:t>
                            </w:r>
                            <w:hyperlink r:id="rId17" w:history="1">
                              <w:r w:rsidR="00BD3ACF" w:rsidRPr="00B12597">
                                <w:rPr>
                                  <w:rStyle w:val="Hyperlink"/>
                                  <w:sz w:val="18"/>
                                  <w:szCs w:val="20"/>
                                </w:rPr>
                                <w:t>https://www.ed.gov/news/press-releases/department-education-announces-american-rescue-plan-funds-all-50-states-puerto-rico-and-district-columbia-help-schools-reopen</w:t>
                              </w:r>
                            </w:hyperlink>
                            <w:r w:rsidR="00BD3ACF">
                              <w:rPr>
                                <w:b/>
                                <w:bCs/>
                              </w:rPr>
                              <w:t xml:space="preserve"> </w:t>
                            </w:r>
                          </w:p>
                          <w:p w14:paraId="3892BA70" w14:textId="77777777" w:rsidR="006C0B07" w:rsidRPr="00F74350" w:rsidRDefault="006C0B07" w:rsidP="005877F1">
                            <w:pPr>
                              <w:pStyle w:val="Page01-Side-bar-navy"/>
                              <w:rPr>
                                <w:b/>
                                <w:bCs/>
                              </w:rPr>
                            </w:pPr>
                          </w:p>
                        </w:txbxContent>
                      </wps:txbx>
                      <wps:bodyPr rot="0" spcFirstLastPara="0" vertOverflow="overflow" horzOverflow="overflow" vert="horz" wrap="square" lIns="274320" tIns="182880" rIns="18288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3CAA" id="_x0000_t202" coordsize="21600,21600" o:spt="202" path="m,l,21600r21600,l21600,xe">
                <v:stroke joinstyle="miter"/>
                <v:path gradientshapeok="t" o:connecttype="rect"/>
              </v:shapetype>
              <v:shape id="Text Box 6" o:spid="_x0000_s1026" type="#_x0000_t202" style="position:absolute;margin-left:-45.5pt;margin-top:50.55pt;width:621.5pt;height:20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F7WgIAAKYEAAAOAAAAZHJzL2Uyb0RvYy54bWysVE1v2zAMvQ/YfxB0X52PxvGCOkXarsOA&#10;oC3QDj0rspwYk0VNUhJ3v35PctKv7TTsIpPiIynykT4771rNdsr5hkzJhycDzpSRVDVmXfLvD9ef&#10;Cs58EKYSmowq+ZPy/Hz+8cPZ3s7UiDakK+UYghg/29uSb0KwsyzzcqNa4U/IKgNjTa4VAapbZ5UT&#10;e0RvdTYaDPJsT66yjqTyHrdXvZHPU/y6VjLc1rVXgemS420hnS6dq3hm8zMxWzthN408PEP8wyta&#10;0RgkfQ51JYJgW9f8EaptpCNPdTiR1GZU141UqQZUMxy8q+Z+I6xKtaA53j63yf+/sPJmd+dYU5U8&#10;58yIFhQ9qC6wC+pYHruzt34G0L0FLHS4BsupUm+XJH94QLJXmN7BAx270dWujV/UyeAIAp6emx6z&#10;SFxOi8/jwQQmCdtokheT6SQmzl7crfPhq6KWRaHkDqymJ4jd0oceeoTEbJ50U103WifFrVeX2rGd&#10;wAQU+cWX00Q6or+BacP26MEYD4lehqJ/H1qbeKPSMB3yxYL7GqMUulUHaBRXVD2hUY76QfNWXjd4&#10;81L4cCccJgt1YlvCLY5aE1LSQeJsQ+7X3+4jHoTDytkek1py/3MrnOJMfzMYhdH0dDyKs520YTEq&#10;CmjujbZK2jifTHPYzLa9JLRjiN20MonRI+ijWDtqH7FYi5gZJmEk8pc8HMXL0O8QFlOqxSKBMNBW&#10;hKW5t/I4I5GVh+5ROHugLoD1GzrOtZi9Y7DH9gQstoHqJtH70tnDsGEZ0oAcFjdu22s9oV5+L/Pf&#10;AAAA//8DAFBLAwQUAAYACAAAACEAlaiaT+AAAAAMAQAADwAAAGRycy9kb3ducmV2LnhtbEyPwU7D&#10;MBBE70j8g7VIXFBru1IqCHGqCsEBTrRUhaMbL0nUeB3Fbhr+nu0Jjjszmn1TrCbfiRGH2AYyoOcK&#10;BFIVXEu1gd3Hy+weREyWnO0CoYEfjLAqr68Km7twpg2O21QLLqGYWwNNSn0uZawa9DbOQ4/E3ncY&#10;vE18DrV0gz1zue/kQqml9LYl/tDYHp8arI7bkzdwt/bq6N53+03IXuX+7Xn8wk9pzO3NtH4EkXBK&#10;f2G44DM6lMx0CCdyUXQGZg+atyQ2lNYgLgmdLVg6GMhUtgRZFvL/iPIXAAD//wMAUEsBAi0AFAAG&#10;AAgAAAAhALaDOJL+AAAA4QEAABMAAAAAAAAAAAAAAAAAAAAAAFtDb250ZW50X1R5cGVzXS54bWxQ&#10;SwECLQAUAAYACAAAACEAOP0h/9YAAACUAQAACwAAAAAAAAAAAAAAAAAvAQAAX3JlbHMvLnJlbHNQ&#10;SwECLQAUAAYACAAAACEA6J3he1oCAACmBAAADgAAAAAAAAAAAAAAAAAuAgAAZHJzL2Uyb0RvYy54&#10;bWxQSwECLQAUAAYACAAAACEAlaiaT+AAAAAMAQAADwAAAAAAAAAAAAAAAAC0BAAAZHJzL2Rvd25y&#10;ZXYueG1sUEsFBgAAAAAEAAQA8wAAAMEFAAAAAA==&#10;" fillcolor="#86be40" stroked="f" strokeweight=".5pt">
                <v:textbox inset="21.6pt,14.4pt,14.4pt,28.8pt">
                  <w:txbxContent>
                    <w:p w14:paraId="3F0C73D1" w14:textId="77777777" w:rsidR="005877F1" w:rsidRPr="00B12597" w:rsidRDefault="005877F1" w:rsidP="00B12597">
                      <w:pPr>
                        <w:pStyle w:val="Heading3"/>
                        <w:spacing w:before="0"/>
                        <w:rPr>
                          <w:sz w:val="24"/>
                          <w:szCs w:val="22"/>
                        </w:rPr>
                      </w:pPr>
                      <w:r w:rsidRPr="00B12597">
                        <w:rPr>
                          <w:sz w:val="24"/>
                          <w:szCs w:val="22"/>
                        </w:rPr>
                        <w:t>WHERE CAN I LEARN MORE?</w:t>
                      </w:r>
                    </w:p>
                    <w:p w14:paraId="5BC3F7C9" w14:textId="77777777" w:rsidR="00863B2A" w:rsidRPr="00B12597" w:rsidRDefault="006C0B07" w:rsidP="005877F1">
                      <w:pPr>
                        <w:pStyle w:val="Page01-Side-bar-navy"/>
                        <w:rPr>
                          <w:b/>
                          <w:bCs/>
                          <w:sz w:val="18"/>
                          <w:szCs w:val="20"/>
                        </w:rPr>
                      </w:pPr>
                      <w:r w:rsidRPr="00B12597">
                        <w:rPr>
                          <w:b/>
                          <w:bCs/>
                          <w:sz w:val="18"/>
                          <w:szCs w:val="20"/>
                        </w:rPr>
                        <w:t>Federal COVID-19 Education Funding -</w:t>
                      </w:r>
                      <w:r w:rsidR="00F74350" w:rsidRPr="00B12597">
                        <w:rPr>
                          <w:b/>
                          <w:bCs/>
                          <w:sz w:val="18"/>
                          <w:szCs w:val="20"/>
                        </w:rPr>
                        <w:t xml:space="preserve"> Colorado Department of Education: </w:t>
                      </w:r>
                      <w:hyperlink r:id="rId18" w:history="1">
                        <w:hyperlink r:id="rId19" w:history="1">
                          <w:r w:rsidR="00F74350" w:rsidRPr="00B12597">
                            <w:rPr>
                              <w:rStyle w:val="Hyperlink"/>
                              <w:sz w:val="18"/>
                              <w:szCs w:val="20"/>
                            </w:rPr>
                            <w:t>https://www.cde.state.co.us/caresact</w:t>
                          </w:r>
                        </w:hyperlink>
                      </w:hyperlink>
                    </w:p>
                    <w:p w14:paraId="0805B237" w14:textId="77777777" w:rsidR="005877F1" w:rsidRPr="00B12597" w:rsidRDefault="00F74350" w:rsidP="005877F1">
                      <w:pPr>
                        <w:pStyle w:val="Page01-Side-bar-navy"/>
                        <w:rPr>
                          <w:sz w:val="18"/>
                          <w:szCs w:val="20"/>
                        </w:rPr>
                      </w:pPr>
                      <w:r w:rsidRPr="00B12597">
                        <w:rPr>
                          <w:b/>
                          <w:bCs/>
                          <w:sz w:val="18"/>
                          <w:szCs w:val="20"/>
                        </w:rPr>
                        <w:t xml:space="preserve">U.S Department of Education CARES Act webpage: </w:t>
                      </w:r>
                      <w:hyperlink r:id="rId20" w:history="1">
                        <w:r w:rsidRPr="00B12597">
                          <w:rPr>
                            <w:rStyle w:val="Hyperlink"/>
                            <w:sz w:val="18"/>
                            <w:szCs w:val="20"/>
                          </w:rPr>
                          <w:t>https://www.ed.</w:t>
                        </w:r>
                        <w:r w:rsidRPr="00B12597">
                          <w:rPr>
                            <w:rStyle w:val="Hyperlink"/>
                            <w:sz w:val="18"/>
                            <w:szCs w:val="20"/>
                          </w:rPr>
                          <w:t>g</w:t>
                        </w:r>
                        <w:r w:rsidRPr="00B12597">
                          <w:rPr>
                            <w:rStyle w:val="Hyperlink"/>
                            <w:sz w:val="18"/>
                            <w:szCs w:val="20"/>
                          </w:rPr>
                          <w:t>o</w:t>
                        </w:r>
                        <w:r w:rsidRPr="00B12597">
                          <w:rPr>
                            <w:rStyle w:val="Hyperlink"/>
                            <w:sz w:val="18"/>
                            <w:szCs w:val="20"/>
                          </w:rPr>
                          <w:t>v/cor</w:t>
                        </w:r>
                        <w:r w:rsidRPr="00B12597">
                          <w:rPr>
                            <w:rStyle w:val="Hyperlink"/>
                            <w:sz w:val="18"/>
                            <w:szCs w:val="20"/>
                          </w:rPr>
                          <w:t>onavirus/cares-act-emergency-relief</w:t>
                        </w:r>
                      </w:hyperlink>
                    </w:p>
                    <w:p w14:paraId="5D929370" w14:textId="77777777" w:rsidR="006C0B07" w:rsidRPr="00B12597" w:rsidRDefault="006C0B07" w:rsidP="005877F1">
                      <w:pPr>
                        <w:pStyle w:val="Page01-Side-bar-navy"/>
                        <w:rPr>
                          <w:sz w:val="18"/>
                          <w:szCs w:val="20"/>
                        </w:rPr>
                      </w:pPr>
                      <w:r w:rsidRPr="00B12597">
                        <w:rPr>
                          <w:b/>
                          <w:bCs/>
                          <w:sz w:val="18"/>
                          <w:szCs w:val="20"/>
                        </w:rPr>
                        <w:t xml:space="preserve">U.S Department of Education CRRSA webpage: </w:t>
                      </w:r>
                      <w:hyperlink r:id="rId21" w:history="1">
                        <w:r w:rsidRPr="00B12597">
                          <w:rPr>
                            <w:rStyle w:val="Hyperlink"/>
                            <w:sz w:val="18"/>
                            <w:szCs w:val="20"/>
                          </w:rPr>
                          <w:t>https://oese.ed.gov/offices/education-stabilization-fund/elementary-secondary-school-emergency-relief-fund/?utm_content=&amp;utm_medium=email&amp;utm_name=&amp;utm_source=govdelivery&amp;utm_term=</w:t>
                        </w:r>
                      </w:hyperlink>
                    </w:p>
                    <w:p w14:paraId="5B2F1703" w14:textId="77777777" w:rsidR="001C689A" w:rsidRDefault="001C689A" w:rsidP="005877F1">
                      <w:pPr>
                        <w:pStyle w:val="Page01-Side-bar-navy"/>
                        <w:rPr>
                          <w:b/>
                          <w:bCs/>
                        </w:rPr>
                      </w:pPr>
                      <w:r w:rsidRPr="00B12597">
                        <w:rPr>
                          <w:b/>
                          <w:bCs/>
                          <w:sz w:val="18"/>
                          <w:szCs w:val="20"/>
                        </w:rPr>
                        <w:t xml:space="preserve">U.S. Department of Education ARP Act webpage:  </w:t>
                      </w:r>
                      <w:hyperlink r:id="rId22" w:history="1">
                        <w:r w:rsidR="00BD3ACF" w:rsidRPr="00B12597">
                          <w:rPr>
                            <w:rStyle w:val="Hyperlink"/>
                            <w:sz w:val="18"/>
                            <w:szCs w:val="20"/>
                          </w:rPr>
                          <w:t>https://www.ed.gov/news/press-releases/department-education-announces-american-rescue-plan-funds-all-50-states-puerto-rico-and-district-columbia-help-schools-reopen</w:t>
                        </w:r>
                      </w:hyperlink>
                      <w:r w:rsidR="00BD3ACF">
                        <w:rPr>
                          <w:b/>
                          <w:bCs/>
                        </w:rPr>
                        <w:t xml:space="preserve"> </w:t>
                      </w:r>
                    </w:p>
                    <w:p w14:paraId="3892BA70" w14:textId="77777777" w:rsidR="006C0B07" w:rsidRPr="00F74350" w:rsidRDefault="006C0B07" w:rsidP="005877F1">
                      <w:pPr>
                        <w:pStyle w:val="Page01-Side-bar-navy"/>
                        <w:rPr>
                          <w:b/>
                          <w:bCs/>
                        </w:rPr>
                      </w:pPr>
                    </w:p>
                  </w:txbxContent>
                </v:textbox>
              </v:shape>
            </w:pict>
          </mc:Fallback>
        </mc:AlternateContent>
      </w:r>
      <w:r w:rsidR="00D60D44" w:rsidRPr="00D60D44">
        <w:t>Di</w:t>
      </w:r>
      <w:r w:rsidR="00D60D44">
        <w:t>stricts are required to regular</w:t>
      </w:r>
      <w:r w:rsidR="00FF6B94">
        <w:t>ly</w:t>
      </w:r>
      <w:r w:rsidR="00D60D44">
        <w:t xml:space="preserve"> report fund usage</w:t>
      </w:r>
      <w:r w:rsidR="0094740C">
        <w:t xml:space="preserve"> for ESSER and CRF</w:t>
      </w:r>
      <w:r w:rsidR="00D60D44">
        <w:t xml:space="preserve"> to </w:t>
      </w:r>
      <w:r w:rsidR="00FF6B94">
        <w:t>the department</w:t>
      </w:r>
      <w:r w:rsidR="00D60D44">
        <w:t xml:space="preserve">. </w:t>
      </w:r>
      <w:r w:rsidR="00D929C5">
        <w:t xml:space="preserve">The </w:t>
      </w:r>
      <w:r w:rsidR="00B12597">
        <w:t>s</w:t>
      </w:r>
      <w:r w:rsidR="00D929C5">
        <w:t xml:space="preserve">tate </w:t>
      </w:r>
      <w:r w:rsidR="00D60D44">
        <w:t>is responsible for regularly monitoring fund usage to ensure funds are used appropriately.</w:t>
      </w:r>
      <w:r w:rsidR="00FF6B94">
        <w:t xml:space="preserve">  The department will </w:t>
      </w:r>
      <w:r w:rsidR="00B12597">
        <w:t>collect</w:t>
      </w:r>
      <w:r w:rsidR="00FF6B94">
        <w:t xml:space="preserve"> information through its monitoring process to document and disseminate how districts use these funds to the public.</w:t>
      </w:r>
    </w:p>
    <w:p w14:paraId="29E39163" w14:textId="77777777" w:rsidR="005C4D07" w:rsidRPr="00D60D44" w:rsidRDefault="005C4D07" w:rsidP="00F74350">
      <w:pPr>
        <w:pStyle w:val="Text"/>
      </w:pPr>
    </w:p>
    <w:sectPr w:rsidR="005C4D07" w:rsidRPr="00D60D44" w:rsidSect="004522D3">
      <w:headerReference w:type="default" r:id="rId23"/>
      <w:headerReference w:type="first" r:id="rId24"/>
      <w:footerReference w:type="first" r:id="rId25"/>
      <w:pgSz w:w="12240" w:h="15840" w:code="1"/>
      <w:pgMar w:top="720" w:right="720" w:bottom="720" w:left="720" w:header="0"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75D6" w14:textId="77777777" w:rsidR="009A1E60" w:rsidRDefault="009A1E60" w:rsidP="00D167BF">
      <w:pPr>
        <w:spacing w:after="0" w:line="240" w:lineRule="auto"/>
      </w:pPr>
      <w:r>
        <w:separator/>
      </w:r>
    </w:p>
  </w:endnote>
  <w:endnote w:type="continuationSeparator" w:id="0">
    <w:p w14:paraId="55771919" w14:textId="77777777" w:rsidR="009A1E60" w:rsidRDefault="009A1E60"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728" w14:textId="77777777" w:rsidR="00FF6B94" w:rsidRDefault="003919FD" w:rsidP="00FF6B94">
    <w:pPr>
      <w:pStyle w:val="Footer"/>
      <w:ind w:right="90"/>
      <w:jc w:val="right"/>
    </w:pPr>
    <w:r>
      <w:t>April</w:t>
    </w:r>
    <w:r w:rsidR="009715A6">
      <w:t xml:space="preserve"> </w:t>
    </w:r>
    <w:r w:rsidR="00B5794D">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D0C6" w14:textId="77777777" w:rsidR="009A1E60" w:rsidRDefault="009A1E60" w:rsidP="00D167BF">
      <w:pPr>
        <w:spacing w:after="0" w:line="240" w:lineRule="auto"/>
      </w:pPr>
      <w:r>
        <w:separator/>
      </w:r>
    </w:p>
  </w:footnote>
  <w:footnote w:type="continuationSeparator" w:id="0">
    <w:p w14:paraId="228EC560" w14:textId="77777777" w:rsidR="009A1E60" w:rsidRDefault="009A1E60"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9D96" w14:textId="77777777" w:rsidR="00B97B79" w:rsidRDefault="00B97B79">
    <w:pPr>
      <w:pStyle w:val="Header"/>
    </w:pPr>
  </w:p>
  <w:p w14:paraId="475D74EF" w14:textId="5FA04B1C" w:rsidR="00431BA8" w:rsidRDefault="006D5D0B">
    <w:pPr>
      <w:pStyle w:val="Header"/>
    </w:pPr>
    <w:r>
      <w:rPr>
        <w:noProof/>
      </w:rPr>
      <w:drawing>
        <wp:anchor distT="0" distB="0" distL="114300" distR="114300" simplePos="0" relativeHeight="251657728" behindDoc="0" locked="0" layoutInCell="1" allowOverlap="1" wp14:anchorId="2B2CC6A3" wp14:editId="3179C92C">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BCED0" w14:textId="77777777" w:rsidR="00431BA8" w:rsidRDefault="000F50A7">
    <w:pPr>
      <w:pStyle w:val="Header"/>
    </w:pPr>
    <w:r>
      <w:t>Federal COVID Education Relief Funds</w:t>
    </w:r>
  </w:p>
  <w:p w14:paraId="4819E12C" w14:textId="77777777" w:rsidR="005877F1" w:rsidRDefault="005877F1">
    <w:pPr>
      <w:pStyle w:val="Header"/>
    </w:pPr>
  </w:p>
  <w:p w14:paraId="23E02622" w14:textId="105DB3B9" w:rsidR="00431BA8" w:rsidRDefault="006D5D0B">
    <w:pPr>
      <w:pStyle w:val="Header"/>
    </w:pPr>
    <w:r>
      <w:rPr>
        <w:noProof/>
      </w:rPr>
      <mc:AlternateContent>
        <mc:Choice Requires="wps">
          <w:drawing>
            <wp:anchor distT="4294967295" distB="4294967295" distL="114300" distR="114300" simplePos="0" relativeHeight="251658752" behindDoc="0" locked="0" layoutInCell="1" allowOverlap="1" wp14:anchorId="6FCD1E93" wp14:editId="28276092">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125B93" id="Straight Connector 5"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1C3A" w14:textId="669083ED" w:rsidR="00D167BF" w:rsidRDefault="006D5D0B">
    <w:pPr>
      <w:pStyle w:val="Header"/>
    </w:pPr>
    <w:r>
      <w:rPr>
        <w:noProof/>
      </w:rPr>
      <w:drawing>
        <wp:anchor distT="0" distB="0" distL="114300" distR="114300" simplePos="0" relativeHeight="251656704" behindDoc="0" locked="0" layoutInCell="1" allowOverlap="1" wp14:anchorId="2B1AD28F" wp14:editId="7352C8C6">
          <wp:simplePos x="0" y="0"/>
          <wp:positionH relativeFrom="column">
            <wp:posOffset>-457200</wp:posOffset>
          </wp:positionH>
          <wp:positionV relativeFrom="paragraph">
            <wp:posOffset>0</wp:posOffset>
          </wp:positionV>
          <wp:extent cx="7927975" cy="1572895"/>
          <wp:effectExtent l="0" t="0" r="0"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97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7B6F"/>
    <w:multiLevelType w:val="hybridMultilevel"/>
    <w:tmpl w:val="6EC623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3741F3D"/>
    <w:multiLevelType w:val="hybridMultilevel"/>
    <w:tmpl w:val="2D7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365F8"/>
    <w:multiLevelType w:val="multilevel"/>
    <w:tmpl w:val="41023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CCC2CCC"/>
    <w:multiLevelType w:val="hybridMultilevel"/>
    <w:tmpl w:val="A5540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A0BBA"/>
    <w:multiLevelType w:val="hybridMultilevel"/>
    <w:tmpl w:val="09348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C50F3"/>
    <w:multiLevelType w:val="multilevel"/>
    <w:tmpl w:val="93885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99F2824"/>
    <w:multiLevelType w:val="multilevel"/>
    <w:tmpl w:val="2F923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571860"/>
    <w:multiLevelType w:val="hybridMultilevel"/>
    <w:tmpl w:val="C6182C46"/>
    <w:lvl w:ilvl="0" w:tplc="C360D8DC">
      <w:start w:val="1"/>
      <w:numFmt w:val="bullet"/>
      <w:lvlText w:val="•"/>
      <w:lvlJc w:val="left"/>
      <w:pPr>
        <w:tabs>
          <w:tab w:val="num" w:pos="360"/>
        </w:tabs>
        <w:ind w:left="360" w:hanging="360"/>
      </w:pPr>
      <w:rPr>
        <w:rFonts w:ascii="Arial" w:hAnsi="Arial" w:hint="default"/>
      </w:rPr>
    </w:lvl>
    <w:lvl w:ilvl="1" w:tplc="FA6EE22E">
      <w:start w:val="1"/>
      <w:numFmt w:val="bullet"/>
      <w:lvlText w:val="•"/>
      <w:lvlJc w:val="left"/>
      <w:pPr>
        <w:tabs>
          <w:tab w:val="num" w:pos="1080"/>
        </w:tabs>
        <w:ind w:left="1080" w:hanging="360"/>
      </w:pPr>
      <w:rPr>
        <w:rFonts w:ascii="Arial" w:hAnsi="Arial" w:hint="default"/>
      </w:rPr>
    </w:lvl>
    <w:lvl w:ilvl="2" w:tplc="A5683114" w:tentative="1">
      <w:start w:val="1"/>
      <w:numFmt w:val="bullet"/>
      <w:lvlText w:val="•"/>
      <w:lvlJc w:val="left"/>
      <w:pPr>
        <w:tabs>
          <w:tab w:val="num" w:pos="1800"/>
        </w:tabs>
        <w:ind w:left="1800" w:hanging="360"/>
      </w:pPr>
      <w:rPr>
        <w:rFonts w:ascii="Arial" w:hAnsi="Arial" w:hint="default"/>
      </w:rPr>
    </w:lvl>
    <w:lvl w:ilvl="3" w:tplc="4B9C0E4E" w:tentative="1">
      <w:start w:val="1"/>
      <w:numFmt w:val="bullet"/>
      <w:lvlText w:val="•"/>
      <w:lvlJc w:val="left"/>
      <w:pPr>
        <w:tabs>
          <w:tab w:val="num" w:pos="2520"/>
        </w:tabs>
        <w:ind w:left="2520" w:hanging="360"/>
      </w:pPr>
      <w:rPr>
        <w:rFonts w:ascii="Arial" w:hAnsi="Arial" w:hint="default"/>
      </w:rPr>
    </w:lvl>
    <w:lvl w:ilvl="4" w:tplc="10640B04" w:tentative="1">
      <w:start w:val="1"/>
      <w:numFmt w:val="bullet"/>
      <w:lvlText w:val="•"/>
      <w:lvlJc w:val="left"/>
      <w:pPr>
        <w:tabs>
          <w:tab w:val="num" w:pos="3240"/>
        </w:tabs>
        <w:ind w:left="3240" w:hanging="360"/>
      </w:pPr>
      <w:rPr>
        <w:rFonts w:ascii="Arial" w:hAnsi="Arial" w:hint="default"/>
      </w:rPr>
    </w:lvl>
    <w:lvl w:ilvl="5" w:tplc="D66C9B8A" w:tentative="1">
      <w:start w:val="1"/>
      <w:numFmt w:val="bullet"/>
      <w:lvlText w:val="•"/>
      <w:lvlJc w:val="left"/>
      <w:pPr>
        <w:tabs>
          <w:tab w:val="num" w:pos="3960"/>
        </w:tabs>
        <w:ind w:left="3960" w:hanging="360"/>
      </w:pPr>
      <w:rPr>
        <w:rFonts w:ascii="Arial" w:hAnsi="Arial" w:hint="default"/>
      </w:rPr>
    </w:lvl>
    <w:lvl w:ilvl="6" w:tplc="A2F86ECC" w:tentative="1">
      <w:start w:val="1"/>
      <w:numFmt w:val="bullet"/>
      <w:lvlText w:val="•"/>
      <w:lvlJc w:val="left"/>
      <w:pPr>
        <w:tabs>
          <w:tab w:val="num" w:pos="4680"/>
        </w:tabs>
        <w:ind w:left="4680" w:hanging="360"/>
      </w:pPr>
      <w:rPr>
        <w:rFonts w:ascii="Arial" w:hAnsi="Arial" w:hint="default"/>
      </w:rPr>
    </w:lvl>
    <w:lvl w:ilvl="7" w:tplc="E424E2DE" w:tentative="1">
      <w:start w:val="1"/>
      <w:numFmt w:val="bullet"/>
      <w:lvlText w:val="•"/>
      <w:lvlJc w:val="left"/>
      <w:pPr>
        <w:tabs>
          <w:tab w:val="num" w:pos="5400"/>
        </w:tabs>
        <w:ind w:left="5400" w:hanging="360"/>
      </w:pPr>
      <w:rPr>
        <w:rFonts w:ascii="Arial" w:hAnsi="Arial" w:hint="default"/>
      </w:rPr>
    </w:lvl>
    <w:lvl w:ilvl="8" w:tplc="F8B6038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6011BF2"/>
    <w:multiLevelType w:val="hybridMultilevel"/>
    <w:tmpl w:val="7AD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8"/>
  </w:num>
  <w:num w:numId="6">
    <w:abstractNumId w:val="6"/>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13C3D"/>
    <w:rsid w:val="00033BB1"/>
    <w:rsid w:val="00052B92"/>
    <w:rsid w:val="00090E6E"/>
    <w:rsid w:val="000A2727"/>
    <w:rsid w:val="000A7FAE"/>
    <w:rsid w:val="000F50A7"/>
    <w:rsid w:val="00105BFF"/>
    <w:rsid w:val="0013025E"/>
    <w:rsid w:val="001365DA"/>
    <w:rsid w:val="00172D0C"/>
    <w:rsid w:val="001C689A"/>
    <w:rsid w:val="00204F17"/>
    <w:rsid w:val="00230323"/>
    <w:rsid w:val="002D3E62"/>
    <w:rsid w:val="002E4C01"/>
    <w:rsid w:val="002F7642"/>
    <w:rsid w:val="0032105F"/>
    <w:rsid w:val="00332463"/>
    <w:rsid w:val="00367F76"/>
    <w:rsid w:val="00384941"/>
    <w:rsid w:val="003919FD"/>
    <w:rsid w:val="003A3859"/>
    <w:rsid w:val="003E2B64"/>
    <w:rsid w:val="00411CDB"/>
    <w:rsid w:val="00427056"/>
    <w:rsid w:val="00431BA8"/>
    <w:rsid w:val="004433C7"/>
    <w:rsid w:val="004522D3"/>
    <w:rsid w:val="004835E6"/>
    <w:rsid w:val="004859DB"/>
    <w:rsid w:val="004C093E"/>
    <w:rsid w:val="004D1C41"/>
    <w:rsid w:val="004E09C4"/>
    <w:rsid w:val="00501B31"/>
    <w:rsid w:val="0050220A"/>
    <w:rsid w:val="005877F1"/>
    <w:rsid w:val="005A441F"/>
    <w:rsid w:val="005B4F82"/>
    <w:rsid w:val="005C4D07"/>
    <w:rsid w:val="005D2DBC"/>
    <w:rsid w:val="0060452F"/>
    <w:rsid w:val="00613152"/>
    <w:rsid w:val="006177AF"/>
    <w:rsid w:val="0064241A"/>
    <w:rsid w:val="006879FC"/>
    <w:rsid w:val="0069309A"/>
    <w:rsid w:val="006A3AD3"/>
    <w:rsid w:val="006C0B07"/>
    <w:rsid w:val="006D5D0B"/>
    <w:rsid w:val="0070646C"/>
    <w:rsid w:val="0075379E"/>
    <w:rsid w:val="007857B9"/>
    <w:rsid w:val="007A6F06"/>
    <w:rsid w:val="007B290C"/>
    <w:rsid w:val="007C4D76"/>
    <w:rsid w:val="007E6168"/>
    <w:rsid w:val="0086052E"/>
    <w:rsid w:val="00863B2A"/>
    <w:rsid w:val="00893C8C"/>
    <w:rsid w:val="008E5E78"/>
    <w:rsid w:val="008F2D74"/>
    <w:rsid w:val="008F4A34"/>
    <w:rsid w:val="00927001"/>
    <w:rsid w:val="0094740C"/>
    <w:rsid w:val="009715A6"/>
    <w:rsid w:val="009A1E60"/>
    <w:rsid w:val="00A072EE"/>
    <w:rsid w:val="00A34CE9"/>
    <w:rsid w:val="00A37AE5"/>
    <w:rsid w:val="00A414E4"/>
    <w:rsid w:val="00A77826"/>
    <w:rsid w:val="00AA4C44"/>
    <w:rsid w:val="00AA6665"/>
    <w:rsid w:val="00AD3413"/>
    <w:rsid w:val="00AE79E5"/>
    <w:rsid w:val="00B05877"/>
    <w:rsid w:val="00B12597"/>
    <w:rsid w:val="00B44208"/>
    <w:rsid w:val="00B5794D"/>
    <w:rsid w:val="00B60076"/>
    <w:rsid w:val="00B65275"/>
    <w:rsid w:val="00B97B79"/>
    <w:rsid w:val="00BD28DF"/>
    <w:rsid w:val="00BD2C14"/>
    <w:rsid w:val="00BD3ACF"/>
    <w:rsid w:val="00C031A1"/>
    <w:rsid w:val="00C10815"/>
    <w:rsid w:val="00C23D92"/>
    <w:rsid w:val="00C30141"/>
    <w:rsid w:val="00C93292"/>
    <w:rsid w:val="00CB397A"/>
    <w:rsid w:val="00CC09DB"/>
    <w:rsid w:val="00CD18A2"/>
    <w:rsid w:val="00CE5F61"/>
    <w:rsid w:val="00D04168"/>
    <w:rsid w:val="00D167BF"/>
    <w:rsid w:val="00D41CDA"/>
    <w:rsid w:val="00D541E0"/>
    <w:rsid w:val="00D55DD1"/>
    <w:rsid w:val="00D60D44"/>
    <w:rsid w:val="00D929C5"/>
    <w:rsid w:val="00DB50C9"/>
    <w:rsid w:val="00DE123D"/>
    <w:rsid w:val="00DE7B5D"/>
    <w:rsid w:val="00DF0CC1"/>
    <w:rsid w:val="00E12AB6"/>
    <w:rsid w:val="00E134E3"/>
    <w:rsid w:val="00E7133C"/>
    <w:rsid w:val="00E8179F"/>
    <w:rsid w:val="00E81A25"/>
    <w:rsid w:val="00ED6445"/>
    <w:rsid w:val="00F2126A"/>
    <w:rsid w:val="00F234E0"/>
    <w:rsid w:val="00F26E19"/>
    <w:rsid w:val="00F270F1"/>
    <w:rsid w:val="00F505D1"/>
    <w:rsid w:val="00F74350"/>
    <w:rsid w:val="00F8163B"/>
    <w:rsid w:val="00F860D7"/>
    <w:rsid w:val="00F952CB"/>
    <w:rsid w:val="00F97E3E"/>
    <w:rsid w:val="00FD3648"/>
    <w:rsid w:val="00FE4B94"/>
    <w:rsid w:val="00FF562F"/>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FF624"/>
  <w15:chartTrackingRefBased/>
  <w15:docId w15:val="{828A3B76-7F60-4E5D-B49C-1489C066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F74350"/>
    <w:rPr>
      <w:color w:val="0563C1"/>
      <w:u w:val="single"/>
    </w:rPr>
  </w:style>
  <w:style w:type="character" w:styleId="UnresolvedMention">
    <w:name w:val="Unresolved Mention"/>
    <w:uiPriority w:val="99"/>
    <w:semiHidden/>
    <w:unhideWhenUsed/>
    <w:rsid w:val="00F74350"/>
    <w:rPr>
      <w:color w:val="605E5C"/>
      <w:shd w:val="clear" w:color="auto" w:fill="E1DFDD"/>
    </w:rPr>
  </w:style>
  <w:style w:type="table" w:styleId="GridTable4-Accent6">
    <w:name w:val="Grid Table 4 Accent 6"/>
    <w:basedOn w:val="TableNormal"/>
    <w:uiPriority w:val="49"/>
    <w:rsid w:val="008F4A3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F270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0F1"/>
    <w:rPr>
      <w:rFonts w:ascii="Segoe UI" w:hAnsi="Segoe UI" w:cs="Segoe UI"/>
      <w:sz w:val="18"/>
      <w:szCs w:val="18"/>
    </w:rPr>
  </w:style>
  <w:style w:type="character" w:styleId="CommentReference">
    <w:name w:val="annotation reference"/>
    <w:uiPriority w:val="99"/>
    <w:semiHidden/>
    <w:unhideWhenUsed/>
    <w:rsid w:val="00F97E3E"/>
    <w:rPr>
      <w:sz w:val="16"/>
      <w:szCs w:val="16"/>
    </w:rPr>
  </w:style>
  <w:style w:type="paragraph" w:styleId="CommentText">
    <w:name w:val="annotation text"/>
    <w:basedOn w:val="Normal"/>
    <w:link w:val="CommentTextChar"/>
    <w:uiPriority w:val="99"/>
    <w:unhideWhenUsed/>
    <w:rsid w:val="00F97E3E"/>
    <w:rPr>
      <w:sz w:val="20"/>
      <w:szCs w:val="20"/>
    </w:rPr>
  </w:style>
  <w:style w:type="character" w:customStyle="1" w:styleId="CommentTextChar">
    <w:name w:val="Comment Text Char"/>
    <w:basedOn w:val="DefaultParagraphFont"/>
    <w:link w:val="CommentText"/>
    <w:uiPriority w:val="99"/>
    <w:rsid w:val="00F97E3E"/>
  </w:style>
  <w:style w:type="paragraph" w:styleId="CommentSubject">
    <w:name w:val="annotation subject"/>
    <w:basedOn w:val="CommentText"/>
    <w:next w:val="CommentText"/>
    <w:link w:val="CommentSubjectChar"/>
    <w:uiPriority w:val="99"/>
    <w:semiHidden/>
    <w:unhideWhenUsed/>
    <w:rsid w:val="00F97E3E"/>
    <w:rPr>
      <w:b/>
      <w:bCs/>
    </w:rPr>
  </w:style>
  <w:style w:type="character" w:customStyle="1" w:styleId="CommentSubjectChar">
    <w:name w:val="Comment Subject Char"/>
    <w:link w:val="CommentSubject"/>
    <w:uiPriority w:val="99"/>
    <w:semiHidden/>
    <w:rsid w:val="00F97E3E"/>
    <w:rPr>
      <w:b/>
      <w:bCs/>
    </w:rPr>
  </w:style>
  <w:style w:type="character" w:styleId="FollowedHyperlink">
    <w:name w:val="FollowedHyperlink"/>
    <w:uiPriority w:val="99"/>
    <w:semiHidden/>
    <w:unhideWhenUsed/>
    <w:rsid w:val="00384941"/>
    <w:rPr>
      <w:color w:val="954F72"/>
      <w:u w:val="single"/>
    </w:rPr>
  </w:style>
  <w:style w:type="paragraph" w:styleId="Revision">
    <w:name w:val="Revision"/>
    <w:hidden/>
    <w:uiPriority w:val="99"/>
    <w:semiHidden/>
    <w:rsid w:val="00172D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021">
      <w:bodyDiv w:val="1"/>
      <w:marLeft w:val="0"/>
      <w:marRight w:val="0"/>
      <w:marTop w:val="0"/>
      <w:marBottom w:val="0"/>
      <w:divBdr>
        <w:top w:val="none" w:sz="0" w:space="0" w:color="auto"/>
        <w:left w:val="none" w:sz="0" w:space="0" w:color="auto"/>
        <w:bottom w:val="none" w:sz="0" w:space="0" w:color="auto"/>
        <w:right w:val="none" w:sz="0" w:space="0" w:color="auto"/>
      </w:divBdr>
    </w:div>
    <w:div w:id="324893649">
      <w:bodyDiv w:val="1"/>
      <w:marLeft w:val="0"/>
      <w:marRight w:val="0"/>
      <w:marTop w:val="0"/>
      <w:marBottom w:val="0"/>
      <w:divBdr>
        <w:top w:val="none" w:sz="0" w:space="0" w:color="auto"/>
        <w:left w:val="none" w:sz="0" w:space="0" w:color="auto"/>
        <w:bottom w:val="none" w:sz="0" w:space="0" w:color="auto"/>
        <w:right w:val="none" w:sz="0" w:space="0" w:color="auto"/>
      </w:divBdr>
    </w:div>
    <w:div w:id="531385804">
      <w:bodyDiv w:val="1"/>
      <w:marLeft w:val="0"/>
      <w:marRight w:val="0"/>
      <w:marTop w:val="0"/>
      <w:marBottom w:val="0"/>
      <w:divBdr>
        <w:top w:val="none" w:sz="0" w:space="0" w:color="auto"/>
        <w:left w:val="none" w:sz="0" w:space="0" w:color="auto"/>
        <w:bottom w:val="none" w:sz="0" w:space="0" w:color="auto"/>
        <w:right w:val="none" w:sz="0" w:space="0" w:color="auto"/>
      </w:divBdr>
    </w:div>
    <w:div w:id="836961610">
      <w:bodyDiv w:val="1"/>
      <w:marLeft w:val="0"/>
      <w:marRight w:val="0"/>
      <w:marTop w:val="0"/>
      <w:marBottom w:val="0"/>
      <w:divBdr>
        <w:top w:val="none" w:sz="0" w:space="0" w:color="auto"/>
        <w:left w:val="none" w:sz="0" w:space="0" w:color="auto"/>
        <w:bottom w:val="none" w:sz="0" w:space="0" w:color="auto"/>
        <w:right w:val="none" w:sz="0" w:space="0" w:color="auto"/>
      </w:divBdr>
      <w:divsChild>
        <w:div w:id="1292596911">
          <w:marLeft w:val="1440"/>
          <w:marRight w:val="0"/>
          <w:marTop w:val="120"/>
          <w:marBottom w:val="0"/>
          <w:divBdr>
            <w:top w:val="none" w:sz="0" w:space="0" w:color="auto"/>
            <w:left w:val="none" w:sz="0" w:space="0" w:color="auto"/>
            <w:bottom w:val="none" w:sz="0" w:space="0" w:color="auto"/>
            <w:right w:val="none" w:sz="0" w:space="0" w:color="auto"/>
          </w:divBdr>
        </w:div>
      </w:divsChild>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58805021">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1843353589">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educationstabilizationfund" TargetMode="External"/><Relationship Id="rId13" Type="http://schemas.openxmlformats.org/officeDocument/2006/relationships/hyperlink" Target="https://www.cde.state.co.us/caresact" TargetMode="External"/><Relationship Id="rId18" Type="http://schemas.openxmlformats.org/officeDocument/2006/relationships/hyperlink" Target="https://www.cde.state.co.us/caresa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ese.ed.gov/offices/education-stabilization-fund/elementary-secondary-school-emergency-relief-fund/?utm_content=&amp;utm_medium=email&amp;utm_name=&amp;utm_source=govdelivery&amp;utm_term=" TargetMode="External"/><Relationship Id="rId7" Type="http://schemas.openxmlformats.org/officeDocument/2006/relationships/endnotes" Target="endnotes.xml"/><Relationship Id="rId12" Type="http://schemas.openxmlformats.org/officeDocument/2006/relationships/hyperlink" Target="https://www.cde.state.co.us/caresact/crf-allowableexpenditures" TargetMode="External"/><Relationship Id="rId17" Type="http://schemas.openxmlformats.org/officeDocument/2006/relationships/hyperlink" Target="https://www.ed.gov/news/press-releases/department-education-announces-american-rescue-plan-funds-all-50-states-puerto-rico-and-district-columbia-help-schools-reop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ese.ed.gov/offices/education-stabilization-fund/elementary-secondary-school-emergency-relief-fund/?utm_content=&amp;utm_medium=email&amp;utm_name=&amp;utm_source=govdelivery&amp;utm_term=" TargetMode="External"/><Relationship Id="rId20" Type="http://schemas.openxmlformats.org/officeDocument/2006/relationships/hyperlink" Target="https://www.ed.gov/coronavirus/cares-act-emergency-reli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cdefisgrant/esseriiiallocat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d.gov/coronavirus/cares-act-emergency-relief" TargetMode="External"/><Relationship Id="rId23" Type="http://schemas.openxmlformats.org/officeDocument/2006/relationships/header" Target="header1.xml"/><Relationship Id="rId10" Type="http://schemas.openxmlformats.org/officeDocument/2006/relationships/hyperlink" Target="http://www.cde.state.co.us/caresact/esseriipreliminaryallocations" TargetMode="External"/><Relationship Id="rId19" Type="http://schemas.openxmlformats.org/officeDocument/2006/relationships/hyperlink" Target="https://www.cde.state.co.us/caresact" TargetMode="External"/><Relationship Id="rId4" Type="http://schemas.openxmlformats.org/officeDocument/2006/relationships/settings" Target="settings.xml"/><Relationship Id="rId9" Type="http://schemas.openxmlformats.org/officeDocument/2006/relationships/hyperlink" Target="http://www.cde.state.co.us/cdefinance/coronavirusrelieffundallocations" TargetMode="External"/><Relationship Id="rId14" Type="http://schemas.openxmlformats.org/officeDocument/2006/relationships/hyperlink" Target="https://www.cde.state.co.us/caresact" TargetMode="External"/><Relationship Id="rId22" Type="http://schemas.openxmlformats.org/officeDocument/2006/relationships/hyperlink" Target="https://www.ed.gov/news/press-releases/department-education-announces-american-rescue-plan-funds-all-50-states-puerto-rico-and-district-columbia-help-schools-reop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363B-CE36-48C7-9A47-014E603C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5694</CharactersWithSpaces>
  <SharedDoc>false</SharedDoc>
  <HLinks>
    <vt:vector size="60" baseType="variant">
      <vt:variant>
        <vt:i4>8126578</vt:i4>
      </vt:variant>
      <vt:variant>
        <vt:i4>12</vt:i4>
      </vt:variant>
      <vt:variant>
        <vt:i4>0</vt:i4>
      </vt:variant>
      <vt:variant>
        <vt:i4>5</vt:i4>
      </vt:variant>
      <vt:variant>
        <vt:lpwstr>https://www.cde.state.co.us/caresact/crf-allowableexpenditures</vt:lpwstr>
      </vt:variant>
      <vt:variant>
        <vt:lpwstr/>
      </vt:variant>
      <vt:variant>
        <vt:i4>2621546</vt:i4>
      </vt:variant>
      <vt:variant>
        <vt:i4>9</vt:i4>
      </vt:variant>
      <vt:variant>
        <vt:i4>0</vt:i4>
      </vt:variant>
      <vt:variant>
        <vt:i4>5</vt:i4>
      </vt:variant>
      <vt:variant>
        <vt:lpwstr>https://www.cde.state.co.us/cdefisgrant/esseriiiallocations</vt:lpwstr>
      </vt:variant>
      <vt:variant>
        <vt:lpwstr/>
      </vt:variant>
      <vt:variant>
        <vt:i4>6094855</vt:i4>
      </vt:variant>
      <vt:variant>
        <vt:i4>6</vt:i4>
      </vt:variant>
      <vt:variant>
        <vt:i4>0</vt:i4>
      </vt:variant>
      <vt:variant>
        <vt:i4>5</vt:i4>
      </vt:variant>
      <vt:variant>
        <vt:lpwstr>http://www.cde.state.co.us/caresact/esseriipreliminaryallocations</vt:lpwstr>
      </vt:variant>
      <vt:variant>
        <vt:lpwstr/>
      </vt:variant>
      <vt:variant>
        <vt:i4>3014768</vt:i4>
      </vt:variant>
      <vt:variant>
        <vt:i4>3</vt:i4>
      </vt:variant>
      <vt:variant>
        <vt:i4>0</vt:i4>
      </vt:variant>
      <vt:variant>
        <vt:i4>5</vt:i4>
      </vt:variant>
      <vt:variant>
        <vt:lpwstr>http://www.cde.state.co.us/cdefinance/coronavirusrelieffundallocations</vt:lpwstr>
      </vt:variant>
      <vt:variant>
        <vt:lpwstr/>
      </vt:variant>
      <vt:variant>
        <vt:i4>262230</vt:i4>
      </vt:variant>
      <vt:variant>
        <vt:i4>0</vt:i4>
      </vt:variant>
      <vt:variant>
        <vt:i4>0</vt:i4>
      </vt:variant>
      <vt:variant>
        <vt:i4>5</vt:i4>
      </vt:variant>
      <vt:variant>
        <vt:lpwstr>http://www.cde.state.co.us/fedprograms/educationstabilizationfund</vt:lpwstr>
      </vt:variant>
      <vt:variant>
        <vt:lpwstr/>
      </vt:variant>
      <vt:variant>
        <vt:i4>5177409</vt:i4>
      </vt:variant>
      <vt:variant>
        <vt:i4>12</vt:i4>
      </vt:variant>
      <vt:variant>
        <vt:i4>0</vt:i4>
      </vt:variant>
      <vt:variant>
        <vt:i4>5</vt:i4>
      </vt:variant>
      <vt:variant>
        <vt:lpwstr>https://www.ed.gov/news/press-releases/department-education-announces-american-rescue-plan-funds-all-50-states-puerto-rico-and-district-columbia-help-schools-reopen</vt:lpwstr>
      </vt:variant>
      <vt:variant>
        <vt:lpwstr/>
      </vt:variant>
      <vt:variant>
        <vt:i4>4063242</vt:i4>
      </vt:variant>
      <vt:variant>
        <vt:i4>9</vt:i4>
      </vt:variant>
      <vt:variant>
        <vt:i4>0</vt:i4>
      </vt:variant>
      <vt:variant>
        <vt:i4>5</vt:i4>
      </vt:variant>
      <vt:variant>
        <vt:lpwstr>https://oese.ed.gov/offices/education-stabilization-fund/elementary-secondary-school-emergency-relief-fund/?utm_content=&amp;utm_medium=email&amp;utm_name=&amp;utm_source=govdelivery&amp;utm_term=</vt:lpwstr>
      </vt:variant>
      <vt:variant>
        <vt:lpwstr/>
      </vt:variant>
      <vt:variant>
        <vt:i4>4784198</vt:i4>
      </vt:variant>
      <vt:variant>
        <vt:i4>6</vt:i4>
      </vt:variant>
      <vt:variant>
        <vt:i4>0</vt:i4>
      </vt:variant>
      <vt:variant>
        <vt:i4>5</vt:i4>
      </vt:variant>
      <vt:variant>
        <vt:lpwstr>https://www.ed.gov/coronavirus/cares-act-emergency-relief</vt:lpwstr>
      </vt:variant>
      <vt:variant>
        <vt:lpwstr/>
      </vt:variant>
      <vt:variant>
        <vt:i4>524302</vt:i4>
      </vt:variant>
      <vt:variant>
        <vt:i4>2</vt:i4>
      </vt:variant>
      <vt:variant>
        <vt:i4>0</vt:i4>
      </vt:variant>
      <vt:variant>
        <vt:i4>5</vt:i4>
      </vt:variant>
      <vt:variant>
        <vt:lpwstr>https://www.cde.state.co.us/caresact</vt:lpwstr>
      </vt:variant>
      <vt:variant>
        <vt:lpwstr/>
      </vt:variant>
      <vt:variant>
        <vt:i4>524302</vt:i4>
      </vt:variant>
      <vt:variant>
        <vt:i4>0</vt:i4>
      </vt:variant>
      <vt:variant>
        <vt:i4>0</vt:i4>
      </vt:variant>
      <vt:variant>
        <vt:i4>5</vt:i4>
      </vt:variant>
      <vt:variant>
        <vt:lpwstr>https://www.cde.state.co.us/caresact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Allen, Megan</cp:lastModifiedBy>
  <cp:revision>2</cp:revision>
  <dcterms:created xsi:type="dcterms:W3CDTF">2021-04-29T20:57:00Z</dcterms:created>
  <dcterms:modified xsi:type="dcterms:W3CDTF">2021-04-29T20:57:00Z</dcterms:modified>
</cp:coreProperties>
</file>