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3E3EC2" w14:paraId="4FA2A718" w14:textId="77777777" w:rsidTr="003E3EC2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BE58F" w14:textId="77777777" w:rsidR="003E3EC2" w:rsidRDefault="003E3EC2">
            <w:pPr>
              <w:pStyle w:val="Heading2"/>
              <w:spacing w:line="252" w:lineRule="auto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77593498"/>
          </w:p>
        </w:tc>
      </w:tr>
      <w:tr w:rsidR="003E3EC2" w14:paraId="2952F533" w14:textId="77777777" w:rsidTr="003E3EC2">
        <w:trPr>
          <w:trHeight w:val="1080"/>
          <w:jc w:val="center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11F35" w14:textId="56A00967" w:rsidR="003E3EC2" w:rsidRDefault="003E3EC2">
            <w:pPr>
              <w:pStyle w:val="Heading2"/>
              <w:spacing w:line="252" w:lineRule="auto"/>
            </w:pPr>
            <w:r>
              <w:t>*DTC* - Technology Update 0</w:t>
            </w:r>
            <w:r w:rsidR="00004BC7">
              <w:t>7</w:t>
            </w:r>
            <w:r>
              <w:t>/</w:t>
            </w:r>
            <w:r w:rsidR="00004BC7">
              <w:t>19</w:t>
            </w:r>
            <w:r>
              <w:t>/2021</w:t>
            </w:r>
          </w:p>
          <w:p w14:paraId="164705C7" w14:textId="77777777" w:rsidR="003E3EC2" w:rsidRDefault="003E3EC2">
            <w:pPr>
              <w:pStyle w:val="Subtitle"/>
              <w:spacing w:line="252" w:lineRule="auto"/>
            </w:pPr>
          </w:p>
          <w:p w14:paraId="3DB56EBF" w14:textId="77777777" w:rsidR="003E3EC2" w:rsidRDefault="003E3EC2">
            <w:pPr>
              <w:pStyle w:val="NoSpacing"/>
              <w:spacing w:line="252" w:lineRule="auto"/>
            </w:pPr>
            <w:r>
              <w:t>This technology update contains information related to the following topics:</w:t>
            </w:r>
          </w:p>
          <w:p w14:paraId="74666BDA" w14:textId="2ED9F5F8" w:rsidR="003E3EC2" w:rsidRDefault="003E3EC2" w:rsidP="003E3EC2">
            <w:pPr>
              <w:pStyle w:val="NoSpacing"/>
              <w:numPr>
                <w:ilvl w:val="0"/>
                <w:numId w:val="14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CMAS: </w:t>
            </w:r>
            <w:r w:rsidR="00CF3721">
              <w:rPr>
                <w:rFonts w:eastAsia="Times New Roman"/>
              </w:rPr>
              <w:t xml:space="preserve">Pearson’s </w:t>
            </w:r>
            <w:r w:rsidR="00CF3721" w:rsidRPr="00CF3721">
              <w:rPr>
                <w:rFonts w:eastAsia="Times New Roman"/>
              </w:rPr>
              <w:t>TestNav 1.10</w:t>
            </w:r>
            <w:r w:rsidR="00CF3721">
              <w:rPr>
                <w:rFonts w:eastAsia="Times New Roman"/>
              </w:rPr>
              <w:t xml:space="preserve"> Available</w:t>
            </w:r>
          </w:p>
          <w:p w14:paraId="16451669" w14:textId="6EA8C56A" w:rsidR="003E3EC2" w:rsidRDefault="00CF3721" w:rsidP="003E3EC2">
            <w:pPr>
              <w:pStyle w:val="NoSpacing"/>
              <w:numPr>
                <w:ilvl w:val="0"/>
                <w:numId w:val="14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DLM: New Kite Client</w:t>
            </w:r>
            <w:r w:rsidR="00875563">
              <w:rPr>
                <w:rFonts w:eastAsia="Times New Roman"/>
              </w:rPr>
              <w:t xml:space="preserve"> </w:t>
            </w:r>
            <w:r w:rsidR="00875563">
              <w:rPr>
                <w:rFonts w:eastAsia="Times New Roman"/>
              </w:rPr>
              <w:t>Available</w:t>
            </w:r>
          </w:p>
          <w:p w14:paraId="73797E7A" w14:textId="77777777" w:rsidR="003E3EC2" w:rsidRDefault="003E3EC2">
            <w:pPr>
              <w:pStyle w:val="NoSpacing"/>
              <w:spacing w:line="252" w:lineRule="auto"/>
              <w:ind w:left="720"/>
            </w:pPr>
          </w:p>
          <w:p w14:paraId="16F60157" w14:textId="77777777" w:rsidR="003E3EC2" w:rsidRDefault="003E3EC2">
            <w:pPr>
              <w:pStyle w:val="NoSpacing"/>
              <w:spacing w:line="252" w:lineRule="auto"/>
              <w:ind w:left="360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E132F" w14:textId="039A168D" w:rsidR="003E3EC2" w:rsidRDefault="003E3EC2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08B745C2" wp14:editId="13AD8A2A">
                  <wp:extent cx="254317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EC2" w14:paraId="5A05DB46" w14:textId="77777777" w:rsidTr="003E3EC2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957A92" w14:textId="77777777" w:rsidR="003E3EC2" w:rsidRDefault="003E3EC2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8C1318" w14:textId="77777777" w:rsidR="003E3EC2" w:rsidRDefault="003E3EC2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3C57AD3" w14:textId="6FFACE36" w:rsidR="003E3EC2" w:rsidRDefault="003E3EC2">
            <w:pPr>
              <w:spacing w:line="252" w:lineRule="auto"/>
              <w:jc w:val="right"/>
              <w:rPr>
                <w:color w:val="197A9B"/>
              </w:rPr>
            </w:pPr>
            <w:r>
              <w:rPr>
                <w:rFonts w:ascii="Trebuchet MS" w:hAnsi="Trebuchet MS"/>
                <w:sz w:val="20"/>
                <w:szCs w:val="20"/>
              </w:rPr>
              <w:t>J</w:t>
            </w:r>
            <w:r w:rsidR="00004BC7">
              <w:rPr>
                <w:rFonts w:ascii="Trebuchet MS" w:hAnsi="Trebuchet MS"/>
                <w:sz w:val="20"/>
                <w:szCs w:val="20"/>
              </w:rPr>
              <w:t>uly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04BC7">
              <w:rPr>
                <w:rFonts w:ascii="Trebuchet MS" w:hAnsi="Trebuchet MS"/>
                <w:sz w:val="20"/>
                <w:szCs w:val="20"/>
              </w:rPr>
              <w:t>19</w:t>
            </w:r>
            <w:r>
              <w:rPr>
                <w:rFonts w:ascii="Trebuchet MS" w:hAnsi="Trebuchet MS"/>
                <w:sz w:val="20"/>
                <w:szCs w:val="20"/>
              </w:rPr>
              <w:t>, 2021</w:t>
            </w:r>
          </w:p>
        </w:tc>
      </w:tr>
      <w:tr w:rsidR="003E3EC2" w14:paraId="4F1CCD7B" w14:textId="77777777" w:rsidTr="003E3EC2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B9F87A" w14:textId="77777777" w:rsidR="003E3EC2" w:rsidRDefault="003E3EC2"/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7E3750" w14:textId="77777777" w:rsidR="003E3EC2" w:rsidRDefault="00A97900">
            <w:pPr>
              <w:spacing w:line="252" w:lineRule="auto"/>
              <w:rPr>
                <w:color w:val="595959"/>
                <w:sz w:val="20"/>
                <w:szCs w:val="20"/>
              </w:rPr>
            </w:pPr>
            <w:hyperlink r:id="rId6" w:history="1">
              <w:r w:rsidR="003E3EC2">
                <w:rPr>
                  <w:rStyle w:val="Hyperlink"/>
                  <w:sz w:val="20"/>
                  <w:szCs w:val="20"/>
                </w:rPr>
                <w:t>Bookmark us!</w:t>
              </w:r>
            </w:hyperlink>
            <w:r w:rsidR="003E3EC2"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3E3EC2" w14:paraId="6E8B7EB1" w14:textId="77777777" w:rsidTr="003E3EC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03C439" w14:textId="24FEA9B9" w:rsidR="003E3EC2" w:rsidRDefault="00CF3721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 w:rsidRPr="00CF3721">
              <w:rPr>
                <w:rFonts w:ascii="Trebuchet MS" w:hAnsi="Trebuchet MS"/>
                <w:b/>
                <w:bCs/>
                <w:color w:val="FFFFFF"/>
              </w:rPr>
              <w:t>Pearson’s TestNav 1.10 Available</w:t>
            </w:r>
          </w:p>
        </w:tc>
      </w:tr>
      <w:tr w:rsidR="003E3EC2" w14:paraId="0CC1085D" w14:textId="77777777" w:rsidTr="003E3EC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9C0CB" w14:textId="57B74BE6" w:rsidR="003E3EC2" w:rsidRDefault="00CF3721" w:rsidP="00CF3721">
            <w:pPr>
              <w:pStyle w:val="NoSpacing"/>
              <w:spacing w:line="252" w:lineRule="auto"/>
              <w:rPr>
                <w:rFonts w:eastAsia="Times New Roman"/>
              </w:rPr>
            </w:pPr>
            <w:r w:rsidRPr="00CF3721">
              <w:rPr>
                <w:rFonts w:eastAsia="Times New Roman"/>
              </w:rPr>
              <w:t>TestNav 1.10 apps are available for download</w:t>
            </w:r>
            <w:r w:rsidRPr="00CF3721">
              <w:rPr>
                <w:rFonts w:eastAsia="Times New Roman"/>
              </w:rPr>
              <w:t xml:space="preserve"> </w:t>
            </w:r>
            <w:r w:rsidRPr="00CF3721">
              <w:rPr>
                <w:rFonts w:eastAsia="Times New Roman"/>
              </w:rPr>
              <w:t xml:space="preserve">for use in the 2021-2022 </w:t>
            </w:r>
            <w:r>
              <w:rPr>
                <w:rFonts w:eastAsia="Times New Roman"/>
              </w:rPr>
              <w:t>CMAS administration</w:t>
            </w:r>
            <w:r w:rsidRPr="00CF3721">
              <w:rPr>
                <w:rFonts w:eastAsia="Times New Roman"/>
              </w:rPr>
              <w:t>.</w:t>
            </w:r>
          </w:p>
          <w:p w14:paraId="2DE78BE6" w14:textId="77777777" w:rsidR="00CF3721" w:rsidRDefault="00CF3721" w:rsidP="00CF3721">
            <w:pPr>
              <w:pStyle w:val="NoSpacing"/>
              <w:spacing w:line="252" w:lineRule="auto"/>
              <w:rPr>
                <w:rFonts w:eastAsia="Times New Roman"/>
              </w:rPr>
            </w:pPr>
          </w:p>
          <w:p w14:paraId="132CCAB2" w14:textId="77777777" w:rsidR="00CF3721" w:rsidRPr="00CF3721" w:rsidRDefault="00CF3721" w:rsidP="00CF3721">
            <w:pPr>
              <w:pStyle w:val="NoSpacing"/>
              <w:spacing w:line="252" w:lineRule="auto"/>
              <w:rPr>
                <w:rFonts w:eastAsia="Times New Roman"/>
              </w:rPr>
            </w:pPr>
            <w:r w:rsidRPr="00CF3721">
              <w:rPr>
                <w:rFonts w:eastAsia="Times New Roman"/>
              </w:rPr>
              <w:t>If TestNav was previously installed on your devices, see instructions below for the appropriate OS. </w:t>
            </w:r>
          </w:p>
          <w:p w14:paraId="3868D82B" w14:textId="5C6231D4" w:rsidR="00CF3721" w:rsidRPr="00CF3721" w:rsidRDefault="00CF3721" w:rsidP="00CF3721">
            <w:pPr>
              <w:pStyle w:val="NoSpacing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r w:rsidRPr="00CF3721">
              <w:rPr>
                <w:rFonts w:eastAsia="Times New Roman"/>
                <w:b/>
                <w:bCs/>
              </w:rPr>
              <w:t>TestNav app for Chrome, and Windows (</w:t>
            </w:r>
            <w:r w:rsidRPr="00CF3721">
              <w:rPr>
                <w:rFonts w:eastAsia="Times New Roman"/>
                <w:b/>
                <w:bCs/>
                <w:i/>
                <w:iCs/>
              </w:rPr>
              <w:t>from the Windows store ONLY</w:t>
            </w:r>
            <w:r w:rsidRPr="00CF3721">
              <w:rPr>
                <w:rFonts w:eastAsia="Times New Roman"/>
                <w:b/>
                <w:bCs/>
              </w:rPr>
              <w:t>)</w:t>
            </w:r>
            <w:r w:rsidRPr="00CF3721">
              <w:rPr>
                <w:rFonts w:eastAsia="Times New Roman"/>
              </w:rPr>
              <w:t xml:space="preserve"> - No action required, unless the auto-update feature is disabled. If disabled, </w:t>
            </w:r>
            <w:proofErr w:type="gramStart"/>
            <w:r w:rsidRPr="00CF3721">
              <w:rPr>
                <w:rFonts w:eastAsia="Times New Roman"/>
              </w:rPr>
              <w:t>download</w:t>
            </w:r>
            <w:proofErr w:type="gramEnd"/>
            <w:r w:rsidRPr="00CF3721">
              <w:rPr>
                <w:rFonts w:eastAsia="Times New Roman"/>
              </w:rPr>
              <w:t xml:space="preserve"> and install TestNav from the appropriate app store.</w:t>
            </w:r>
          </w:p>
          <w:p w14:paraId="2939CABB" w14:textId="77777777" w:rsidR="00CF3721" w:rsidRPr="00CF3721" w:rsidRDefault="00CF3721" w:rsidP="00CF3721">
            <w:pPr>
              <w:pStyle w:val="NoSpacing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r w:rsidRPr="00CF3721">
              <w:rPr>
                <w:rFonts w:eastAsia="Times New Roman"/>
                <w:b/>
                <w:bCs/>
              </w:rPr>
              <w:t>TestNav app for iOS</w:t>
            </w:r>
            <w:r w:rsidRPr="00CF3721">
              <w:rPr>
                <w:rFonts w:eastAsia="Times New Roman"/>
              </w:rPr>
              <w:t> - Download the app from the App Store and re-install.</w:t>
            </w:r>
          </w:p>
          <w:p w14:paraId="29232AFF" w14:textId="77777777" w:rsidR="00CF3721" w:rsidRPr="00CF3721" w:rsidRDefault="00CF3721" w:rsidP="00CF3721">
            <w:pPr>
              <w:pStyle w:val="NoSpacing"/>
              <w:numPr>
                <w:ilvl w:val="0"/>
                <w:numId w:val="20"/>
              </w:numPr>
              <w:spacing w:line="252" w:lineRule="auto"/>
              <w:rPr>
                <w:rFonts w:eastAsia="Times New Roman"/>
              </w:rPr>
            </w:pPr>
            <w:r w:rsidRPr="00CF3721">
              <w:rPr>
                <w:rFonts w:eastAsia="Times New Roman"/>
                <w:b/>
                <w:bCs/>
              </w:rPr>
              <w:t>TestNav desktop app for macOS/OS X, Windows (</w:t>
            </w:r>
            <w:r w:rsidRPr="00CF3721">
              <w:rPr>
                <w:rFonts w:eastAsia="Times New Roman"/>
                <w:b/>
                <w:bCs/>
                <w:i/>
                <w:iCs/>
              </w:rPr>
              <w:t>non-Windows Store</w:t>
            </w:r>
            <w:r w:rsidRPr="00CF3721">
              <w:rPr>
                <w:rFonts w:eastAsia="Times New Roman"/>
                <w:b/>
                <w:bCs/>
              </w:rPr>
              <w:t>), or Linux</w:t>
            </w:r>
            <w:r w:rsidRPr="00CF3721">
              <w:rPr>
                <w:rFonts w:eastAsia="Times New Roman"/>
              </w:rPr>
              <w:t> - Download from </w:t>
            </w:r>
            <w:hyperlink r:id="rId7" w:history="1">
              <w:r w:rsidRPr="00CF3721">
                <w:rPr>
                  <w:rStyle w:val="Hyperlink"/>
                  <w:rFonts w:eastAsia="Times New Roman"/>
                </w:rPr>
                <w:t>download.testnav.com</w:t>
              </w:r>
            </w:hyperlink>
            <w:r w:rsidRPr="00CF3721">
              <w:rPr>
                <w:rFonts w:eastAsia="Times New Roman"/>
              </w:rPr>
              <w:t> and re-install.</w:t>
            </w:r>
          </w:p>
          <w:p w14:paraId="5908AD75" w14:textId="77777777" w:rsidR="00CF3721" w:rsidRPr="00CF3721" w:rsidRDefault="00CF3721" w:rsidP="00CF3721">
            <w:pPr>
              <w:pStyle w:val="NoSpacing"/>
              <w:spacing w:line="252" w:lineRule="auto"/>
              <w:rPr>
                <w:rFonts w:eastAsia="Times New Roman"/>
              </w:rPr>
            </w:pPr>
          </w:p>
          <w:p w14:paraId="0135EC90" w14:textId="77777777" w:rsidR="003E3EC2" w:rsidRDefault="003E3EC2">
            <w:pPr>
              <w:spacing w:line="252" w:lineRule="auto"/>
            </w:pPr>
          </w:p>
        </w:tc>
      </w:tr>
      <w:tr w:rsidR="003E3EC2" w14:paraId="65A9EF4E" w14:textId="77777777" w:rsidTr="003E3EC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6A862A" w14:textId="5F441D27" w:rsidR="003E3EC2" w:rsidRPr="00004BC7" w:rsidRDefault="00004BC7" w:rsidP="00004BC7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 w:rsidRPr="00004BC7">
              <w:rPr>
                <w:rFonts w:ascii="Trebuchet MS" w:hAnsi="Trebuchet MS"/>
                <w:b/>
                <w:bCs/>
                <w:color w:val="FFFFFF"/>
              </w:rPr>
              <w:t>New Kite Client</w:t>
            </w:r>
          </w:p>
        </w:tc>
      </w:tr>
      <w:tr w:rsidR="003E3EC2" w14:paraId="238768BC" w14:textId="77777777" w:rsidTr="003E3EC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B5F50" w14:textId="0104830B" w:rsidR="003E3EC2" w:rsidRDefault="00BA6E84" w:rsidP="00BA6E84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New Kite Clients have been released for the 2021-2022 </w:t>
            </w:r>
            <w:proofErr w:type="spellStart"/>
            <w:r w:rsidRPr="00BA6E84">
              <w:rPr>
                <w:color w:val="000000"/>
              </w:rPr>
              <w:t>CoAlt</w:t>
            </w:r>
            <w:proofErr w:type="spellEnd"/>
            <w:r w:rsidRPr="00BA6E84">
              <w:rPr>
                <w:color w:val="000000"/>
              </w:rPr>
              <w:t xml:space="preserve"> ELA and Math</w:t>
            </w:r>
            <w:r>
              <w:rPr>
                <w:color w:val="000000"/>
              </w:rPr>
              <w:t xml:space="preserve"> administration.</w:t>
            </w:r>
          </w:p>
          <w:p w14:paraId="2523DD98" w14:textId="7FCB4E31" w:rsidR="00BA6E84" w:rsidRDefault="00BA6E84" w:rsidP="00BA6E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The macOS client will require an uninstall of the old client before the new client is installed.</w:t>
            </w:r>
          </w:p>
          <w:p w14:paraId="0736CDDB" w14:textId="387B799B" w:rsidR="00BA6E84" w:rsidRDefault="00BA6E84" w:rsidP="00BA6E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The Chrome OS client will auto update if the feature is enabled. The new version of the Chrome OS </w:t>
            </w:r>
            <w:r w:rsidR="00875563">
              <w:rPr>
                <w:color w:val="000000"/>
              </w:rPr>
              <w:t xml:space="preserve">Kite client will require the use of kiosk mode to launches for the </w:t>
            </w:r>
            <w:r w:rsidR="00875563">
              <w:rPr>
                <w:color w:val="000000"/>
              </w:rPr>
              <w:t xml:space="preserve">2021-2022 </w:t>
            </w:r>
            <w:proofErr w:type="spellStart"/>
            <w:r w:rsidR="00875563" w:rsidRPr="00BA6E84">
              <w:rPr>
                <w:color w:val="000000"/>
              </w:rPr>
              <w:t>CoAlt</w:t>
            </w:r>
            <w:proofErr w:type="spellEnd"/>
            <w:r w:rsidR="00875563" w:rsidRPr="00BA6E84">
              <w:rPr>
                <w:color w:val="000000"/>
              </w:rPr>
              <w:t xml:space="preserve"> ELA and Math</w:t>
            </w:r>
            <w:r w:rsidR="00875563">
              <w:rPr>
                <w:color w:val="000000"/>
              </w:rPr>
              <w:t xml:space="preserve"> administration.</w:t>
            </w:r>
          </w:p>
          <w:p w14:paraId="1444CCD5" w14:textId="5FFFF1DD" w:rsidR="00BA6E84" w:rsidRDefault="00BA6E84" w:rsidP="00BA6E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0E081E">
              <w:rPr>
                <w:color w:val="000000"/>
              </w:rPr>
              <w:t>Windows</w:t>
            </w:r>
            <w:r>
              <w:rPr>
                <w:color w:val="000000"/>
              </w:rPr>
              <w:t xml:space="preserve"> client </w:t>
            </w:r>
            <w:r>
              <w:rPr>
                <w:color w:val="000000"/>
              </w:rPr>
              <w:t>will require an uninstall of the old client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before the new client is installed.</w:t>
            </w:r>
          </w:p>
          <w:p w14:paraId="30C68676" w14:textId="008B1ED0" w:rsidR="00BA6E84" w:rsidRPr="00BA6E84" w:rsidRDefault="00BA6E84" w:rsidP="00BA6E8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The iOS client release date is to be determined.</w:t>
            </w:r>
          </w:p>
          <w:p w14:paraId="01D35598" w14:textId="0925780E" w:rsidR="00BA6E84" w:rsidRPr="00204E7C" w:rsidRDefault="00BA6E84" w:rsidP="00BA6E84">
            <w:pPr>
              <w:autoSpaceDE w:val="0"/>
              <w:autoSpaceDN w:val="0"/>
              <w:spacing w:line="252" w:lineRule="auto"/>
              <w:rPr>
                <w:color w:val="000000"/>
              </w:rPr>
            </w:pPr>
          </w:p>
        </w:tc>
      </w:tr>
      <w:tr w:rsidR="003E3EC2" w14:paraId="411F46CA" w14:textId="77777777" w:rsidTr="003E3EC2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4C81DF" w14:textId="77777777" w:rsidR="003E3EC2" w:rsidRDefault="003E3EC2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For More Information</w:t>
            </w:r>
          </w:p>
        </w:tc>
      </w:tr>
      <w:tr w:rsidR="003E3EC2" w14:paraId="289682AF" w14:textId="77777777" w:rsidTr="003E3EC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B9A1B" w14:textId="77777777" w:rsidR="003E3EC2" w:rsidRDefault="003E3EC2">
            <w:pPr>
              <w:pStyle w:val="PlainText"/>
              <w:spacing w:line="252" w:lineRule="auto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8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5483FF22" w14:textId="77777777" w:rsidR="003E3EC2" w:rsidRDefault="003E3EC2">
            <w:pPr>
              <w:spacing w:line="252" w:lineRule="auto"/>
            </w:pPr>
          </w:p>
          <w:p w14:paraId="66DFA8D2" w14:textId="77777777" w:rsidR="003E3EC2" w:rsidRDefault="003E3EC2">
            <w:pPr>
              <w:spacing w:line="252" w:lineRule="auto"/>
            </w:pPr>
            <w:r>
              <w:t xml:space="preserve">Previous CDE Technology updates can be viewed at </w:t>
            </w:r>
            <w:hyperlink r:id="rId9" w:history="1">
              <w:r>
                <w:rPr>
                  <w:rStyle w:val="Hyperlink"/>
                </w:rPr>
                <w:t>http://www.cde.state.co.us/assessment/announcements</w:t>
              </w:r>
            </w:hyperlink>
            <w:r>
              <w:t xml:space="preserve">. </w:t>
            </w:r>
          </w:p>
          <w:p w14:paraId="2D5C6897" w14:textId="77777777" w:rsidR="003E3EC2" w:rsidRDefault="003E3EC2">
            <w:pPr>
              <w:spacing w:line="252" w:lineRule="auto"/>
            </w:pPr>
          </w:p>
          <w:p w14:paraId="4D253CB3" w14:textId="77777777" w:rsidR="003E3EC2" w:rsidRDefault="003E3EC2">
            <w:pPr>
              <w:spacing w:line="252" w:lineRule="auto"/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10" w:history="1">
              <w:r>
                <w:rPr>
                  <w:rStyle w:val="Hyperlink"/>
                </w:rPr>
                <w:t>Bonner_C@cde.state.co.us</w:t>
              </w:r>
            </w:hyperlink>
            <w:r>
              <w:t>.</w:t>
            </w:r>
          </w:p>
        </w:tc>
      </w:tr>
      <w:tr w:rsidR="003E3EC2" w14:paraId="3CDF88DB" w14:textId="77777777" w:rsidTr="003E3EC2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03D61" w14:textId="77777777" w:rsidR="003E3EC2" w:rsidRDefault="003E3EC2">
            <w:pPr>
              <w:spacing w:line="252" w:lineRule="auto"/>
            </w:pPr>
          </w:p>
        </w:tc>
      </w:tr>
      <w:bookmarkEnd w:id="0"/>
    </w:tbl>
    <w:p w14:paraId="61DDAEA1" w14:textId="77777777" w:rsidR="00CD03C5" w:rsidRPr="003E3EC2" w:rsidRDefault="00A97900" w:rsidP="003E3EC2"/>
    <w:sectPr w:rsidR="00CD03C5" w:rsidRPr="003E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9E0"/>
    <w:multiLevelType w:val="hybridMultilevel"/>
    <w:tmpl w:val="CAD8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217F9"/>
    <w:multiLevelType w:val="hybridMultilevel"/>
    <w:tmpl w:val="B97C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5176"/>
    <w:multiLevelType w:val="hybridMultilevel"/>
    <w:tmpl w:val="BAB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2FCA"/>
    <w:multiLevelType w:val="hybridMultilevel"/>
    <w:tmpl w:val="04D6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1BBB"/>
    <w:multiLevelType w:val="multilevel"/>
    <w:tmpl w:val="2D7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C2C8E"/>
    <w:multiLevelType w:val="hybridMultilevel"/>
    <w:tmpl w:val="F53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418B"/>
    <w:multiLevelType w:val="hybridMultilevel"/>
    <w:tmpl w:val="8C28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4F58"/>
    <w:multiLevelType w:val="hybridMultilevel"/>
    <w:tmpl w:val="B220FD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8E0"/>
    <w:multiLevelType w:val="hybridMultilevel"/>
    <w:tmpl w:val="3F3A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74C56"/>
    <w:multiLevelType w:val="hybridMultilevel"/>
    <w:tmpl w:val="8506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  <w:num w:numId="15">
    <w:abstractNumId w:val="0"/>
  </w:num>
  <w:num w:numId="16">
    <w:abstractNumId w:val="11"/>
  </w:num>
  <w:num w:numId="17">
    <w:abstractNumId w:val="6"/>
  </w:num>
  <w:num w:numId="18">
    <w:abstractNumId w:val="3"/>
  </w:num>
  <w:num w:numId="19">
    <w:abstractNumId w:val="4"/>
  </w:num>
  <w:num w:numId="20">
    <w:abstractNumId w:val="5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04BC7"/>
    <w:rsid w:val="00015804"/>
    <w:rsid w:val="000C1406"/>
    <w:rsid w:val="000E081E"/>
    <w:rsid w:val="00103D35"/>
    <w:rsid w:val="00171B2C"/>
    <w:rsid w:val="00204E7C"/>
    <w:rsid w:val="0025402D"/>
    <w:rsid w:val="00255B7D"/>
    <w:rsid w:val="00312273"/>
    <w:rsid w:val="0034385B"/>
    <w:rsid w:val="00347D05"/>
    <w:rsid w:val="003E3EC2"/>
    <w:rsid w:val="0042657F"/>
    <w:rsid w:val="00484A50"/>
    <w:rsid w:val="006F728D"/>
    <w:rsid w:val="00875563"/>
    <w:rsid w:val="008E38D4"/>
    <w:rsid w:val="00932B35"/>
    <w:rsid w:val="009A218C"/>
    <w:rsid w:val="00A97900"/>
    <w:rsid w:val="00AC717F"/>
    <w:rsid w:val="00BA6E84"/>
    <w:rsid w:val="00BD4381"/>
    <w:rsid w:val="00C25BBE"/>
    <w:rsid w:val="00CF3721"/>
    <w:rsid w:val="00D63014"/>
    <w:rsid w:val="00E31968"/>
    <w:rsid w:val="00EC75CB"/>
    <w:rsid w:val="00F148ED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BD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E38D4"/>
    <w:rPr>
      <w:b/>
      <w:bCs/>
    </w:rPr>
  </w:style>
  <w:style w:type="character" w:styleId="Emphasis">
    <w:name w:val="Emphasis"/>
    <w:basedOn w:val="DefaultParagraphFont"/>
    <w:uiPriority w:val="20"/>
    <w:qFormat/>
    <w:rsid w:val="0042657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A5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A5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03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148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4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B2C"/>
    <w:rPr>
      <w:color w:val="954F72" w:themeColor="followedHyperlink"/>
      <w:u w:val="single"/>
    </w:rPr>
  </w:style>
  <w:style w:type="paragraph" w:customStyle="1" w:styleId="paragraph">
    <w:name w:val="paragraph"/>
    <w:basedOn w:val="Normal"/>
    <w:uiPriority w:val="99"/>
    <w:rsid w:val="00D630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3014"/>
  </w:style>
  <w:style w:type="paragraph" w:styleId="BalloonText">
    <w:name w:val="Balloon Text"/>
    <w:basedOn w:val="Normal"/>
    <w:link w:val="BalloonTextChar"/>
    <w:uiPriority w:val="99"/>
    <w:semiHidden/>
    <w:unhideWhenUsed/>
    <w:rsid w:val="00A97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C-signoff-request@CDELIST.CDE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wnload.testnav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assessment/newassess-dt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onner_C@cde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assessment/announc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4</cp:revision>
  <dcterms:created xsi:type="dcterms:W3CDTF">2021-07-19T16:14:00Z</dcterms:created>
  <dcterms:modified xsi:type="dcterms:W3CDTF">2021-07-19T22:08:00Z</dcterms:modified>
</cp:coreProperties>
</file>