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E7360" w14:textId="77777777" w:rsidR="00993290" w:rsidRDefault="00000000">
      <w:pPr>
        <w:pStyle w:val="Heading1"/>
        <w:ind w:left="2" w:hanging="4"/>
      </w:pPr>
      <w:bookmarkStart w:id="0" w:name="_heading=h.4vz9twq1ro88" w:colFirst="0" w:colLast="0"/>
      <w:bookmarkEnd w:id="0"/>
      <w:r>
        <w:rPr>
          <w:sz w:val="44"/>
          <w:szCs w:val="44"/>
        </w:rPr>
        <w:t>2023 Informational Results for Performance Frameworks</w:t>
      </w:r>
    </w:p>
    <w:p w14:paraId="0AFD22F6" w14:textId="77777777" w:rsidR="00993290" w:rsidRDefault="00993290">
      <w:pPr>
        <w:spacing w:before="200"/>
        <w:rPr>
          <w:rFonts w:ascii="Trebuchet MS" w:eastAsia="Trebuchet MS" w:hAnsi="Trebuchet MS" w:cs="Trebuchet MS"/>
          <w:sz w:val="28"/>
          <w:szCs w:val="28"/>
        </w:rPr>
      </w:pPr>
    </w:p>
    <w:p w14:paraId="2C32FF3A" w14:textId="77777777" w:rsidR="00993290" w:rsidRDefault="00000000">
      <w:pPr>
        <w:spacing w:before="200" w:line="259" w:lineRule="auto"/>
        <w:rPr>
          <w:b/>
          <w:color w:val="FFFFFF"/>
          <w:sz w:val="32"/>
          <w:szCs w:val="32"/>
        </w:rPr>
      </w:pPr>
      <w:r>
        <w:rPr>
          <w:rFonts w:ascii="Trebuchet MS" w:eastAsia="Trebuchet MS" w:hAnsi="Trebuchet MS" w:cs="Trebuchet MS"/>
          <w:b/>
          <w:color w:val="274E13"/>
          <w:sz w:val="28"/>
          <w:szCs w:val="28"/>
        </w:rPr>
        <w:t>Overview</w:t>
      </w:r>
    </w:p>
    <w:p w14:paraId="3B760EF7" w14:textId="77777777" w:rsidR="00993290" w:rsidRDefault="00000000">
      <w:pPr>
        <w:spacing w:after="200" w:line="259" w:lineRule="auto"/>
        <w:rPr>
          <w:sz w:val="22"/>
          <w:szCs w:val="22"/>
        </w:rPr>
      </w:pPr>
      <w:r>
        <w:rPr>
          <w:sz w:val="22"/>
          <w:szCs w:val="22"/>
        </w:rPr>
        <w:t xml:space="preserve">The state is re-introducing two measures on the performance frameworks to align with state statute. These measures include: CMAS Science for all schools and Attendance and Truancy for Alternative Education Campuses (AECs).  In November 2023, the State Board of Education voted to add science to the frameworks, but to delay inclusion of an On Track Growth indicator and two proposed higher bar sub-indicators to the Postsecondary and Workforce Readiness (PWR) indicator.  The department is expected to release On Track Growth data for public reporting for sites where available (e.g., </w:t>
      </w:r>
      <w:proofErr w:type="gramStart"/>
      <w:r>
        <w:rPr>
          <w:sz w:val="22"/>
          <w:szCs w:val="22"/>
        </w:rPr>
        <w:t>elementary</w:t>
      </w:r>
      <w:proofErr w:type="gramEnd"/>
      <w:r>
        <w:rPr>
          <w:sz w:val="22"/>
          <w:szCs w:val="22"/>
        </w:rPr>
        <w:t xml:space="preserve"> and middle school levels) for transparency and school improvement efforts.  </w:t>
      </w:r>
      <w:proofErr w:type="gramStart"/>
      <w:r>
        <w:rPr>
          <w:sz w:val="22"/>
          <w:szCs w:val="22"/>
        </w:rPr>
        <w:t>Changes</w:t>
      </w:r>
      <w:proofErr w:type="gramEnd"/>
      <w:r>
        <w:rPr>
          <w:sz w:val="22"/>
          <w:szCs w:val="22"/>
        </w:rPr>
        <w:t xml:space="preserve"> detailed below include measure descriptions, current data release timelines, and how these changes will impact schools and districts. This resource assumes knowledge about </w:t>
      </w:r>
      <w:hyperlink r:id="rId7">
        <w:r>
          <w:rPr>
            <w:color w:val="1155CC"/>
            <w:sz w:val="22"/>
            <w:szCs w:val="22"/>
            <w:u w:val="single"/>
          </w:rPr>
          <w:t>state accountability</w:t>
        </w:r>
      </w:hyperlink>
      <w:r>
        <w:rPr>
          <w:sz w:val="22"/>
          <w:szCs w:val="22"/>
        </w:rPr>
        <w:t xml:space="preserve"> and </w:t>
      </w:r>
      <w:hyperlink r:id="rId8">
        <w:r>
          <w:rPr>
            <w:color w:val="1155CC"/>
            <w:sz w:val="22"/>
            <w:szCs w:val="22"/>
            <w:u w:val="single"/>
          </w:rPr>
          <w:t>state identifications</w:t>
        </w:r>
      </w:hyperlink>
      <w:r>
        <w:rPr>
          <w:sz w:val="22"/>
          <w:szCs w:val="22"/>
        </w:rPr>
        <w:t xml:space="preserve">. </w:t>
      </w:r>
    </w:p>
    <w:p w14:paraId="3B28EABB" w14:textId="77777777" w:rsidR="00993290" w:rsidRDefault="00000000">
      <w:pPr>
        <w:spacing w:before="200" w:after="200" w:line="259" w:lineRule="auto"/>
        <w:rPr>
          <w:rFonts w:ascii="Trebuchet MS" w:eastAsia="Trebuchet MS" w:hAnsi="Trebuchet MS" w:cs="Trebuchet MS"/>
          <w:b/>
          <w:color w:val="274E13"/>
          <w:sz w:val="28"/>
          <w:szCs w:val="28"/>
        </w:rPr>
      </w:pPr>
      <w:r>
        <w:rPr>
          <w:rFonts w:ascii="Trebuchet MS" w:eastAsia="Trebuchet MS" w:hAnsi="Trebuchet MS" w:cs="Trebuchet MS"/>
          <w:b/>
          <w:color w:val="274E13"/>
          <w:sz w:val="28"/>
          <w:szCs w:val="28"/>
        </w:rPr>
        <w:t>2023 Informational Data Release</w:t>
      </w:r>
    </w:p>
    <w:p w14:paraId="2BC1C8F9" w14:textId="77777777" w:rsidR="00993290" w:rsidRDefault="00000000">
      <w:pPr>
        <w:spacing w:line="259" w:lineRule="auto"/>
        <w:rPr>
          <w:b/>
          <w:color w:val="38761D"/>
          <w:sz w:val="26"/>
          <w:szCs w:val="26"/>
        </w:rPr>
      </w:pPr>
      <w:r>
        <w:rPr>
          <w:b/>
          <w:color w:val="38761D"/>
          <w:sz w:val="26"/>
          <w:szCs w:val="26"/>
        </w:rPr>
        <w:t>CMAS Science Results</w:t>
      </w:r>
    </w:p>
    <w:p w14:paraId="4447C569" w14:textId="77777777" w:rsidR="00993290" w:rsidRDefault="00000000">
      <w:pPr>
        <w:spacing w:after="200" w:line="259" w:lineRule="auto"/>
        <w:rPr>
          <w:sz w:val="22"/>
          <w:szCs w:val="22"/>
        </w:rPr>
      </w:pPr>
      <w:r>
        <w:rPr>
          <w:sz w:val="22"/>
          <w:szCs w:val="22"/>
        </w:rPr>
        <w:t xml:space="preserve">The CMAS science assessment reflected the revised 2020 Colorado Academic Standards for the first time in Spring 2022, however, scale scores and performance levels were not initially available. For this reason, science achievement results were not factored into the 2022 Transitional Frameworks. Instead, science achievement results were re-introduced in </w:t>
      </w:r>
      <w:proofErr w:type="gramStart"/>
      <w:r>
        <w:rPr>
          <w:sz w:val="22"/>
          <w:szCs w:val="22"/>
        </w:rPr>
        <w:t>an  informational</w:t>
      </w:r>
      <w:proofErr w:type="gramEnd"/>
      <w:r>
        <w:rPr>
          <w:sz w:val="22"/>
          <w:szCs w:val="22"/>
        </w:rPr>
        <w:t xml:space="preserve"> performance framework report in January 2024. CMAS science achievement is scheduled to be included in the performance framework for points in fall 2024. CDE does not plan to include CMAS science participation results for accountability purposes in 2024 performance frameworks, such as in the “decreased due to participation” calculation.</w:t>
      </w:r>
    </w:p>
    <w:p w14:paraId="106D1587" w14:textId="77777777" w:rsidR="00993290" w:rsidRDefault="00000000">
      <w:pPr>
        <w:spacing w:after="200" w:line="259" w:lineRule="auto"/>
        <w:rPr>
          <w:sz w:val="22"/>
          <w:szCs w:val="22"/>
        </w:rPr>
      </w:pPr>
      <w:r>
        <w:rPr>
          <w:sz w:val="22"/>
          <w:szCs w:val="22"/>
        </w:rPr>
        <w:t>The cut points for CMAS science mean scale scores have been updated based on the most recently available year of data. The cut points were established as they are for other traditional framework measures: Norming on all public schools by Elementary, Middle, and High school level, and cuts based on the 15th, 50th, and 85th percentiles. CDE plans to investigate these cut points when 2024 data becomes available.</w:t>
      </w:r>
    </w:p>
    <w:tbl>
      <w:tblPr>
        <w:tblStyle w:val="a"/>
        <w:tblW w:w="109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736"/>
        <w:gridCol w:w="2736"/>
        <w:gridCol w:w="2736"/>
        <w:gridCol w:w="2736"/>
      </w:tblGrid>
      <w:tr w:rsidR="00993290" w14:paraId="514216F9" w14:textId="77777777" w:rsidTr="00B03BA1">
        <w:tc>
          <w:tcPr>
            <w:tcW w:w="2736" w:type="dxa"/>
            <w:shd w:val="clear" w:color="auto" w:fill="auto"/>
            <w:tcMar>
              <w:top w:w="100" w:type="dxa"/>
              <w:left w:w="100" w:type="dxa"/>
              <w:bottom w:w="100" w:type="dxa"/>
              <w:right w:w="100" w:type="dxa"/>
            </w:tcMar>
          </w:tcPr>
          <w:p w14:paraId="43DFA15A" w14:textId="77777777" w:rsidR="00993290" w:rsidRDefault="00000000">
            <w:pPr>
              <w:widowControl w:val="0"/>
              <w:rPr>
                <w:b/>
                <w:sz w:val="22"/>
                <w:szCs w:val="22"/>
              </w:rPr>
            </w:pPr>
            <w:r>
              <w:rPr>
                <w:b/>
                <w:sz w:val="22"/>
                <w:szCs w:val="22"/>
              </w:rPr>
              <w:t>Rating and Percentile Range</w:t>
            </w:r>
          </w:p>
        </w:tc>
        <w:tc>
          <w:tcPr>
            <w:tcW w:w="2736" w:type="dxa"/>
            <w:shd w:val="clear" w:color="auto" w:fill="auto"/>
            <w:tcMar>
              <w:top w:w="100" w:type="dxa"/>
              <w:left w:w="100" w:type="dxa"/>
              <w:bottom w:w="100" w:type="dxa"/>
              <w:right w:w="100" w:type="dxa"/>
            </w:tcMar>
          </w:tcPr>
          <w:p w14:paraId="753DD435" w14:textId="77777777" w:rsidR="00993290" w:rsidRDefault="00000000">
            <w:pPr>
              <w:widowControl w:val="0"/>
              <w:rPr>
                <w:b/>
                <w:sz w:val="22"/>
                <w:szCs w:val="22"/>
              </w:rPr>
            </w:pPr>
            <w:r>
              <w:rPr>
                <w:b/>
                <w:sz w:val="22"/>
                <w:szCs w:val="22"/>
              </w:rPr>
              <w:t>Elementary</w:t>
            </w:r>
          </w:p>
        </w:tc>
        <w:tc>
          <w:tcPr>
            <w:tcW w:w="2736" w:type="dxa"/>
            <w:shd w:val="clear" w:color="auto" w:fill="auto"/>
            <w:tcMar>
              <w:top w:w="100" w:type="dxa"/>
              <w:left w:w="100" w:type="dxa"/>
              <w:bottom w:w="100" w:type="dxa"/>
              <w:right w:w="100" w:type="dxa"/>
            </w:tcMar>
          </w:tcPr>
          <w:p w14:paraId="6002DF47" w14:textId="77777777" w:rsidR="00993290" w:rsidRDefault="00000000">
            <w:pPr>
              <w:widowControl w:val="0"/>
              <w:rPr>
                <w:b/>
                <w:sz w:val="22"/>
                <w:szCs w:val="22"/>
              </w:rPr>
            </w:pPr>
            <w:r>
              <w:rPr>
                <w:b/>
                <w:sz w:val="22"/>
                <w:szCs w:val="22"/>
              </w:rPr>
              <w:t>Middle</w:t>
            </w:r>
          </w:p>
        </w:tc>
        <w:tc>
          <w:tcPr>
            <w:tcW w:w="2736" w:type="dxa"/>
            <w:shd w:val="clear" w:color="auto" w:fill="auto"/>
            <w:tcMar>
              <w:top w:w="100" w:type="dxa"/>
              <w:left w:w="100" w:type="dxa"/>
              <w:bottom w:w="100" w:type="dxa"/>
              <w:right w:w="100" w:type="dxa"/>
            </w:tcMar>
          </w:tcPr>
          <w:p w14:paraId="693C8187" w14:textId="77777777" w:rsidR="00993290" w:rsidRDefault="00000000">
            <w:pPr>
              <w:widowControl w:val="0"/>
              <w:rPr>
                <w:b/>
                <w:sz w:val="22"/>
                <w:szCs w:val="22"/>
              </w:rPr>
            </w:pPr>
            <w:r>
              <w:rPr>
                <w:b/>
                <w:sz w:val="22"/>
                <w:szCs w:val="22"/>
              </w:rPr>
              <w:t xml:space="preserve">High </w:t>
            </w:r>
          </w:p>
        </w:tc>
      </w:tr>
      <w:tr w:rsidR="00993290" w14:paraId="4C6519CA" w14:textId="77777777" w:rsidTr="00B03BA1">
        <w:tc>
          <w:tcPr>
            <w:tcW w:w="2736" w:type="dxa"/>
            <w:shd w:val="clear" w:color="auto" w:fill="EA9999"/>
            <w:tcMar>
              <w:top w:w="100" w:type="dxa"/>
              <w:left w:w="100" w:type="dxa"/>
              <w:bottom w:w="100" w:type="dxa"/>
              <w:right w:w="100" w:type="dxa"/>
            </w:tcMar>
          </w:tcPr>
          <w:p w14:paraId="6F781CC1" w14:textId="77777777" w:rsidR="00993290" w:rsidRDefault="00000000">
            <w:pPr>
              <w:widowControl w:val="0"/>
              <w:rPr>
                <w:sz w:val="22"/>
                <w:szCs w:val="22"/>
              </w:rPr>
            </w:pPr>
            <w:r>
              <w:rPr>
                <w:sz w:val="22"/>
                <w:szCs w:val="22"/>
              </w:rPr>
              <w:t>Does Not Meet (1st to 14th percentile)</w:t>
            </w:r>
          </w:p>
        </w:tc>
        <w:tc>
          <w:tcPr>
            <w:tcW w:w="2736" w:type="dxa"/>
            <w:shd w:val="clear" w:color="auto" w:fill="EA9999"/>
            <w:tcMar>
              <w:top w:w="100" w:type="dxa"/>
              <w:left w:w="100" w:type="dxa"/>
              <w:bottom w:w="100" w:type="dxa"/>
              <w:right w:w="100" w:type="dxa"/>
            </w:tcMar>
          </w:tcPr>
          <w:p w14:paraId="6DF41132" w14:textId="77777777" w:rsidR="00993290" w:rsidRDefault="00000000">
            <w:pPr>
              <w:widowControl w:val="0"/>
              <w:rPr>
                <w:sz w:val="22"/>
                <w:szCs w:val="22"/>
              </w:rPr>
            </w:pPr>
            <w:r>
              <w:rPr>
                <w:sz w:val="22"/>
                <w:szCs w:val="22"/>
              </w:rPr>
              <w:t>650 to 713.3</w:t>
            </w:r>
          </w:p>
        </w:tc>
        <w:tc>
          <w:tcPr>
            <w:tcW w:w="2736" w:type="dxa"/>
            <w:shd w:val="clear" w:color="auto" w:fill="EA9999"/>
            <w:tcMar>
              <w:top w:w="100" w:type="dxa"/>
              <w:left w:w="100" w:type="dxa"/>
              <w:bottom w:w="100" w:type="dxa"/>
              <w:right w:w="100" w:type="dxa"/>
            </w:tcMar>
          </w:tcPr>
          <w:p w14:paraId="47449962" w14:textId="77777777" w:rsidR="00993290" w:rsidRDefault="00000000">
            <w:pPr>
              <w:widowControl w:val="0"/>
              <w:rPr>
                <w:sz w:val="22"/>
                <w:szCs w:val="22"/>
              </w:rPr>
            </w:pPr>
            <w:r>
              <w:rPr>
                <w:sz w:val="22"/>
                <w:szCs w:val="22"/>
              </w:rPr>
              <w:t>650 to 714.5</w:t>
            </w:r>
          </w:p>
        </w:tc>
        <w:tc>
          <w:tcPr>
            <w:tcW w:w="2736" w:type="dxa"/>
            <w:shd w:val="clear" w:color="auto" w:fill="EA9999"/>
            <w:tcMar>
              <w:top w:w="100" w:type="dxa"/>
              <w:left w:w="100" w:type="dxa"/>
              <w:bottom w:w="100" w:type="dxa"/>
              <w:right w:w="100" w:type="dxa"/>
            </w:tcMar>
          </w:tcPr>
          <w:p w14:paraId="2DBD25EF" w14:textId="77777777" w:rsidR="00993290" w:rsidRDefault="00000000">
            <w:pPr>
              <w:widowControl w:val="0"/>
              <w:rPr>
                <w:sz w:val="22"/>
                <w:szCs w:val="22"/>
              </w:rPr>
            </w:pPr>
            <w:r>
              <w:rPr>
                <w:sz w:val="22"/>
                <w:szCs w:val="22"/>
              </w:rPr>
              <w:t>650 to 720.1</w:t>
            </w:r>
          </w:p>
        </w:tc>
      </w:tr>
      <w:tr w:rsidR="00993290" w14:paraId="3CD6E0BA" w14:textId="77777777" w:rsidTr="00B03BA1">
        <w:tc>
          <w:tcPr>
            <w:tcW w:w="2736" w:type="dxa"/>
            <w:shd w:val="clear" w:color="auto" w:fill="FFE599"/>
            <w:tcMar>
              <w:top w:w="100" w:type="dxa"/>
              <w:left w:w="100" w:type="dxa"/>
              <w:bottom w:w="100" w:type="dxa"/>
              <w:right w:w="100" w:type="dxa"/>
            </w:tcMar>
          </w:tcPr>
          <w:p w14:paraId="5D9B3DA9" w14:textId="77777777" w:rsidR="00993290" w:rsidRDefault="00000000">
            <w:pPr>
              <w:widowControl w:val="0"/>
              <w:rPr>
                <w:sz w:val="22"/>
                <w:szCs w:val="22"/>
              </w:rPr>
            </w:pPr>
            <w:r>
              <w:rPr>
                <w:sz w:val="22"/>
                <w:szCs w:val="22"/>
              </w:rPr>
              <w:t>Approaching (15th to 49th percentile)</w:t>
            </w:r>
          </w:p>
        </w:tc>
        <w:tc>
          <w:tcPr>
            <w:tcW w:w="2736" w:type="dxa"/>
            <w:shd w:val="clear" w:color="auto" w:fill="FFE599"/>
            <w:tcMar>
              <w:top w:w="100" w:type="dxa"/>
              <w:left w:w="100" w:type="dxa"/>
              <w:bottom w:w="100" w:type="dxa"/>
              <w:right w:w="100" w:type="dxa"/>
            </w:tcMar>
          </w:tcPr>
          <w:p w14:paraId="27997016" w14:textId="77777777" w:rsidR="00993290" w:rsidRDefault="00000000">
            <w:pPr>
              <w:widowControl w:val="0"/>
              <w:rPr>
                <w:sz w:val="22"/>
                <w:szCs w:val="22"/>
              </w:rPr>
            </w:pPr>
            <w:r>
              <w:rPr>
                <w:sz w:val="22"/>
                <w:szCs w:val="22"/>
              </w:rPr>
              <w:t>713.4 to 733.0</w:t>
            </w:r>
          </w:p>
        </w:tc>
        <w:tc>
          <w:tcPr>
            <w:tcW w:w="2736" w:type="dxa"/>
            <w:shd w:val="clear" w:color="auto" w:fill="FFE599"/>
            <w:tcMar>
              <w:top w:w="100" w:type="dxa"/>
              <w:left w:w="100" w:type="dxa"/>
              <w:bottom w:w="100" w:type="dxa"/>
              <w:right w:w="100" w:type="dxa"/>
            </w:tcMar>
          </w:tcPr>
          <w:p w14:paraId="446DC0DA" w14:textId="77777777" w:rsidR="00993290" w:rsidRDefault="00000000">
            <w:pPr>
              <w:widowControl w:val="0"/>
              <w:rPr>
                <w:sz w:val="22"/>
                <w:szCs w:val="22"/>
              </w:rPr>
            </w:pPr>
            <w:r>
              <w:rPr>
                <w:sz w:val="22"/>
                <w:szCs w:val="22"/>
              </w:rPr>
              <w:t>714.6 to 732.4</w:t>
            </w:r>
          </w:p>
        </w:tc>
        <w:tc>
          <w:tcPr>
            <w:tcW w:w="2736" w:type="dxa"/>
            <w:shd w:val="clear" w:color="auto" w:fill="FFE599"/>
            <w:tcMar>
              <w:top w:w="100" w:type="dxa"/>
              <w:left w:w="100" w:type="dxa"/>
              <w:bottom w:w="100" w:type="dxa"/>
              <w:right w:w="100" w:type="dxa"/>
            </w:tcMar>
          </w:tcPr>
          <w:p w14:paraId="418C4243" w14:textId="77777777" w:rsidR="00993290" w:rsidRDefault="00000000">
            <w:pPr>
              <w:widowControl w:val="0"/>
              <w:rPr>
                <w:sz w:val="22"/>
                <w:szCs w:val="22"/>
              </w:rPr>
            </w:pPr>
            <w:r>
              <w:rPr>
                <w:sz w:val="22"/>
                <w:szCs w:val="22"/>
              </w:rPr>
              <w:t>720.2 to 734.3</w:t>
            </w:r>
          </w:p>
        </w:tc>
      </w:tr>
      <w:tr w:rsidR="00993290" w14:paraId="4A4A5069" w14:textId="77777777" w:rsidTr="00B03BA1">
        <w:tc>
          <w:tcPr>
            <w:tcW w:w="2736" w:type="dxa"/>
            <w:shd w:val="clear" w:color="auto" w:fill="B6D7A8"/>
            <w:tcMar>
              <w:top w:w="100" w:type="dxa"/>
              <w:left w:w="100" w:type="dxa"/>
              <w:bottom w:w="100" w:type="dxa"/>
              <w:right w:w="100" w:type="dxa"/>
            </w:tcMar>
          </w:tcPr>
          <w:p w14:paraId="1A7817FD" w14:textId="77777777" w:rsidR="00993290" w:rsidRDefault="00000000">
            <w:pPr>
              <w:widowControl w:val="0"/>
              <w:rPr>
                <w:sz w:val="22"/>
                <w:szCs w:val="22"/>
              </w:rPr>
            </w:pPr>
            <w:r>
              <w:rPr>
                <w:sz w:val="22"/>
                <w:szCs w:val="22"/>
              </w:rPr>
              <w:t>Meets (50th to 84th percentile)</w:t>
            </w:r>
          </w:p>
        </w:tc>
        <w:tc>
          <w:tcPr>
            <w:tcW w:w="2736" w:type="dxa"/>
            <w:shd w:val="clear" w:color="auto" w:fill="B6D7A8"/>
            <w:tcMar>
              <w:top w:w="100" w:type="dxa"/>
              <w:left w:w="100" w:type="dxa"/>
              <w:bottom w:w="100" w:type="dxa"/>
              <w:right w:w="100" w:type="dxa"/>
            </w:tcMar>
          </w:tcPr>
          <w:p w14:paraId="0C3D0547" w14:textId="77777777" w:rsidR="00993290" w:rsidRDefault="00000000">
            <w:pPr>
              <w:widowControl w:val="0"/>
              <w:rPr>
                <w:sz w:val="22"/>
                <w:szCs w:val="22"/>
              </w:rPr>
            </w:pPr>
            <w:r>
              <w:rPr>
                <w:sz w:val="22"/>
                <w:szCs w:val="22"/>
              </w:rPr>
              <w:t>733.1 to 750.1</w:t>
            </w:r>
          </w:p>
        </w:tc>
        <w:tc>
          <w:tcPr>
            <w:tcW w:w="2736" w:type="dxa"/>
            <w:shd w:val="clear" w:color="auto" w:fill="B6D7A8"/>
            <w:tcMar>
              <w:top w:w="100" w:type="dxa"/>
              <w:left w:w="100" w:type="dxa"/>
              <w:bottom w:w="100" w:type="dxa"/>
              <w:right w:w="100" w:type="dxa"/>
            </w:tcMar>
          </w:tcPr>
          <w:p w14:paraId="1C002965" w14:textId="77777777" w:rsidR="00993290" w:rsidRDefault="00000000">
            <w:pPr>
              <w:widowControl w:val="0"/>
              <w:rPr>
                <w:sz w:val="22"/>
                <w:szCs w:val="22"/>
              </w:rPr>
            </w:pPr>
            <w:r>
              <w:rPr>
                <w:sz w:val="22"/>
                <w:szCs w:val="22"/>
              </w:rPr>
              <w:t>732.5 to 748.7</w:t>
            </w:r>
          </w:p>
        </w:tc>
        <w:tc>
          <w:tcPr>
            <w:tcW w:w="2736" w:type="dxa"/>
            <w:shd w:val="clear" w:color="auto" w:fill="B6D7A8"/>
            <w:tcMar>
              <w:top w:w="100" w:type="dxa"/>
              <w:left w:w="100" w:type="dxa"/>
              <w:bottom w:w="100" w:type="dxa"/>
              <w:right w:w="100" w:type="dxa"/>
            </w:tcMar>
          </w:tcPr>
          <w:p w14:paraId="4D40CECC" w14:textId="77777777" w:rsidR="00993290" w:rsidRDefault="00000000">
            <w:pPr>
              <w:widowControl w:val="0"/>
              <w:rPr>
                <w:sz w:val="22"/>
                <w:szCs w:val="22"/>
              </w:rPr>
            </w:pPr>
            <w:r>
              <w:rPr>
                <w:sz w:val="22"/>
                <w:szCs w:val="22"/>
              </w:rPr>
              <w:t>734.4 to 745.3</w:t>
            </w:r>
          </w:p>
        </w:tc>
      </w:tr>
      <w:tr w:rsidR="00993290" w14:paraId="47CBE7EA" w14:textId="77777777" w:rsidTr="00B03BA1">
        <w:tc>
          <w:tcPr>
            <w:tcW w:w="2736" w:type="dxa"/>
            <w:shd w:val="clear" w:color="auto" w:fill="A4C2F4"/>
            <w:tcMar>
              <w:top w:w="100" w:type="dxa"/>
              <w:left w:w="100" w:type="dxa"/>
              <w:bottom w:w="100" w:type="dxa"/>
              <w:right w:w="100" w:type="dxa"/>
            </w:tcMar>
          </w:tcPr>
          <w:p w14:paraId="1FFB9FFE" w14:textId="77777777" w:rsidR="00993290" w:rsidRDefault="00000000">
            <w:pPr>
              <w:widowControl w:val="0"/>
              <w:rPr>
                <w:sz w:val="22"/>
                <w:szCs w:val="22"/>
              </w:rPr>
            </w:pPr>
            <w:r>
              <w:rPr>
                <w:sz w:val="22"/>
                <w:szCs w:val="22"/>
              </w:rPr>
              <w:t>Exceeds (85th to 99th percentile)</w:t>
            </w:r>
          </w:p>
        </w:tc>
        <w:tc>
          <w:tcPr>
            <w:tcW w:w="2736" w:type="dxa"/>
            <w:shd w:val="clear" w:color="auto" w:fill="A4C2F4"/>
            <w:tcMar>
              <w:top w:w="100" w:type="dxa"/>
              <w:left w:w="100" w:type="dxa"/>
              <w:bottom w:w="100" w:type="dxa"/>
              <w:right w:w="100" w:type="dxa"/>
            </w:tcMar>
          </w:tcPr>
          <w:p w14:paraId="13359091" w14:textId="77777777" w:rsidR="00993290" w:rsidRDefault="00000000">
            <w:pPr>
              <w:widowControl w:val="0"/>
              <w:rPr>
                <w:sz w:val="22"/>
                <w:szCs w:val="22"/>
              </w:rPr>
            </w:pPr>
            <w:r>
              <w:rPr>
                <w:sz w:val="22"/>
                <w:szCs w:val="22"/>
              </w:rPr>
              <w:t>750.2 to 850</w:t>
            </w:r>
          </w:p>
        </w:tc>
        <w:tc>
          <w:tcPr>
            <w:tcW w:w="2736" w:type="dxa"/>
            <w:shd w:val="clear" w:color="auto" w:fill="A4C2F4"/>
            <w:tcMar>
              <w:top w:w="100" w:type="dxa"/>
              <w:left w:w="100" w:type="dxa"/>
              <w:bottom w:w="100" w:type="dxa"/>
              <w:right w:w="100" w:type="dxa"/>
            </w:tcMar>
          </w:tcPr>
          <w:p w14:paraId="08F7D47C" w14:textId="77777777" w:rsidR="00993290" w:rsidRDefault="00000000">
            <w:pPr>
              <w:widowControl w:val="0"/>
              <w:rPr>
                <w:sz w:val="22"/>
                <w:szCs w:val="22"/>
              </w:rPr>
            </w:pPr>
            <w:r>
              <w:rPr>
                <w:sz w:val="22"/>
                <w:szCs w:val="22"/>
              </w:rPr>
              <w:t>748.8 to 850</w:t>
            </w:r>
          </w:p>
        </w:tc>
        <w:tc>
          <w:tcPr>
            <w:tcW w:w="2736" w:type="dxa"/>
            <w:shd w:val="clear" w:color="auto" w:fill="A4C2F4"/>
            <w:tcMar>
              <w:top w:w="100" w:type="dxa"/>
              <w:left w:w="100" w:type="dxa"/>
              <w:bottom w:w="100" w:type="dxa"/>
              <w:right w:w="100" w:type="dxa"/>
            </w:tcMar>
          </w:tcPr>
          <w:p w14:paraId="269F494D" w14:textId="77777777" w:rsidR="00993290" w:rsidRDefault="00000000">
            <w:pPr>
              <w:widowControl w:val="0"/>
              <w:rPr>
                <w:sz w:val="22"/>
                <w:szCs w:val="22"/>
              </w:rPr>
            </w:pPr>
            <w:r>
              <w:rPr>
                <w:sz w:val="22"/>
                <w:szCs w:val="22"/>
              </w:rPr>
              <w:t>745.4 to 850</w:t>
            </w:r>
          </w:p>
        </w:tc>
      </w:tr>
    </w:tbl>
    <w:p w14:paraId="748CC6C9" w14:textId="77777777" w:rsidR="00993290" w:rsidRDefault="00993290">
      <w:pPr>
        <w:spacing w:after="200" w:line="259" w:lineRule="auto"/>
        <w:rPr>
          <w:sz w:val="22"/>
          <w:szCs w:val="22"/>
        </w:rPr>
      </w:pPr>
    </w:p>
    <w:p w14:paraId="577B829B" w14:textId="77777777" w:rsidR="005D14D2" w:rsidRDefault="005D14D2">
      <w:pPr>
        <w:rPr>
          <w:b/>
          <w:color w:val="38761D"/>
          <w:sz w:val="26"/>
          <w:szCs w:val="26"/>
        </w:rPr>
      </w:pPr>
      <w:r>
        <w:rPr>
          <w:b/>
          <w:color w:val="38761D"/>
          <w:sz w:val="26"/>
          <w:szCs w:val="26"/>
        </w:rPr>
        <w:br w:type="page"/>
      </w:r>
    </w:p>
    <w:p w14:paraId="57B2F17F" w14:textId="3985A79A" w:rsidR="00993290" w:rsidRDefault="00000000">
      <w:pPr>
        <w:spacing w:line="259" w:lineRule="auto"/>
        <w:rPr>
          <w:b/>
          <w:color w:val="38761D"/>
          <w:sz w:val="26"/>
          <w:szCs w:val="26"/>
        </w:rPr>
      </w:pPr>
      <w:r>
        <w:rPr>
          <w:b/>
          <w:color w:val="38761D"/>
          <w:sz w:val="26"/>
          <w:szCs w:val="26"/>
        </w:rPr>
        <w:lastRenderedPageBreak/>
        <w:t>Alternative Education Campus (AEC) Performance Framework Changes</w:t>
      </w:r>
    </w:p>
    <w:p w14:paraId="06E7854F" w14:textId="77777777" w:rsidR="00993290" w:rsidRDefault="00000000">
      <w:pPr>
        <w:spacing w:after="200" w:line="259" w:lineRule="auto"/>
        <w:rPr>
          <w:sz w:val="22"/>
          <w:szCs w:val="22"/>
        </w:rPr>
      </w:pPr>
      <w:r>
        <w:rPr>
          <w:sz w:val="22"/>
          <w:szCs w:val="22"/>
        </w:rPr>
        <w:t>The attendance and truancy measures were not included in the 2022 AEC performance frameworks, due to changes to the attendance data collection, as well as impacts of the pandemic on enrollment and attendance. CDE has determined that these data are now consistent and comparable to previous years and is reintroducing them into the AEC frameworks.  Districts with AECs received informational reports for their AECs in January 2024 that included the impact of the attendance and truancy data, as well as science data.  The 2024 AEC performance frameworks are scheduled to include these same measures for points.</w:t>
      </w:r>
    </w:p>
    <w:p w14:paraId="7AF1D7F3" w14:textId="77777777" w:rsidR="00993290" w:rsidRDefault="00000000">
      <w:pPr>
        <w:spacing w:after="200" w:line="259" w:lineRule="auto"/>
        <w:rPr>
          <w:sz w:val="22"/>
          <w:szCs w:val="22"/>
        </w:rPr>
      </w:pPr>
      <w:r>
        <w:rPr>
          <w:sz w:val="22"/>
          <w:szCs w:val="22"/>
        </w:rPr>
        <w:t>The cut points for each of these reintroduced measures have been updated based on the most recently available three years of data (three years were available for attendance and truancy, and one year was available for CMAS Science). The cut points were established as they are for other AEC measures: Norming data included only AECs in the state, and cuts based on the 40th, 60th, and 90th percentiles. CDE plans to investigate these cut points when 2024 data becomes available.</w:t>
      </w:r>
    </w:p>
    <w:p w14:paraId="2AF68495" w14:textId="77777777" w:rsidR="00993290" w:rsidRDefault="00000000">
      <w:pPr>
        <w:spacing w:after="200" w:line="259" w:lineRule="auto"/>
        <w:rPr>
          <w:sz w:val="22"/>
          <w:szCs w:val="22"/>
        </w:rPr>
      </w:pPr>
      <w:r>
        <w:rPr>
          <w:sz w:val="22"/>
          <w:szCs w:val="22"/>
        </w:rPr>
        <w:t>The cut points for the reintroduced measures, as based on the most currently available data, are as follows:</w:t>
      </w:r>
    </w:p>
    <w:tbl>
      <w:tblPr>
        <w:tblStyle w:val="a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025"/>
        <w:gridCol w:w="2040"/>
        <w:gridCol w:w="1905"/>
        <w:gridCol w:w="1830"/>
      </w:tblGrid>
      <w:tr w:rsidR="00993290" w14:paraId="440B905E" w14:textId="77777777" w:rsidTr="00B03BA1">
        <w:tc>
          <w:tcPr>
            <w:tcW w:w="5025" w:type="dxa"/>
            <w:shd w:val="clear" w:color="auto" w:fill="auto"/>
            <w:tcMar>
              <w:top w:w="100" w:type="dxa"/>
              <w:left w:w="100" w:type="dxa"/>
              <w:bottom w:w="100" w:type="dxa"/>
              <w:right w:w="100" w:type="dxa"/>
            </w:tcMar>
          </w:tcPr>
          <w:p w14:paraId="4E4912FB" w14:textId="77777777" w:rsidR="00993290" w:rsidRDefault="00000000">
            <w:pPr>
              <w:widowControl w:val="0"/>
              <w:pBdr>
                <w:top w:val="nil"/>
                <w:left w:val="nil"/>
                <w:bottom w:val="nil"/>
                <w:right w:val="nil"/>
                <w:between w:val="nil"/>
              </w:pBdr>
              <w:rPr>
                <w:b/>
                <w:sz w:val="22"/>
                <w:szCs w:val="22"/>
              </w:rPr>
            </w:pPr>
            <w:r>
              <w:rPr>
                <w:b/>
                <w:sz w:val="22"/>
                <w:szCs w:val="22"/>
              </w:rPr>
              <w:t>Rating and Percentile Range</w:t>
            </w:r>
          </w:p>
        </w:tc>
        <w:tc>
          <w:tcPr>
            <w:tcW w:w="2040" w:type="dxa"/>
            <w:shd w:val="clear" w:color="auto" w:fill="auto"/>
            <w:tcMar>
              <w:top w:w="100" w:type="dxa"/>
              <w:left w:w="100" w:type="dxa"/>
              <w:bottom w:w="100" w:type="dxa"/>
              <w:right w:w="100" w:type="dxa"/>
            </w:tcMar>
          </w:tcPr>
          <w:p w14:paraId="646A12A1" w14:textId="77777777" w:rsidR="00993290" w:rsidRDefault="00000000">
            <w:pPr>
              <w:widowControl w:val="0"/>
              <w:pBdr>
                <w:top w:val="nil"/>
                <w:left w:val="nil"/>
                <w:bottom w:val="nil"/>
                <w:right w:val="nil"/>
                <w:between w:val="nil"/>
              </w:pBdr>
              <w:rPr>
                <w:b/>
                <w:sz w:val="22"/>
                <w:szCs w:val="22"/>
              </w:rPr>
            </w:pPr>
            <w:r>
              <w:rPr>
                <w:b/>
                <w:sz w:val="22"/>
                <w:szCs w:val="22"/>
              </w:rPr>
              <w:t>CMAS Science</w:t>
            </w:r>
          </w:p>
        </w:tc>
        <w:tc>
          <w:tcPr>
            <w:tcW w:w="1905" w:type="dxa"/>
            <w:shd w:val="clear" w:color="auto" w:fill="auto"/>
            <w:tcMar>
              <w:top w:w="100" w:type="dxa"/>
              <w:left w:w="100" w:type="dxa"/>
              <w:bottom w:w="100" w:type="dxa"/>
              <w:right w:w="100" w:type="dxa"/>
            </w:tcMar>
          </w:tcPr>
          <w:p w14:paraId="54599676" w14:textId="77777777" w:rsidR="00993290" w:rsidRDefault="00000000">
            <w:pPr>
              <w:widowControl w:val="0"/>
              <w:pBdr>
                <w:top w:val="nil"/>
                <w:left w:val="nil"/>
                <w:bottom w:val="nil"/>
                <w:right w:val="nil"/>
                <w:between w:val="nil"/>
              </w:pBdr>
              <w:rPr>
                <w:b/>
                <w:sz w:val="22"/>
                <w:szCs w:val="22"/>
              </w:rPr>
            </w:pPr>
            <w:r>
              <w:rPr>
                <w:b/>
                <w:sz w:val="22"/>
                <w:szCs w:val="22"/>
              </w:rPr>
              <w:t>Attendance</w:t>
            </w:r>
          </w:p>
        </w:tc>
        <w:tc>
          <w:tcPr>
            <w:tcW w:w="1830" w:type="dxa"/>
            <w:shd w:val="clear" w:color="auto" w:fill="auto"/>
            <w:tcMar>
              <w:top w:w="100" w:type="dxa"/>
              <w:left w:w="100" w:type="dxa"/>
              <w:bottom w:w="100" w:type="dxa"/>
              <w:right w:w="100" w:type="dxa"/>
            </w:tcMar>
          </w:tcPr>
          <w:p w14:paraId="0BEDFCE5" w14:textId="77777777" w:rsidR="00993290" w:rsidRDefault="00000000">
            <w:pPr>
              <w:widowControl w:val="0"/>
              <w:pBdr>
                <w:top w:val="nil"/>
                <w:left w:val="nil"/>
                <w:bottom w:val="nil"/>
                <w:right w:val="nil"/>
                <w:between w:val="nil"/>
              </w:pBdr>
              <w:rPr>
                <w:b/>
                <w:sz w:val="22"/>
                <w:szCs w:val="22"/>
              </w:rPr>
            </w:pPr>
            <w:r>
              <w:rPr>
                <w:b/>
                <w:sz w:val="22"/>
                <w:szCs w:val="22"/>
              </w:rPr>
              <w:t>Truancy</w:t>
            </w:r>
          </w:p>
        </w:tc>
      </w:tr>
      <w:tr w:rsidR="00993290" w14:paraId="77EF6BAF" w14:textId="77777777" w:rsidTr="00B03BA1">
        <w:tc>
          <w:tcPr>
            <w:tcW w:w="5025" w:type="dxa"/>
            <w:shd w:val="clear" w:color="auto" w:fill="EA9999"/>
            <w:tcMar>
              <w:top w:w="100" w:type="dxa"/>
              <w:left w:w="100" w:type="dxa"/>
              <w:bottom w:w="100" w:type="dxa"/>
              <w:right w:w="100" w:type="dxa"/>
            </w:tcMar>
          </w:tcPr>
          <w:p w14:paraId="0AAE4250" w14:textId="77777777" w:rsidR="00993290" w:rsidRDefault="00000000">
            <w:pPr>
              <w:widowControl w:val="0"/>
              <w:pBdr>
                <w:top w:val="nil"/>
                <w:left w:val="nil"/>
                <w:bottom w:val="nil"/>
                <w:right w:val="nil"/>
                <w:between w:val="nil"/>
              </w:pBdr>
              <w:rPr>
                <w:sz w:val="22"/>
                <w:szCs w:val="22"/>
              </w:rPr>
            </w:pPr>
            <w:r>
              <w:rPr>
                <w:sz w:val="22"/>
                <w:szCs w:val="22"/>
              </w:rPr>
              <w:t>Does Not Meet (1st to 39th percentile)</w:t>
            </w:r>
          </w:p>
        </w:tc>
        <w:tc>
          <w:tcPr>
            <w:tcW w:w="2040" w:type="dxa"/>
            <w:shd w:val="clear" w:color="auto" w:fill="EA9999"/>
            <w:tcMar>
              <w:top w:w="100" w:type="dxa"/>
              <w:left w:w="100" w:type="dxa"/>
              <w:bottom w:w="100" w:type="dxa"/>
              <w:right w:w="100" w:type="dxa"/>
            </w:tcMar>
          </w:tcPr>
          <w:p w14:paraId="5A32BA92" w14:textId="77777777" w:rsidR="00993290" w:rsidRDefault="00000000">
            <w:pPr>
              <w:widowControl w:val="0"/>
              <w:pBdr>
                <w:top w:val="nil"/>
                <w:left w:val="nil"/>
                <w:bottom w:val="nil"/>
                <w:right w:val="nil"/>
                <w:between w:val="nil"/>
              </w:pBdr>
              <w:rPr>
                <w:sz w:val="22"/>
                <w:szCs w:val="22"/>
              </w:rPr>
            </w:pPr>
            <w:r>
              <w:rPr>
                <w:sz w:val="22"/>
                <w:szCs w:val="22"/>
              </w:rPr>
              <w:t>650 to 705.7</w:t>
            </w:r>
          </w:p>
        </w:tc>
        <w:tc>
          <w:tcPr>
            <w:tcW w:w="1905" w:type="dxa"/>
            <w:shd w:val="clear" w:color="auto" w:fill="EA9999"/>
            <w:tcMar>
              <w:top w:w="100" w:type="dxa"/>
              <w:left w:w="100" w:type="dxa"/>
              <w:bottom w:w="100" w:type="dxa"/>
              <w:right w:w="100" w:type="dxa"/>
            </w:tcMar>
          </w:tcPr>
          <w:p w14:paraId="672C6620" w14:textId="77777777" w:rsidR="00993290" w:rsidRDefault="00000000">
            <w:pPr>
              <w:widowControl w:val="0"/>
              <w:pBdr>
                <w:top w:val="nil"/>
                <w:left w:val="nil"/>
                <w:bottom w:val="nil"/>
                <w:right w:val="nil"/>
                <w:between w:val="nil"/>
              </w:pBdr>
              <w:rPr>
                <w:sz w:val="22"/>
                <w:szCs w:val="22"/>
              </w:rPr>
            </w:pPr>
            <w:r>
              <w:rPr>
                <w:sz w:val="22"/>
                <w:szCs w:val="22"/>
              </w:rPr>
              <w:t>0 to 74.27</w:t>
            </w:r>
          </w:p>
        </w:tc>
        <w:tc>
          <w:tcPr>
            <w:tcW w:w="1830" w:type="dxa"/>
            <w:shd w:val="clear" w:color="auto" w:fill="EA9999"/>
            <w:tcMar>
              <w:top w:w="100" w:type="dxa"/>
              <w:left w:w="100" w:type="dxa"/>
              <w:bottom w:w="100" w:type="dxa"/>
              <w:right w:w="100" w:type="dxa"/>
            </w:tcMar>
          </w:tcPr>
          <w:p w14:paraId="2D56D9D4" w14:textId="77777777" w:rsidR="00993290" w:rsidRDefault="00000000">
            <w:pPr>
              <w:widowControl w:val="0"/>
              <w:pBdr>
                <w:top w:val="nil"/>
                <w:left w:val="nil"/>
                <w:bottom w:val="nil"/>
                <w:right w:val="nil"/>
                <w:between w:val="nil"/>
              </w:pBdr>
              <w:rPr>
                <w:sz w:val="22"/>
                <w:szCs w:val="22"/>
              </w:rPr>
            </w:pPr>
            <w:r>
              <w:rPr>
                <w:sz w:val="22"/>
                <w:szCs w:val="22"/>
              </w:rPr>
              <w:t>100 to 17.39</w:t>
            </w:r>
          </w:p>
        </w:tc>
      </w:tr>
      <w:tr w:rsidR="00993290" w14:paraId="48BADE27" w14:textId="77777777" w:rsidTr="00B03BA1">
        <w:tc>
          <w:tcPr>
            <w:tcW w:w="5025" w:type="dxa"/>
            <w:shd w:val="clear" w:color="auto" w:fill="FFE599"/>
            <w:tcMar>
              <w:top w:w="100" w:type="dxa"/>
              <w:left w:w="100" w:type="dxa"/>
              <w:bottom w:w="100" w:type="dxa"/>
              <w:right w:w="100" w:type="dxa"/>
            </w:tcMar>
          </w:tcPr>
          <w:p w14:paraId="37031854" w14:textId="77777777" w:rsidR="00993290" w:rsidRDefault="00000000">
            <w:pPr>
              <w:widowControl w:val="0"/>
              <w:pBdr>
                <w:top w:val="nil"/>
                <w:left w:val="nil"/>
                <w:bottom w:val="nil"/>
                <w:right w:val="nil"/>
                <w:between w:val="nil"/>
              </w:pBdr>
              <w:rPr>
                <w:sz w:val="22"/>
                <w:szCs w:val="22"/>
              </w:rPr>
            </w:pPr>
            <w:r>
              <w:rPr>
                <w:sz w:val="22"/>
                <w:szCs w:val="22"/>
              </w:rPr>
              <w:t>Approaching (40th to 59th percentile)</w:t>
            </w:r>
          </w:p>
        </w:tc>
        <w:tc>
          <w:tcPr>
            <w:tcW w:w="2040" w:type="dxa"/>
            <w:shd w:val="clear" w:color="auto" w:fill="FFE599"/>
            <w:tcMar>
              <w:top w:w="100" w:type="dxa"/>
              <w:left w:w="100" w:type="dxa"/>
              <w:bottom w:w="100" w:type="dxa"/>
              <w:right w:w="100" w:type="dxa"/>
            </w:tcMar>
          </w:tcPr>
          <w:p w14:paraId="0CC91CD2" w14:textId="77777777" w:rsidR="00993290" w:rsidRDefault="00000000">
            <w:pPr>
              <w:widowControl w:val="0"/>
              <w:pBdr>
                <w:top w:val="nil"/>
                <w:left w:val="nil"/>
                <w:bottom w:val="nil"/>
                <w:right w:val="nil"/>
                <w:between w:val="nil"/>
              </w:pBdr>
              <w:rPr>
                <w:sz w:val="22"/>
                <w:szCs w:val="22"/>
              </w:rPr>
            </w:pPr>
            <w:r>
              <w:rPr>
                <w:sz w:val="22"/>
                <w:szCs w:val="22"/>
              </w:rPr>
              <w:t>705.8 to 711.8</w:t>
            </w:r>
          </w:p>
        </w:tc>
        <w:tc>
          <w:tcPr>
            <w:tcW w:w="1905" w:type="dxa"/>
            <w:shd w:val="clear" w:color="auto" w:fill="FFE599"/>
            <w:tcMar>
              <w:top w:w="100" w:type="dxa"/>
              <w:left w:w="100" w:type="dxa"/>
              <w:bottom w:w="100" w:type="dxa"/>
              <w:right w:w="100" w:type="dxa"/>
            </w:tcMar>
          </w:tcPr>
          <w:p w14:paraId="1A6350A6" w14:textId="77777777" w:rsidR="00993290" w:rsidRDefault="00000000">
            <w:pPr>
              <w:widowControl w:val="0"/>
              <w:pBdr>
                <w:top w:val="nil"/>
                <w:left w:val="nil"/>
                <w:bottom w:val="nil"/>
                <w:right w:val="nil"/>
                <w:between w:val="nil"/>
              </w:pBdr>
              <w:rPr>
                <w:sz w:val="22"/>
                <w:szCs w:val="22"/>
              </w:rPr>
            </w:pPr>
            <w:r>
              <w:rPr>
                <w:sz w:val="22"/>
                <w:szCs w:val="22"/>
              </w:rPr>
              <w:t>74.28 to 80.48</w:t>
            </w:r>
          </w:p>
        </w:tc>
        <w:tc>
          <w:tcPr>
            <w:tcW w:w="1830" w:type="dxa"/>
            <w:shd w:val="clear" w:color="auto" w:fill="FFE599"/>
            <w:tcMar>
              <w:top w:w="100" w:type="dxa"/>
              <w:left w:w="100" w:type="dxa"/>
              <w:bottom w:w="100" w:type="dxa"/>
              <w:right w:w="100" w:type="dxa"/>
            </w:tcMar>
          </w:tcPr>
          <w:p w14:paraId="6F19B829" w14:textId="77777777" w:rsidR="00993290" w:rsidRDefault="00000000">
            <w:pPr>
              <w:widowControl w:val="0"/>
              <w:pBdr>
                <w:top w:val="nil"/>
                <w:left w:val="nil"/>
                <w:bottom w:val="nil"/>
                <w:right w:val="nil"/>
                <w:between w:val="nil"/>
              </w:pBdr>
              <w:rPr>
                <w:sz w:val="22"/>
                <w:szCs w:val="22"/>
              </w:rPr>
            </w:pPr>
            <w:r>
              <w:rPr>
                <w:sz w:val="22"/>
                <w:szCs w:val="22"/>
              </w:rPr>
              <w:t>17.38 to 11.66</w:t>
            </w:r>
          </w:p>
        </w:tc>
      </w:tr>
      <w:tr w:rsidR="00993290" w14:paraId="249C5F87" w14:textId="77777777" w:rsidTr="00B03BA1">
        <w:tc>
          <w:tcPr>
            <w:tcW w:w="5025" w:type="dxa"/>
            <w:shd w:val="clear" w:color="auto" w:fill="B6D7A8"/>
            <w:tcMar>
              <w:top w:w="100" w:type="dxa"/>
              <w:left w:w="100" w:type="dxa"/>
              <w:bottom w:w="100" w:type="dxa"/>
              <w:right w:w="100" w:type="dxa"/>
            </w:tcMar>
          </w:tcPr>
          <w:p w14:paraId="43E94F51" w14:textId="77777777" w:rsidR="00993290" w:rsidRDefault="00000000">
            <w:pPr>
              <w:widowControl w:val="0"/>
              <w:pBdr>
                <w:top w:val="nil"/>
                <w:left w:val="nil"/>
                <w:bottom w:val="nil"/>
                <w:right w:val="nil"/>
                <w:between w:val="nil"/>
              </w:pBdr>
              <w:rPr>
                <w:sz w:val="22"/>
                <w:szCs w:val="22"/>
              </w:rPr>
            </w:pPr>
            <w:r>
              <w:rPr>
                <w:sz w:val="22"/>
                <w:szCs w:val="22"/>
              </w:rPr>
              <w:t>Meets (60th to 89th percentile)</w:t>
            </w:r>
          </w:p>
        </w:tc>
        <w:tc>
          <w:tcPr>
            <w:tcW w:w="2040" w:type="dxa"/>
            <w:shd w:val="clear" w:color="auto" w:fill="B6D7A8"/>
            <w:tcMar>
              <w:top w:w="100" w:type="dxa"/>
              <w:left w:w="100" w:type="dxa"/>
              <w:bottom w:w="100" w:type="dxa"/>
              <w:right w:w="100" w:type="dxa"/>
            </w:tcMar>
          </w:tcPr>
          <w:p w14:paraId="6894A566" w14:textId="77777777" w:rsidR="00993290" w:rsidRDefault="00000000">
            <w:pPr>
              <w:widowControl w:val="0"/>
              <w:pBdr>
                <w:top w:val="nil"/>
                <w:left w:val="nil"/>
                <w:bottom w:val="nil"/>
                <w:right w:val="nil"/>
                <w:between w:val="nil"/>
              </w:pBdr>
              <w:rPr>
                <w:sz w:val="22"/>
                <w:szCs w:val="22"/>
              </w:rPr>
            </w:pPr>
            <w:r>
              <w:rPr>
                <w:sz w:val="22"/>
                <w:szCs w:val="22"/>
              </w:rPr>
              <w:t>711.9 to 734.4</w:t>
            </w:r>
          </w:p>
        </w:tc>
        <w:tc>
          <w:tcPr>
            <w:tcW w:w="1905" w:type="dxa"/>
            <w:shd w:val="clear" w:color="auto" w:fill="B6D7A8"/>
            <w:tcMar>
              <w:top w:w="100" w:type="dxa"/>
              <w:left w:w="100" w:type="dxa"/>
              <w:bottom w:w="100" w:type="dxa"/>
              <w:right w:w="100" w:type="dxa"/>
            </w:tcMar>
          </w:tcPr>
          <w:p w14:paraId="299A2521" w14:textId="77777777" w:rsidR="00993290" w:rsidRDefault="00000000">
            <w:pPr>
              <w:widowControl w:val="0"/>
              <w:pBdr>
                <w:top w:val="nil"/>
                <w:left w:val="nil"/>
                <w:bottom w:val="nil"/>
                <w:right w:val="nil"/>
                <w:between w:val="nil"/>
              </w:pBdr>
              <w:rPr>
                <w:sz w:val="22"/>
                <w:szCs w:val="22"/>
              </w:rPr>
            </w:pPr>
            <w:r>
              <w:rPr>
                <w:sz w:val="22"/>
                <w:szCs w:val="22"/>
              </w:rPr>
              <w:t>80.49 to 91.40</w:t>
            </w:r>
          </w:p>
        </w:tc>
        <w:tc>
          <w:tcPr>
            <w:tcW w:w="1830" w:type="dxa"/>
            <w:shd w:val="clear" w:color="auto" w:fill="B6D7A8"/>
            <w:tcMar>
              <w:top w:w="100" w:type="dxa"/>
              <w:left w:w="100" w:type="dxa"/>
              <w:bottom w:w="100" w:type="dxa"/>
              <w:right w:w="100" w:type="dxa"/>
            </w:tcMar>
          </w:tcPr>
          <w:p w14:paraId="198F2C1F" w14:textId="77777777" w:rsidR="00993290" w:rsidRDefault="00000000">
            <w:pPr>
              <w:widowControl w:val="0"/>
              <w:pBdr>
                <w:top w:val="nil"/>
                <w:left w:val="nil"/>
                <w:bottom w:val="nil"/>
                <w:right w:val="nil"/>
                <w:between w:val="nil"/>
              </w:pBdr>
              <w:rPr>
                <w:sz w:val="22"/>
                <w:szCs w:val="22"/>
              </w:rPr>
            </w:pPr>
            <w:r>
              <w:rPr>
                <w:sz w:val="22"/>
                <w:szCs w:val="22"/>
              </w:rPr>
              <w:t>11.65 to 3.10</w:t>
            </w:r>
          </w:p>
        </w:tc>
      </w:tr>
      <w:tr w:rsidR="00993290" w14:paraId="5F4CD681" w14:textId="77777777" w:rsidTr="00B03BA1">
        <w:tc>
          <w:tcPr>
            <w:tcW w:w="5025" w:type="dxa"/>
            <w:shd w:val="clear" w:color="auto" w:fill="A4C2F4"/>
            <w:tcMar>
              <w:top w:w="100" w:type="dxa"/>
              <w:left w:w="100" w:type="dxa"/>
              <w:bottom w:w="100" w:type="dxa"/>
              <w:right w:w="100" w:type="dxa"/>
            </w:tcMar>
          </w:tcPr>
          <w:p w14:paraId="1E0995B6" w14:textId="77777777" w:rsidR="00993290" w:rsidRDefault="00000000">
            <w:pPr>
              <w:widowControl w:val="0"/>
              <w:pBdr>
                <w:top w:val="nil"/>
                <w:left w:val="nil"/>
                <w:bottom w:val="nil"/>
                <w:right w:val="nil"/>
                <w:between w:val="nil"/>
              </w:pBdr>
              <w:rPr>
                <w:sz w:val="22"/>
                <w:szCs w:val="22"/>
              </w:rPr>
            </w:pPr>
            <w:r>
              <w:rPr>
                <w:sz w:val="22"/>
                <w:szCs w:val="22"/>
              </w:rPr>
              <w:t>Exceeds (90th to 99th percentile)</w:t>
            </w:r>
          </w:p>
        </w:tc>
        <w:tc>
          <w:tcPr>
            <w:tcW w:w="2040" w:type="dxa"/>
            <w:shd w:val="clear" w:color="auto" w:fill="A4C2F4"/>
            <w:tcMar>
              <w:top w:w="100" w:type="dxa"/>
              <w:left w:w="100" w:type="dxa"/>
              <w:bottom w:w="100" w:type="dxa"/>
              <w:right w:w="100" w:type="dxa"/>
            </w:tcMar>
          </w:tcPr>
          <w:p w14:paraId="70C12E85" w14:textId="77777777" w:rsidR="00993290" w:rsidRDefault="00000000">
            <w:pPr>
              <w:widowControl w:val="0"/>
              <w:pBdr>
                <w:top w:val="nil"/>
                <w:left w:val="nil"/>
                <w:bottom w:val="nil"/>
                <w:right w:val="nil"/>
                <w:between w:val="nil"/>
              </w:pBdr>
              <w:rPr>
                <w:sz w:val="22"/>
                <w:szCs w:val="22"/>
              </w:rPr>
            </w:pPr>
            <w:r>
              <w:rPr>
                <w:sz w:val="22"/>
                <w:szCs w:val="22"/>
              </w:rPr>
              <w:t>734.5 to 850</w:t>
            </w:r>
          </w:p>
        </w:tc>
        <w:tc>
          <w:tcPr>
            <w:tcW w:w="1905" w:type="dxa"/>
            <w:shd w:val="clear" w:color="auto" w:fill="A4C2F4"/>
            <w:tcMar>
              <w:top w:w="100" w:type="dxa"/>
              <w:left w:w="100" w:type="dxa"/>
              <w:bottom w:w="100" w:type="dxa"/>
              <w:right w:w="100" w:type="dxa"/>
            </w:tcMar>
          </w:tcPr>
          <w:p w14:paraId="3E22A87E" w14:textId="77777777" w:rsidR="00993290" w:rsidRDefault="00000000">
            <w:pPr>
              <w:widowControl w:val="0"/>
              <w:pBdr>
                <w:top w:val="nil"/>
                <w:left w:val="nil"/>
                <w:bottom w:val="nil"/>
                <w:right w:val="nil"/>
                <w:between w:val="nil"/>
              </w:pBdr>
              <w:rPr>
                <w:sz w:val="22"/>
                <w:szCs w:val="22"/>
              </w:rPr>
            </w:pPr>
            <w:r>
              <w:rPr>
                <w:sz w:val="22"/>
                <w:szCs w:val="22"/>
              </w:rPr>
              <w:t>91.41 to 100</w:t>
            </w:r>
          </w:p>
        </w:tc>
        <w:tc>
          <w:tcPr>
            <w:tcW w:w="1830" w:type="dxa"/>
            <w:shd w:val="clear" w:color="auto" w:fill="A4C2F4"/>
            <w:tcMar>
              <w:top w:w="100" w:type="dxa"/>
              <w:left w:w="100" w:type="dxa"/>
              <w:bottom w:w="100" w:type="dxa"/>
              <w:right w:w="100" w:type="dxa"/>
            </w:tcMar>
          </w:tcPr>
          <w:p w14:paraId="52A6AD22" w14:textId="77777777" w:rsidR="00993290" w:rsidRDefault="00000000">
            <w:pPr>
              <w:widowControl w:val="0"/>
              <w:pBdr>
                <w:top w:val="nil"/>
                <w:left w:val="nil"/>
                <w:bottom w:val="nil"/>
                <w:right w:val="nil"/>
                <w:between w:val="nil"/>
              </w:pBdr>
              <w:rPr>
                <w:sz w:val="22"/>
                <w:szCs w:val="22"/>
              </w:rPr>
            </w:pPr>
            <w:r>
              <w:rPr>
                <w:sz w:val="22"/>
                <w:szCs w:val="22"/>
              </w:rPr>
              <w:t>3.09 to 0</w:t>
            </w:r>
          </w:p>
        </w:tc>
      </w:tr>
    </w:tbl>
    <w:p w14:paraId="21CDF4F2" w14:textId="77777777" w:rsidR="00993290" w:rsidRDefault="00993290">
      <w:pPr>
        <w:spacing w:after="200" w:line="259" w:lineRule="auto"/>
        <w:rPr>
          <w:sz w:val="22"/>
          <w:szCs w:val="22"/>
        </w:rPr>
      </w:pPr>
    </w:p>
    <w:p w14:paraId="753AB8D5" w14:textId="77777777" w:rsidR="00993290" w:rsidRDefault="00000000">
      <w:pPr>
        <w:spacing w:line="259" w:lineRule="auto"/>
        <w:rPr>
          <w:b/>
          <w:color w:val="38761D"/>
          <w:sz w:val="24"/>
          <w:szCs w:val="24"/>
        </w:rPr>
      </w:pPr>
      <w:r>
        <w:rPr>
          <w:b/>
          <w:color w:val="38761D"/>
          <w:sz w:val="24"/>
          <w:szCs w:val="24"/>
        </w:rPr>
        <w:t>Timeline for Adding these Measures in Performance Frameworks</w:t>
      </w:r>
    </w:p>
    <w:p w14:paraId="5345F17F" w14:textId="384E4EF9" w:rsidR="00993290" w:rsidRDefault="00000000" w:rsidP="005D14D2">
      <w:pPr>
        <w:spacing w:after="200" w:line="259" w:lineRule="auto"/>
        <w:jc w:val="center"/>
        <w:rPr>
          <w:b/>
          <w:color w:val="38761D"/>
          <w:sz w:val="24"/>
          <w:szCs w:val="24"/>
        </w:rPr>
      </w:pPr>
      <w:r>
        <w:rPr>
          <w:noProof/>
          <w:sz w:val="22"/>
          <w:szCs w:val="22"/>
        </w:rPr>
        <mc:AlternateContent>
          <mc:Choice Requires="wpg">
            <w:drawing>
              <wp:inline distT="114300" distB="114300" distL="114300" distR="114300" wp14:anchorId="3D4E641D" wp14:editId="338B461A">
                <wp:extent cx="3743325" cy="3162300"/>
                <wp:effectExtent l="0" t="0" r="9525" b="0"/>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743325" cy="3162300"/>
                          <a:chOff x="2642100" y="1314849"/>
                          <a:chExt cx="3873600" cy="3112973"/>
                        </a:xfrm>
                      </wpg:grpSpPr>
                      <wps:wsp>
                        <wps:cNvPr id="922187956" name="Rectangle 922187956"/>
                        <wps:cNvSpPr/>
                        <wps:spPr>
                          <a:xfrm>
                            <a:off x="2642100" y="1314850"/>
                            <a:ext cx="3873600" cy="3090300"/>
                          </a:xfrm>
                          <a:prstGeom prst="rect">
                            <a:avLst/>
                          </a:prstGeom>
                          <a:solidFill>
                            <a:srgbClr val="D9EAD3"/>
                          </a:solidFill>
                          <a:ln>
                            <a:noFill/>
                          </a:ln>
                        </wps:spPr>
                        <wps:txbx>
                          <w:txbxContent>
                            <w:p w14:paraId="1C715F5C" w14:textId="77777777" w:rsidR="00993290" w:rsidRDefault="00993290">
                              <w:pPr>
                                <w:textDirection w:val="btLr"/>
                              </w:pPr>
                            </w:p>
                          </w:txbxContent>
                        </wps:txbx>
                        <wps:bodyPr spcFirstLastPara="1" wrap="square" lIns="91425" tIns="91425" rIns="91425" bIns="91425" anchor="ctr" anchorCtr="0">
                          <a:noAutofit/>
                        </wps:bodyPr>
                      </wps:wsp>
                      <wpg:grpSp>
                        <wpg:cNvPr id="1864580082" name="Group 1864580082"/>
                        <wpg:cNvGrpSpPr/>
                        <wpg:grpSpPr>
                          <a:xfrm>
                            <a:off x="2798624" y="1315550"/>
                            <a:ext cx="1935701" cy="3009131"/>
                            <a:chOff x="1083025" y="1574025"/>
                            <a:chExt cx="1935701" cy="3009131"/>
                          </a:xfrm>
                        </wpg:grpSpPr>
                        <wps:wsp>
                          <wps:cNvPr id="897273417" name="Text Box 897273417"/>
                          <wps:cNvSpPr txBox="1"/>
                          <wps:spPr>
                            <a:xfrm>
                              <a:off x="1113774" y="1574025"/>
                              <a:ext cx="1114803" cy="552509"/>
                            </a:xfrm>
                            <a:prstGeom prst="rect">
                              <a:avLst/>
                            </a:prstGeom>
                            <a:noFill/>
                            <a:ln>
                              <a:noFill/>
                            </a:ln>
                          </wps:spPr>
                          <wps:txbx>
                            <w:txbxContent>
                              <w:p w14:paraId="4F2B6062" w14:textId="77777777" w:rsidR="00993290" w:rsidRDefault="00000000">
                                <w:pPr>
                                  <w:spacing w:after="320" w:line="275" w:lineRule="auto"/>
                                  <w:jc w:val="right"/>
                                  <w:textDirection w:val="btLr"/>
                                </w:pPr>
                                <w:r>
                                  <w:rPr>
                                    <w:rFonts w:ascii="Roboto" w:eastAsia="Roboto" w:hAnsi="Roboto" w:cs="Roboto"/>
                                    <w:b/>
                                    <w:color w:val="38761D"/>
                                    <w:sz w:val="22"/>
                                  </w:rPr>
                                  <w:t>2023-24</w:t>
                                </w:r>
                              </w:p>
                            </w:txbxContent>
                          </wps:txbx>
                          <wps:bodyPr spcFirstLastPara="1" wrap="square" lIns="91425" tIns="91425" rIns="91425" bIns="91425" anchor="t" anchorCtr="0">
                            <a:noAutofit/>
                          </wps:bodyPr>
                        </wps:wsp>
                        <wps:wsp>
                          <wps:cNvPr id="110454937" name="Text Box 110454937"/>
                          <wps:cNvSpPr txBox="1"/>
                          <wps:spPr>
                            <a:xfrm>
                              <a:off x="1235826" y="2695025"/>
                              <a:ext cx="1782900" cy="446400"/>
                            </a:xfrm>
                            <a:prstGeom prst="rect">
                              <a:avLst/>
                            </a:prstGeom>
                            <a:noFill/>
                            <a:ln>
                              <a:noFill/>
                            </a:ln>
                          </wps:spPr>
                          <wps:txbx>
                            <w:txbxContent>
                              <w:p w14:paraId="5CAD1FD4" w14:textId="77777777" w:rsidR="00993290" w:rsidRDefault="00000000">
                                <w:pPr>
                                  <w:spacing w:line="275" w:lineRule="auto"/>
                                  <w:textDirection w:val="btLr"/>
                                </w:pPr>
                                <w:r>
                                  <w:rPr>
                                    <w:b/>
                                    <w:color w:val="274E13"/>
                                    <w:sz w:val="22"/>
                                  </w:rPr>
                                  <w:t>Informational Release</w:t>
                                </w:r>
                              </w:p>
                            </w:txbxContent>
                          </wps:txbx>
                          <wps:bodyPr spcFirstLastPara="1" wrap="square" lIns="91425" tIns="91425" rIns="91425" bIns="91425" anchor="b" anchorCtr="0">
                            <a:noAutofit/>
                          </wps:bodyPr>
                        </wps:wsp>
                        <wps:wsp>
                          <wps:cNvPr id="169485728" name="Text Box 169485728"/>
                          <wps:cNvSpPr txBox="1"/>
                          <wps:spPr>
                            <a:xfrm>
                              <a:off x="1215701" y="3151592"/>
                              <a:ext cx="1782900" cy="1431564"/>
                            </a:xfrm>
                            <a:prstGeom prst="rect">
                              <a:avLst/>
                            </a:prstGeom>
                            <a:noFill/>
                            <a:ln>
                              <a:noFill/>
                            </a:ln>
                          </wps:spPr>
                          <wps:txbx>
                            <w:txbxContent>
                              <w:p w14:paraId="519B5E38" w14:textId="77777777" w:rsidR="00993290" w:rsidRPr="005D14D2" w:rsidRDefault="00000000">
                                <w:pPr>
                                  <w:spacing w:after="320" w:line="275" w:lineRule="auto"/>
                                  <w:textDirection w:val="btLr"/>
                                </w:pPr>
                                <w:r w:rsidRPr="005D14D2">
                                  <w:rPr>
                                    <w:color w:val="274E13"/>
                                  </w:rPr>
                                  <w:t xml:space="preserve">CMAS Science and attendance/truancy (AEC only) results were shared for informational purposes in January 2024. </w:t>
                                </w:r>
                              </w:p>
                            </w:txbxContent>
                          </wps:txbx>
                          <wps:bodyPr spcFirstLastPara="1" wrap="square" lIns="91425" tIns="91425" rIns="91425" bIns="91425" anchor="t" anchorCtr="0">
                            <a:noAutofit/>
                          </wps:bodyPr>
                        </wps:wsp>
                        <wps:wsp>
                          <wps:cNvPr id="985748381" name="Straight Arrow Connector 985748381"/>
                          <wps:cNvCnPr/>
                          <wps:spPr>
                            <a:xfrm>
                              <a:off x="2180202" y="1695421"/>
                              <a:ext cx="718500" cy="741900"/>
                            </a:xfrm>
                            <a:prstGeom prst="straightConnector1">
                              <a:avLst/>
                            </a:prstGeom>
                            <a:noFill/>
                            <a:ln w="9525" cap="flat" cmpd="sng">
                              <a:solidFill>
                                <a:srgbClr val="274E13"/>
                              </a:solidFill>
                              <a:prstDash val="solid"/>
                              <a:round/>
                              <a:headEnd type="none" w="sm" len="sm"/>
                              <a:tailEnd type="none" w="sm" len="sm"/>
                            </a:ln>
                          </wps:spPr>
                          <wps:bodyPr/>
                        </wps:wsp>
                        <wps:wsp>
                          <wps:cNvPr id="35298201" name="Parallelogram 35298201"/>
                          <wps:cNvSpPr/>
                          <wps:spPr>
                            <a:xfrm flipH="1">
                              <a:off x="1083025" y="2306625"/>
                              <a:ext cx="1834800" cy="143400"/>
                            </a:xfrm>
                            <a:prstGeom prst="parallelogram">
                              <a:avLst>
                                <a:gd name="adj" fmla="val 96952"/>
                              </a:avLst>
                            </a:prstGeom>
                            <a:solidFill>
                              <a:srgbClr val="38761D"/>
                            </a:solidFill>
                            <a:ln>
                              <a:noFill/>
                            </a:ln>
                          </wps:spPr>
                          <wps:txbx>
                            <w:txbxContent>
                              <w:p w14:paraId="00E10214" w14:textId="77777777" w:rsidR="00993290" w:rsidRDefault="00000000">
                                <w:pPr>
                                  <w:textDirection w:val="btLr"/>
                                </w:pPr>
                                <w:r>
                                  <w:rPr>
                                    <w:rFonts w:ascii="Arial" w:eastAsia="Arial" w:hAnsi="Arial" w:cs="Arial"/>
                                    <w:color w:val="000000"/>
                                    <w:sz w:val="28"/>
                                  </w:rPr>
                                  <w:t xml:space="preserve">  </w:t>
                                </w:r>
                              </w:p>
                            </w:txbxContent>
                          </wps:txbx>
                          <wps:bodyPr spcFirstLastPara="1" wrap="square" lIns="91425" tIns="91425" rIns="91425" bIns="91425" anchor="ctr" anchorCtr="0">
                            <a:noAutofit/>
                          </wps:bodyPr>
                        </wps:wsp>
                        <wps:wsp>
                          <wps:cNvPr id="1765657586" name="Parallelogram 1765657586"/>
                          <wps:cNvSpPr/>
                          <wps:spPr>
                            <a:xfrm>
                              <a:off x="1083125" y="2460449"/>
                              <a:ext cx="1834800" cy="143400"/>
                            </a:xfrm>
                            <a:prstGeom prst="parallelogram">
                              <a:avLst>
                                <a:gd name="adj" fmla="val 96952"/>
                              </a:avLst>
                            </a:prstGeom>
                            <a:solidFill>
                              <a:srgbClr val="274E13"/>
                            </a:solidFill>
                            <a:ln>
                              <a:noFill/>
                            </a:ln>
                          </wps:spPr>
                          <wps:txbx>
                            <w:txbxContent>
                              <w:p w14:paraId="13A0ED5A" w14:textId="77777777" w:rsidR="00993290" w:rsidRDefault="00993290">
                                <w:pPr>
                                  <w:textDirection w:val="btLr"/>
                                </w:pPr>
                              </w:p>
                            </w:txbxContent>
                          </wps:txbx>
                          <wps:bodyPr spcFirstLastPara="1" wrap="square" lIns="91425" tIns="91425" rIns="91425" bIns="91425" anchor="ctr" anchorCtr="0">
                            <a:noAutofit/>
                          </wps:bodyPr>
                        </wps:wsp>
                      </wpg:grpSp>
                      <wpg:grpSp>
                        <wpg:cNvPr id="1893853808" name="Group 1893853808"/>
                        <wpg:cNvGrpSpPr/>
                        <wpg:grpSpPr>
                          <a:xfrm>
                            <a:off x="4510469" y="1314849"/>
                            <a:ext cx="1967481" cy="3112973"/>
                            <a:chOff x="1083025" y="1574035"/>
                            <a:chExt cx="1967481" cy="3112973"/>
                          </a:xfrm>
                        </wpg:grpSpPr>
                        <wps:wsp>
                          <wps:cNvPr id="118159401" name="Text Box 118159401"/>
                          <wps:cNvSpPr txBox="1"/>
                          <wps:spPr>
                            <a:xfrm>
                              <a:off x="1156384" y="1574035"/>
                              <a:ext cx="1072047" cy="590715"/>
                            </a:xfrm>
                            <a:prstGeom prst="rect">
                              <a:avLst/>
                            </a:prstGeom>
                            <a:noFill/>
                            <a:ln>
                              <a:noFill/>
                            </a:ln>
                          </wps:spPr>
                          <wps:txbx>
                            <w:txbxContent>
                              <w:p w14:paraId="635FFF44" w14:textId="77777777" w:rsidR="00993290" w:rsidRDefault="00000000">
                                <w:pPr>
                                  <w:spacing w:after="320" w:line="275" w:lineRule="auto"/>
                                  <w:jc w:val="right"/>
                                  <w:textDirection w:val="btLr"/>
                                </w:pPr>
                                <w:r>
                                  <w:rPr>
                                    <w:rFonts w:ascii="Roboto" w:eastAsia="Roboto" w:hAnsi="Roboto" w:cs="Roboto"/>
                                    <w:color w:val="434343"/>
                                    <w:sz w:val="22"/>
                                  </w:rPr>
                                  <w:t>2024-25</w:t>
                                </w:r>
                              </w:p>
                            </w:txbxContent>
                          </wps:txbx>
                          <wps:bodyPr spcFirstLastPara="1" wrap="square" lIns="91425" tIns="91425" rIns="91425" bIns="91425" anchor="t" anchorCtr="0">
                            <a:noAutofit/>
                          </wps:bodyPr>
                        </wps:wsp>
                        <wps:wsp>
                          <wps:cNvPr id="365752114" name="Text Box 365752114"/>
                          <wps:cNvSpPr txBox="1"/>
                          <wps:spPr>
                            <a:xfrm>
                              <a:off x="1235831" y="2695036"/>
                              <a:ext cx="1662900" cy="446400"/>
                            </a:xfrm>
                            <a:prstGeom prst="rect">
                              <a:avLst/>
                            </a:prstGeom>
                            <a:noFill/>
                            <a:ln>
                              <a:noFill/>
                            </a:ln>
                          </wps:spPr>
                          <wps:txbx>
                            <w:txbxContent>
                              <w:p w14:paraId="05CC5198" w14:textId="77777777" w:rsidR="00993290" w:rsidRDefault="00000000">
                                <w:pPr>
                                  <w:spacing w:line="275" w:lineRule="auto"/>
                                  <w:textDirection w:val="btLr"/>
                                </w:pPr>
                                <w:r>
                                  <w:rPr>
                                    <w:b/>
                                    <w:color w:val="434343"/>
                                    <w:sz w:val="22"/>
                                  </w:rPr>
                                  <w:t>Included for Points</w:t>
                                </w:r>
                              </w:p>
                            </w:txbxContent>
                          </wps:txbx>
                          <wps:bodyPr spcFirstLastPara="1" wrap="square" lIns="91425" tIns="91425" rIns="91425" bIns="91425" anchor="b" anchorCtr="0">
                            <a:noAutofit/>
                          </wps:bodyPr>
                        </wps:wsp>
                        <wps:wsp>
                          <wps:cNvPr id="1143234082" name="Text Box 1143234082" descr="During the 2024-25 school year, CMAS Science achievement results will be factored into overall ratings for all districts and schools. Attendance/truancy measures will be factored into overall ratings in AEC performance frameworks."/>
                          <wps:cNvSpPr txBox="1"/>
                          <wps:spPr>
                            <a:xfrm>
                              <a:off x="1215706" y="3151369"/>
                              <a:ext cx="1834800" cy="1535639"/>
                            </a:xfrm>
                            <a:prstGeom prst="rect">
                              <a:avLst/>
                            </a:prstGeom>
                            <a:noFill/>
                            <a:ln>
                              <a:noFill/>
                            </a:ln>
                          </wps:spPr>
                          <wps:txbx>
                            <w:txbxContent>
                              <w:p w14:paraId="0DB5FC7B" w14:textId="77777777" w:rsidR="00993290" w:rsidRPr="005D14D2" w:rsidRDefault="00000000">
                                <w:pPr>
                                  <w:spacing w:after="320" w:line="275" w:lineRule="auto"/>
                                  <w:textDirection w:val="btLr"/>
                                </w:pPr>
                                <w:r w:rsidRPr="005D14D2">
                                  <w:rPr>
                                    <w:color w:val="434343"/>
                                  </w:rPr>
                                  <w:t>CMAS Science achievement results will be factored into overall ratings for all districts and schools. Attendance/truancy measures will be factored into overall ratings in AEC performance frameworks.</w:t>
                                </w:r>
                              </w:p>
                            </w:txbxContent>
                          </wps:txbx>
                          <wps:bodyPr spcFirstLastPara="1" wrap="square" lIns="91425" tIns="91425" rIns="91425" bIns="91425" anchor="t" anchorCtr="0">
                            <a:noAutofit/>
                          </wps:bodyPr>
                        </wps:wsp>
                        <wps:wsp>
                          <wps:cNvPr id="1026092081" name="Straight Arrow Connector 1026092081"/>
                          <wps:cNvCnPr/>
                          <wps:spPr>
                            <a:xfrm>
                              <a:off x="2180202" y="1695421"/>
                              <a:ext cx="718500" cy="741900"/>
                            </a:xfrm>
                            <a:prstGeom prst="straightConnector1">
                              <a:avLst/>
                            </a:prstGeom>
                            <a:noFill/>
                            <a:ln w="9525" cap="flat" cmpd="sng">
                              <a:solidFill>
                                <a:srgbClr val="858585"/>
                              </a:solidFill>
                              <a:prstDash val="solid"/>
                              <a:round/>
                              <a:headEnd type="none" w="sm" len="sm"/>
                              <a:tailEnd type="none" w="sm" len="sm"/>
                            </a:ln>
                          </wps:spPr>
                          <wps:bodyPr/>
                        </wps:wsp>
                        <wps:wsp>
                          <wps:cNvPr id="1627505099" name="Parallelogram 1627505099"/>
                          <wps:cNvSpPr/>
                          <wps:spPr>
                            <a:xfrm flipH="1">
                              <a:off x="1083025" y="2306625"/>
                              <a:ext cx="1834800" cy="143400"/>
                            </a:xfrm>
                            <a:prstGeom prst="parallelogram">
                              <a:avLst>
                                <a:gd name="adj" fmla="val 96952"/>
                              </a:avLst>
                            </a:prstGeom>
                            <a:solidFill>
                              <a:srgbClr val="C2C2C2"/>
                            </a:solidFill>
                            <a:ln>
                              <a:noFill/>
                            </a:ln>
                          </wps:spPr>
                          <wps:txbx>
                            <w:txbxContent>
                              <w:p w14:paraId="36B67411" w14:textId="77777777" w:rsidR="00993290" w:rsidRDefault="00000000">
                                <w:pPr>
                                  <w:textDirection w:val="btLr"/>
                                </w:pPr>
                                <w:r>
                                  <w:rPr>
                                    <w:rFonts w:ascii="Arial" w:eastAsia="Arial" w:hAnsi="Arial" w:cs="Arial"/>
                                    <w:color w:val="000000"/>
                                    <w:sz w:val="28"/>
                                  </w:rPr>
                                  <w:t xml:space="preserve">  </w:t>
                                </w:r>
                              </w:p>
                            </w:txbxContent>
                          </wps:txbx>
                          <wps:bodyPr spcFirstLastPara="1" wrap="square" lIns="91425" tIns="91425" rIns="91425" bIns="91425" anchor="ctr" anchorCtr="0">
                            <a:noAutofit/>
                          </wps:bodyPr>
                        </wps:wsp>
                        <wps:wsp>
                          <wps:cNvPr id="1779518837" name="Parallelogram 1779518837"/>
                          <wps:cNvSpPr/>
                          <wps:spPr>
                            <a:xfrm>
                              <a:off x="1083125" y="2460449"/>
                              <a:ext cx="1834800" cy="143400"/>
                            </a:xfrm>
                            <a:prstGeom prst="parallelogram">
                              <a:avLst>
                                <a:gd name="adj" fmla="val 96952"/>
                              </a:avLst>
                            </a:prstGeom>
                            <a:solidFill>
                              <a:srgbClr val="858585"/>
                            </a:solidFill>
                            <a:ln>
                              <a:noFill/>
                            </a:ln>
                          </wps:spPr>
                          <wps:txbx>
                            <w:txbxContent>
                              <w:p w14:paraId="6EF07EA3" w14:textId="77777777" w:rsidR="00993290" w:rsidRDefault="00993290">
                                <w:pPr>
                                  <w:textDirection w:val="btLr"/>
                                </w:pPr>
                              </w:p>
                            </w:txbxContent>
                          </wps:txbx>
                          <wps:bodyPr spcFirstLastPara="1" wrap="square" lIns="91425" tIns="91425" rIns="91425" bIns="91425" anchor="ctr" anchorCtr="0">
                            <a:noAutofit/>
                          </wps:bodyPr>
                        </wps:wsp>
                      </wpg:grpSp>
                    </wpg:wgp>
                  </a:graphicData>
                </a:graphic>
              </wp:inline>
            </w:drawing>
          </mc:Choice>
          <mc:Fallback>
            <w:pict>
              <v:group w14:anchorId="3D4E641D" id="Group 2" o:spid="_x0000_s1026" alt="&quot;&quot;" style="width:294.75pt;height:249pt;mso-position-horizontal-relative:char;mso-position-vertical-relative:line" coordorigin="26421,13148" coordsize="38736,3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">
                <v:rect id="Rectangle 922187956" o:spid="_x0000_s1027" style="position:absolute;left:26421;top:13148;width:38736;height:30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" fillcolor="#d9ead3" stroked="f">
                  <v:textbox inset="2.53958mm,2.53958mm,2.53958mm,2.53958mm">
                    <w:txbxContent>
                      <w:p w14:paraId="1C715F5C" w14:textId="77777777" w:rsidR="00993290" w:rsidRDefault="00993290">
                        <w:pPr>
                          <w:textDirection w:val="btLr"/>
                        </w:pPr>
                      </w:p>
                    </w:txbxContent>
                  </v:textbox>
                </v:rect>
                <v:group id="Group 1864580082" o:spid="_x0000_s1028" style="position:absolute;left:27986;top:13155;width:19357;height:30091" coordorigin="10830,15740" coordsize="19357,30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">
                  <v:shapetype id="_x0000_t202" coordsize="21600,21600" o:spt="202" path="m,l,21600r21600,l21600,xe">
                    <v:stroke joinstyle="miter"/>
                    <v:path gradientshapeok="t" o:connecttype="rect"/>
                  </v:shapetype>
                  <v:shape id="Text Box 897273417" o:spid="_x0000_s1029" type="#_x0000_t202" style="position:absolute;left:11137;top:15740;width:11148;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" filled="f" stroked="f">
                    <v:textbox inset="2.53958mm,2.53958mm,2.53958mm,2.53958mm">
                      <w:txbxContent>
                        <w:p w14:paraId="4F2B6062" w14:textId="77777777" w:rsidR="00993290" w:rsidRDefault="00000000">
                          <w:pPr>
                            <w:spacing w:after="320" w:line="275" w:lineRule="auto"/>
                            <w:jc w:val="right"/>
                            <w:textDirection w:val="btLr"/>
                          </w:pPr>
                          <w:r>
                            <w:rPr>
                              <w:rFonts w:ascii="Roboto" w:eastAsia="Roboto" w:hAnsi="Roboto" w:cs="Roboto"/>
                              <w:b/>
                              <w:color w:val="38761D"/>
                              <w:sz w:val="22"/>
                            </w:rPr>
                            <w:t>2023-24</w:t>
                          </w:r>
                        </w:p>
                      </w:txbxContent>
                    </v:textbox>
                  </v:shape>
                  <v:shape id="Text Box 110454937" o:spid="_x0000_s1030" type="#_x0000_t202" style="position:absolute;left:12358;top:26950;width:17829;height:446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" filled="f" stroked="f">
                    <v:textbox inset="2.53958mm,2.53958mm,2.53958mm,2.53958mm">
                      <w:txbxContent>
                        <w:p w14:paraId="5CAD1FD4" w14:textId="77777777" w:rsidR="00993290" w:rsidRDefault="00000000">
                          <w:pPr>
                            <w:spacing w:line="275" w:lineRule="auto"/>
                            <w:textDirection w:val="btLr"/>
                          </w:pPr>
                          <w:r>
                            <w:rPr>
                              <w:b/>
                              <w:color w:val="274E13"/>
                              <w:sz w:val="22"/>
                            </w:rPr>
                            <w:t>Informational Release</w:t>
                          </w:r>
                        </w:p>
                      </w:txbxContent>
                    </v:textbox>
                  </v:shape>
                  <v:shape id="Text Box 169485728" o:spid="_x0000_s1031" type="#_x0000_t202" style="position:absolute;left:12157;top:31515;width:17829;height:14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" filled="f" stroked="f">
                    <v:textbox inset="2.53958mm,2.53958mm,2.53958mm,2.53958mm">
                      <w:txbxContent>
                        <w:p w14:paraId="519B5E38" w14:textId="77777777" w:rsidR="00993290" w:rsidRPr="005D14D2" w:rsidRDefault="00000000">
                          <w:pPr>
                            <w:spacing w:after="320" w:line="275" w:lineRule="auto"/>
                            <w:textDirection w:val="btLr"/>
                          </w:pPr>
                          <w:r w:rsidRPr="005D14D2">
                            <w:rPr>
                              <w:color w:val="274E13"/>
                            </w:rPr>
                            <w:t xml:space="preserve">CMAS Science and attendance/truancy (AEC only) results were shared for informational purposes in January 2024. </w:t>
                          </w:r>
                        </w:p>
                      </w:txbxContent>
                    </v:textbox>
                  </v:shape>
                  <v:shapetype id="_x0000_t32" coordsize="21600,21600" o:spt="32" o:oned="t" path="m,l21600,21600e" filled="f">
                    <v:path arrowok="t" fillok="f" o:connecttype="none"/>
                    <o:lock v:ext="edit" shapetype="t"/>
                  </v:shapetype>
                  <v:shape id="Straight Arrow Connector 985748381" o:spid="_x0000_s1032" type="#_x0000_t32" style="position:absolute;left:21802;top:16954;width:7185;height:74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" strokecolor="#274e13">
                    <v:stroke startarrowwidth="narrow" startarrowlength="short" endarrowwidth="narrow" endarrowlength="short"/>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35298201" o:spid="_x0000_s1033" type="#_x0000_t7" style="position:absolute;left:10830;top:23066;width:18348;height:1434;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" adj="1637" fillcolor="#38761d" stroked="f">
                    <v:textbox inset="2.53958mm,2.53958mm,2.53958mm,2.53958mm">
                      <w:txbxContent>
                        <w:p w14:paraId="00E10214" w14:textId="77777777" w:rsidR="00993290" w:rsidRDefault="00000000">
                          <w:pPr>
                            <w:textDirection w:val="btLr"/>
                          </w:pPr>
                          <w:r>
                            <w:rPr>
                              <w:rFonts w:ascii="Arial" w:eastAsia="Arial" w:hAnsi="Arial" w:cs="Arial"/>
                              <w:color w:val="000000"/>
                              <w:sz w:val="28"/>
                            </w:rPr>
                            <w:t xml:space="preserve">  </w:t>
                          </w:r>
                        </w:p>
                      </w:txbxContent>
                    </v:textbox>
                  </v:shape>
                  <v:shape id="Parallelogram 1765657586" o:spid="_x0000_s1034" type="#_x0000_t7" style="position:absolute;left:10831;top:24604;width:18348;height:14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" adj="1637" fillcolor="#274e13" stroked="f">
                    <v:textbox inset="2.53958mm,2.53958mm,2.53958mm,2.53958mm">
                      <w:txbxContent>
                        <w:p w14:paraId="13A0ED5A" w14:textId="77777777" w:rsidR="00993290" w:rsidRDefault="00993290">
                          <w:pPr>
                            <w:textDirection w:val="btLr"/>
                          </w:pPr>
                        </w:p>
                      </w:txbxContent>
                    </v:textbox>
                  </v:shape>
                </v:group>
                <v:group id="Group 1893853808" o:spid="_x0000_s1035" style="position:absolute;left:45104;top:13148;width:19675;height:31130" coordorigin="10830,15740" coordsize="19674,31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">
                  <v:shape id="Text Box 118159401" o:spid="_x0000_s1036" type="#_x0000_t202" style="position:absolute;left:11563;top:15740;width:10721;height:5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" filled="f" stroked="f">
                    <v:textbox inset="2.53958mm,2.53958mm,2.53958mm,2.53958mm">
                      <w:txbxContent>
                        <w:p w14:paraId="635FFF44" w14:textId="77777777" w:rsidR="00993290" w:rsidRDefault="00000000">
                          <w:pPr>
                            <w:spacing w:after="320" w:line="275" w:lineRule="auto"/>
                            <w:jc w:val="right"/>
                            <w:textDirection w:val="btLr"/>
                          </w:pPr>
                          <w:r>
                            <w:rPr>
                              <w:rFonts w:ascii="Roboto" w:eastAsia="Roboto" w:hAnsi="Roboto" w:cs="Roboto"/>
                              <w:color w:val="434343"/>
                              <w:sz w:val="22"/>
                            </w:rPr>
                            <w:t>2024-25</w:t>
                          </w:r>
                        </w:p>
                      </w:txbxContent>
                    </v:textbox>
                  </v:shape>
                  <v:shape id="Text Box 365752114" o:spid="_x0000_s1037" type="#_x0000_t202" style="position:absolute;left:12358;top:26950;width:16629;height:446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" filled="f" stroked="f">
                    <v:textbox inset="2.53958mm,2.53958mm,2.53958mm,2.53958mm">
                      <w:txbxContent>
                        <w:p w14:paraId="05CC5198" w14:textId="77777777" w:rsidR="00993290" w:rsidRDefault="00000000">
                          <w:pPr>
                            <w:spacing w:line="275" w:lineRule="auto"/>
                            <w:textDirection w:val="btLr"/>
                          </w:pPr>
                          <w:r>
                            <w:rPr>
                              <w:b/>
                              <w:color w:val="434343"/>
                              <w:sz w:val="22"/>
                            </w:rPr>
                            <w:t>Included for Points</w:t>
                          </w:r>
                        </w:p>
                      </w:txbxContent>
                    </v:textbox>
                  </v:shape>
                  <v:shape id="Text Box 1143234082" o:spid="_x0000_s1038" type="#_x0000_t202" alt="During the 2024-25 school year, CMAS Science achievement results will be factored into overall ratings for all districts and schools. Attendance/truancy measures will be factored into overall ratings in AEC performance frameworks." style="position:absolute;left:12157;top:31513;width:18348;height:15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" filled="f" stroked="f">
                    <v:textbox inset="2.53958mm,2.53958mm,2.53958mm,2.53958mm">
                      <w:txbxContent>
                        <w:p w14:paraId="0DB5FC7B" w14:textId="77777777" w:rsidR="00993290" w:rsidRPr="005D14D2" w:rsidRDefault="00000000">
                          <w:pPr>
                            <w:spacing w:after="320" w:line="275" w:lineRule="auto"/>
                            <w:textDirection w:val="btLr"/>
                          </w:pPr>
                          <w:r w:rsidRPr="005D14D2">
                            <w:rPr>
                              <w:color w:val="434343"/>
                            </w:rPr>
                            <w:t>CMAS Science achievement results will be factored into overall ratings for all districts and schools. Attendance/truancy measures will be factored into overall ratings in AEC performance frameworks.</w:t>
                          </w:r>
                        </w:p>
                      </w:txbxContent>
                    </v:textbox>
                  </v:shape>
                  <v:shape id="Straight Arrow Connector 1026092081" o:spid="_x0000_s1039" type="#_x0000_t32" style="position:absolute;left:21802;top:16954;width:7185;height:74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" strokecolor="#858585">
                    <v:stroke startarrowwidth="narrow" startarrowlength="short" endarrowwidth="narrow" endarrowlength="short"/>
                  </v:shape>
                  <v:shape id="Parallelogram 1627505099" o:spid="_x0000_s1040" type="#_x0000_t7" style="position:absolute;left:10830;top:23066;width:18348;height:1434;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" adj="1637" fillcolor="#c2c2c2" stroked="f">
                    <v:textbox inset="2.53958mm,2.53958mm,2.53958mm,2.53958mm">
                      <w:txbxContent>
                        <w:p w14:paraId="36B67411" w14:textId="77777777" w:rsidR="00993290" w:rsidRDefault="00000000">
                          <w:pPr>
                            <w:textDirection w:val="btLr"/>
                          </w:pPr>
                          <w:r>
                            <w:rPr>
                              <w:rFonts w:ascii="Arial" w:eastAsia="Arial" w:hAnsi="Arial" w:cs="Arial"/>
                              <w:color w:val="000000"/>
                              <w:sz w:val="28"/>
                            </w:rPr>
                            <w:t xml:space="preserve">  </w:t>
                          </w:r>
                        </w:p>
                      </w:txbxContent>
                    </v:textbox>
                  </v:shape>
                  <v:shape id="Parallelogram 1779518837" o:spid="_x0000_s1041" type="#_x0000_t7" style="position:absolute;left:10831;top:24604;width:18348;height:14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" adj="1637" fillcolor="#858585" stroked="f">
                    <v:textbox inset="2.53958mm,2.53958mm,2.53958mm,2.53958mm">
                      <w:txbxContent>
                        <w:p w14:paraId="6EF07EA3" w14:textId="77777777" w:rsidR="00993290" w:rsidRDefault="00993290">
                          <w:pPr>
                            <w:textDirection w:val="btLr"/>
                          </w:pPr>
                        </w:p>
                      </w:txbxContent>
                    </v:textbox>
                  </v:shape>
                </v:group>
                <w10:anchorlock/>
              </v:group>
            </w:pict>
          </mc:Fallback>
        </mc:AlternateContent>
      </w:r>
    </w:p>
    <w:sectPr w:rsidR="00993290">
      <w:headerReference w:type="default" r:id="rId9"/>
      <w:footerReference w:type="default" r:id="rId10"/>
      <w:headerReference w:type="first" r:id="rId11"/>
      <w:footerReference w:type="first" r:id="rId12"/>
      <w:pgSz w:w="12240" w:h="15840"/>
      <w:pgMar w:top="720" w:right="720" w:bottom="720" w:left="720" w:header="0" w:footer="115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BDB15" w14:textId="77777777" w:rsidR="00535B43" w:rsidRDefault="00535B43">
      <w:r>
        <w:separator/>
      </w:r>
    </w:p>
  </w:endnote>
  <w:endnote w:type="continuationSeparator" w:id="0">
    <w:p w14:paraId="73D46132" w14:textId="77777777" w:rsidR="00535B43" w:rsidRDefault="00535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useo Slab 500">
    <w:panose1 w:val="02000000000000000000"/>
    <w:charset w:val="00"/>
    <w:family w:val="modern"/>
    <w:notTrueType/>
    <w:pitch w:val="variable"/>
    <w:sig w:usb0="A00000AF" w:usb1="4000004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E979D" w14:textId="77777777" w:rsidR="00993290" w:rsidRDefault="00000000">
    <w:pPr>
      <w:tabs>
        <w:tab w:val="center" w:pos="4680"/>
        <w:tab w:val="right" w:pos="9360"/>
        <w:tab w:val="left" w:pos="0"/>
        <w:tab w:val="right" w:pos="10620"/>
      </w:tabs>
      <w:ind w:right="180"/>
    </w:pPr>
    <w:r>
      <w:rPr>
        <w:sz w:val="18"/>
        <w:szCs w:val="18"/>
      </w:rPr>
      <w:t>January 2024</w:t>
    </w:r>
    <w:r>
      <w:rPr>
        <w:sz w:val="18"/>
        <w:szCs w:val="18"/>
      </w:rPr>
      <w:tab/>
    </w:r>
    <w:r>
      <w:rPr>
        <w:sz w:val="18"/>
        <w:szCs w:val="18"/>
      </w:rPr>
      <w:tab/>
    </w:r>
    <w:r>
      <w:rPr>
        <w:sz w:val="18"/>
        <w:szCs w:val="18"/>
      </w:rPr>
      <w:tab/>
    </w:r>
    <w:r>
      <w:rPr>
        <w:sz w:val="18"/>
        <w:szCs w:val="18"/>
      </w:rPr>
      <w:fldChar w:fldCharType="begin"/>
    </w:r>
    <w:r>
      <w:rPr>
        <w:sz w:val="18"/>
        <w:szCs w:val="18"/>
      </w:rPr>
      <w:instrText>PAGE</w:instrText>
    </w:r>
    <w:r>
      <w:rPr>
        <w:sz w:val="18"/>
        <w:szCs w:val="18"/>
      </w:rPr>
      <w:fldChar w:fldCharType="separate"/>
    </w:r>
    <w:r w:rsidR="005D14D2">
      <w:rPr>
        <w:noProof/>
        <w:sz w:val="18"/>
        <w:szCs w:val="18"/>
      </w:rPr>
      <w:t>2</w:t>
    </w:r>
    <w:r>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12F07" w14:textId="77777777" w:rsidR="00993290" w:rsidRDefault="00000000">
    <w:r>
      <w:t>Last Updated: January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8AE21" w14:textId="77777777" w:rsidR="00535B43" w:rsidRDefault="00535B43">
      <w:r>
        <w:separator/>
      </w:r>
    </w:p>
  </w:footnote>
  <w:footnote w:type="continuationSeparator" w:id="0">
    <w:p w14:paraId="1DFE5108" w14:textId="77777777" w:rsidR="00535B43" w:rsidRDefault="00535B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27C7A" w14:textId="77777777" w:rsidR="00993290" w:rsidRDefault="00993290">
    <w:pPr>
      <w:pBdr>
        <w:top w:val="nil"/>
        <w:left w:val="nil"/>
        <w:bottom w:val="nil"/>
        <w:right w:val="nil"/>
        <w:between w:val="nil"/>
      </w:pBdr>
      <w:ind w:right="3600"/>
      <w:rPr>
        <w:color w:val="000000"/>
        <w:sz w:val="22"/>
        <w:szCs w:val="22"/>
      </w:rPr>
    </w:pPr>
  </w:p>
  <w:p w14:paraId="0A1E4BC2" w14:textId="77777777" w:rsidR="00993290" w:rsidRDefault="00000000">
    <w:pPr>
      <w:pBdr>
        <w:top w:val="nil"/>
        <w:left w:val="nil"/>
        <w:bottom w:val="nil"/>
        <w:right w:val="nil"/>
        <w:between w:val="nil"/>
      </w:pBdr>
      <w:ind w:right="3600"/>
      <w:rPr>
        <w:color w:val="000000"/>
        <w:sz w:val="22"/>
        <w:szCs w:val="22"/>
      </w:rPr>
    </w:pPr>
    <w:r>
      <w:rPr>
        <w:noProof/>
      </w:rPr>
      <w:drawing>
        <wp:anchor distT="0" distB="0" distL="114300" distR="114300" simplePos="0" relativeHeight="251658240" behindDoc="0" locked="0" layoutInCell="1" hidden="0" allowOverlap="1" wp14:anchorId="52D650AF" wp14:editId="55D67F7D">
          <wp:simplePos x="0" y="0"/>
          <wp:positionH relativeFrom="column">
            <wp:posOffset>5910580</wp:posOffset>
          </wp:positionH>
          <wp:positionV relativeFrom="paragraph">
            <wp:posOffset>23495</wp:posOffset>
          </wp:positionV>
          <wp:extent cx="979805" cy="415925"/>
          <wp:effectExtent l="0" t="0" r="0" b="0"/>
          <wp:wrapNone/>
          <wp:docPr id="3" name="image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 name="image2.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979805" cy="415925"/>
                  </a:xfrm>
                  <a:prstGeom prst="rect">
                    <a:avLst/>
                  </a:prstGeom>
                  <a:ln/>
                </pic:spPr>
              </pic:pic>
            </a:graphicData>
          </a:graphic>
        </wp:anchor>
      </w:drawing>
    </w:r>
  </w:p>
  <w:p w14:paraId="474D19A2" w14:textId="77777777" w:rsidR="00993290" w:rsidRDefault="00000000">
    <w:pPr>
      <w:pBdr>
        <w:top w:val="nil"/>
        <w:left w:val="nil"/>
        <w:bottom w:val="nil"/>
        <w:right w:val="nil"/>
        <w:between w:val="nil"/>
      </w:pBdr>
      <w:ind w:right="3600"/>
      <w:rPr>
        <w:color w:val="000000"/>
        <w:sz w:val="22"/>
        <w:szCs w:val="22"/>
      </w:rPr>
    </w:pPr>
    <w:r>
      <w:rPr>
        <w:sz w:val="22"/>
        <w:szCs w:val="22"/>
      </w:rPr>
      <w:t>2023 Informational Results for Performance Frameworks</w:t>
    </w:r>
  </w:p>
  <w:p w14:paraId="73DD329E" w14:textId="77777777" w:rsidR="00993290" w:rsidRDefault="00993290">
    <w:pPr>
      <w:pBdr>
        <w:top w:val="nil"/>
        <w:left w:val="nil"/>
        <w:bottom w:val="nil"/>
        <w:right w:val="nil"/>
        <w:between w:val="nil"/>
      </w:pBdr>
      <w:ind w:right="3600"/>
      <w:rPr>
        <w:color w:val="000000"/>
        <w:sz w:val="22"/>
        <w:szCs w:val="22"/>
      </w:rPr>
    </w:pPr>
  </w:p>
  <w:p w14:paraId="07EBBE47" w14:textId="77777777" w:rsidR="00993290" w:rsidRDefault="00000000">
    <w:pPr>
      <w:pBdr>
        <w:top w:val="nil"/>
        <w:left w:val="nil"/>
        <w:bottom w:val="nil"/>
        <w:right w:val="nil"/>
        <w:between w:val="nil"/>
      </w:pBdr>
      <w:ind w:right="3600"/>
      <w:rPr>
        <w:color w:val="000000"/>
        <w:sz w:val="22"/>
        <w:szCs w:val="22"/>
      </w:rPr>
    </w:pPr>
    <w:r>
      <w:rPr>
        <w:noProof/>
      </w:rPr>
      <mc:AlternateContent>
        <mc:Choice Requires="wps">
          <w:drawing>
            <wp:anchor distT="0" distB="0" distL="114300" distR="114300" simplePos="0" relativeHeight="251659264" behindDoc="0" locked="0" layoutInCell="1" hidden="0" allowOverlap="1" wp14:anchorId="398ACEAA" wp14:editId="20E5B242">
              <wp:simplePos x="0" y="0"/>
              <wp:positionH relativeFrom="column">
                <wp:posOffset>1</wp:posOffset>
              </wp:positionH>
              <wp:positionV relativeFrom="paragraph">
                <wp:posOffset>25400</wp:posOffset>
              </wp:positionV>
              <wp:extent cx="6889750" cy="19006"/>
              <wp:effectExtent l="0" t="0" r="0" b="0"/>
              <wp:wrapNone/>
              <wp:docPr id="1" name="Straight Arrow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1901125" y="3780000"/>
                        <a:ext cx="6889750" cy="0"/>
                      </a:xfrm>
                      <a:prstGeom prst="straightConnector1">
                        <a:avLst/>
                      </a:prstGeom>
                      <a:noFill/>
                      <a:ln w="9525" cap="flat" cmpd="sng">
                        <a:solidFill>
                          <a:srgbClr val="274E13"/>
                        </a:solidFill>
                        <a:prstDash val="solid"/>
                        <a:miter lim="800000"/>
                        <a:headEnd type="none" w="sm" len="sm"/>
                        <a:tailEnd type="none" w="sm" len="sm"/>
                      </a:ln>
                    </wps:spPr>
                    <wps:bodyPr/>
                  </wps:wsp>
                </a:graphicData>
              </a:graphic>
            </wp:anchor>
          </w:drawing>
        </mc:Choice>
        <mc:Fallback>
          <w:pict>
            <v:shapetype w14:anchorId="0E7DD933" id="_x0000_t32" coordsize="21600,21600" o:spt="32" o:oned="t" path="m,l21600,21600e" filled="f">
              <v:path arrowok="t" fillok="f" o:connecttype="none"/>
              <o:lock v:ext="edit" shapetype="t"/>
            </v:shapetype>
            <v:shape id="Straight Arrow Connector 1" o:spid="_x0000_s1026" type="#_x0000_t32" alt="&quot;&quot;" style="position:absolute;margin-left:0;margin-top:2pt;width:542.5pt;height:1.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" strokecolor="#274e13">
              <v:stroke startarrowwidth="narrow" startarrowlength="short" endarrowwidth="narrow" endarrowlength="short" joinstyle="miter"/>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E3EFB" w14:textId="77777777" w:rsidR="00993290" w:rsidRDefault="00000000">
    <w:pPr>
      <w:pBdr>
        <w:top w:val="nil"/>
        <w:left w:val="nil"/>
        <w:bottom w:val="nil"/>
        <w:right w:val="nil"/>
        <w:between w:val="nil"/>
      </w:pBdr>
      <w:ind w:right="3600"/>
      <w:rPr>
        <w:color w:val="000000"/>
        <w:sz w:val="22"/>
        <w:szCs w:val="22"/>
      </w:rPr>
    </w:pPr>
    <w:r>
      <w:rPr>
        <w:noProof/>
      </w:rPr>
      <w:drawing>
        <wp:anchor distT="0" distB="0" distL="114300" distR="114300" simplePos="0" relativeHeight="251660288" behindDoc="1" locked="0" layoutInCell="1" hidden="0" allowOverlap="1" wp14:anchorId="7FC1DA4B" wp14:editId="26F44B45">
          <wp:simplePos x="0" y="0"/>
          <wp:positionH relativeFrom="column">
            <wp:posOffset>-457199</wp:posOffset>
          </wp:positionH>
          <wp:positionV relativeFrom="paragraph">
            <wp:posOffset>0</wp:posOffset>
          </wp:positionV>
          <wp:extent cx="7927975" cy="1572895"/>
          <wp:effectExtent l="0" t="0" r="0" b="0"/>
          <wp:wrapNone/>
          <wp:docPr id="4"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 name="image1.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927975" cy="157289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290"/>
    <w:rsid w:val="00535B43"/>
    <w:rsid w:val="005D14D2"/>
    <w:rsid w:val="00993290"/>
    <w:rsid w:val="00B03B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55A20"/>
  <w15:docId w15:val="{7B642BF5-B7F8-4BC4-9871-91CC5ACD9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0"/>
    <w:next w:val="Normal0"/>
    <w:uiPriority w:val="9"/>
    <w:qFormat/>
    <w:pPr>
      <w:keepNext/>
      <w:keepLines/>
      <w:spacing w:after="0"/>
      <w:ind w:right="1440"/>
    </w:pPr>
    <w:rPr>
      <w:rFonts w:ascii="Museo Slab 500" w:eastAsia="Times New Roman" w:hAnsi="Museo Slab 500" w:cs="Times New Roman"/>
      <w:color w:val="FFFFFF"/>
      <w:sz w:val="48"/>
      <w:szCs w:val="32"/>
    </w:rPr>
  </w:style>
  <w:style w:type="paragraph" w:styleId="Heading2">
    <w:name w:val="heading 2"/>
    <w:basedOn w:val="Normal0"/>
    <w:next w:val="Normal0"/>
    <w:uiPriority w:val="9"/>
    <w:semiHidden/>
    <w:unhideWhenUsed/>
    <w:qFormat/>
    <w:pPr>
      <w:keepNext/>
      <w:keepLines/>
      <w:spacing w:before="40" w:after="840"/>
      <w:outlineLvl w:val="1"/>
    </w:pPr>
    <w:rPr>
      <w:rFonts w:eastAsia="Times New Roman" w:cs="Times New Roman"/>
      <w:b/>
      <w:color w:val="FFFFFF"/>
      <w:sz w:val="32"/>
      <w:szCs w:val="26"/>
    </w:rPr>
  </w:style>
  <w:style w:type="paragraph" w:styleId="Heading3">
    <w:name w:val="heading 3"/>
    <w:basedOn w:val="Normal0"/>
    <w:next w:val="Normal0"/>
    <w:uiPriority w:val="9"/>
    <w:semiHidden/>
    <w:unhideWhenUsed/>
    <w:qFormat/>
    <w:pPr>
      <w:keepNext/>
      <w:keepLines/>
      <w:spacing w:before="40" w:after="120"/>
      <w:outlineLvl w:val="2"/>
    </w:pPr>
    <w:rPr>
      <w:rFonts w:eastAsia="Times New Roman" w:cs="Times New Roman"/>
      <w:b/>
      <w:color w:val="000000"/>
      <w:sz w:val="28"/>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Normal0">
    <w:name w:val="Normal"/>
    <w:aliases w:val="Page01- body with right indent-black"/>
    <w:pPr>
      <w:suppressAutoHyphens/>
      <w:spacing w:after="160" w:line="259" w:lineRule="auto"/>
      <w:ind w:leftChars="-1" w:left="-1" w:right="3600" w:hangingChars="1" w:hanging="1"/>
      <w:textDirection w:val="btLr"/>
      <w:textAlignment w:val="top"/>
      <w:outlineLvl w:val="0"/>
    </w:pPr>
    <w:rPr>
      <w:position w:val="-1"/>
      <w:sz w:val="22"/>
      <w:szCs w:val="22"/>
    </w:rPr>
  </w:style>
  <w:style w:type="paragraph" w:styleId="Header">
    <w:name w:val="header"/>
    <w:basedOn w:val="Normal0"/>
    <w:qFormat/>
    <w:pPr>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0"/>
    <w:qFormat/>
    <w:pPr>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character" w:customStyle="1" w:styleId="Heading1Char">
    <w:name w:val="Heading 1 Char"/>
    <w:rPr>
      <w:rFonts w:ascii="Museo Slab 500" w:eastAsia="Times New Roman" w:hAnsi="Museo Slab 500" w:cs="Times New Roman"/>
      <w:color w:val="FFFFFF"/>
      <w:w w:val="100"/>
      <w:position w:val="-1"/>
      <w:sz w:val="48"/>
      <w:szCs w:val="32"/>
      <w:effect w:val="none"/>
      <w:vertAlign w:val="baseline"/>
      <w:cs w:val="0"/>
      <w:em w:val="none"/>
    </w:rPr>
  </w:style>
  <w:style w:type="character" w:customStyle="1" w:styleId="Heading2Char">
    <w:name w:val="Heading 2 Char"/>
    <w:rPr>
      <w:rFonts w:ascii="Calibri" w:eastAsia="Times New Roman" w:hAnsi="Calibri" w:cs="Times New Roman"/>
      <w:b/>
      <w:color w:val="FFFFFF"/>
      <w:w w:val="100"/>
      <w:position w:val="-1"/>
      <w:sz w:val="32"/>
      <w:szCs w:val="26"/>
      <w:effect w:val="none"/>
      <w:vertAlign w:val="baseline"/>
      <w:cs w:val="0"/>
      <w:em w:val="none"/>
    </w:rPr>
  </w:style>
  <w:style w:type="character" w:customStyle="1" w:styleId="Heading3Char">
    <w:name w:val="Heading 3 Char"/>
    <w:rPr>
      <w:rFonts w:ascii="Calibri" w:eastAsia="Times New Roman" w:hAnsi="Calibri" w:cs="Times New Roman"/>
      <w:b/>
      <w:color w:val="000000"/>
      <w:w w:val="100"/>
      <w:position w:val="-1"/>
      <w:sz w:val="28"/>
      <w:szCs w:val="24"/>
      <w:effect w:val="none"/>
      <w:vertAlign w:val="baseline"/>
      <w:cs w:val="0"/>
      <w:em w:val="none"/>
    </w:rPr>
  </w:style>
  <w:style w:type="paragraph" w:customStyle="1" w:styleId="Page01-Side-bar-navy">
    <w:name w:val="Page 01-Side-bar-navy"/>
    <w:basedOn w:val="Normal0"/>
    <w:pPr>
      <w:ind w:right="0"/>
    </w:pPr>
    <w:rPr>
      <w:color w:val="232C67"/>
      <w:sz w:val="20"/>
    </w:rPr>
  </w:style>
  <w:style w:type="paragraph" w:styleId="NormalWeb">
    <w:name w:val="Normal (Web)"/>
    <w:basedOn w:val="Normal0"/>
    <w:qFormat/>
    <w:pPr>
      <w:spacing w:before="100" w:beforeAutospacing="1" w:after="100" w:afterAutospacing="1" w:line="240" w:lineRule="auto"/>
      <w:ind w:right="0"/>
    </w:pPr>
    <w:rPr>
      <w:rFonts w:ascii="Times New Roman" w:eastAsia="Times New Roman" w:hAnsi="Times New Roman" w:cs="Times New Roman"/>
      <w:sz w:val="24"/>
      <w:szCs w:val="24"/>
    </w:rPr>
  </w:style>
  <w:style w:type="character" w:customStyle="1" w:styleId="Page01-Side-bar-navyChar">
    <w:name w:val="Page 01-Side-bar-navy Char"/>
    <w:rPr>
      <w:color w:val="232C67"/>
      <w:w w:val="100"/>
      <w:position w:val="-1"/>
      <w:sz w:val="20"/>
      <w:effect w:val="none"/>
      <w:vertAlign w:val="baseline"/>
      <w:cs w:val="0"/>
      <w:em w:val="none"/>
    </w:rPr>
  </w:style>
  <w:style w:type="paragraph" w:customStyle="1" w:styleId="Text">
    <w:name w:val="Text"/>
    <w:basedOn w:val="Normal0"/>
    <w:pPr>
      <w:ind w:right="0"/>
    </w:pPr>
  </w:style>
  <w:style w:type="character" w:customStyle="1" w:styleId="TextChar">
    <w:name w:val="Text Char"/>
    <w:basedOn w:val="DefaultParagraphFont"/>
    <w:rPr>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cde.state.co.us/accountability/performanceframework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de.state.co.us/accountability/stateaccountability"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94bS2ZK7oYBKBR4QyHZF3mo3dA==">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652</Words>
  <Characters>3719</Characters>
  <Application>Microsoft Office Word</Application>
  <DocSecurity>0</DocSecurity>
  <Lines>30</Lines>
  <Paragraphs>8</Paragraphs>
  <ScaleCrop>false</ScaleCrop>
  <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Madorin, Acacia</dc:creator>
  <cp:lastModifiedBy>Wales, Aislinn</cp:lastModifiedBy>
  <cp:revision>3</cp:revision>
  <dcterms:created xsi:type="dcterms:W3CDTF">2019-07-10T14:54:00Z</dcterms:created>
  <dcterms:modified xsi:type="dcterms:W3CDTF">2024-01-31T15:53:00Z</dcterms:modified>
</cp:coreProperties>
</file>