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E7360" w14:textId="77777777" w:rsidR="00993290" w:rsidRDefault="00000000">
      <w:pPr>
        <w:pStyle w:val="Heading1"/>
        <w:ind w:left="2" w:hanging="4"/>
      </w:pPr>
      <w:bookmarkStart w:id="0" w:name="_heading=h.4vz9twq1ro88" w:colFirst="0" w:colLast="0"/>
      <w:bookmarkEnd w:id="0"/>
      <w:r>
        <w:rPr>
          <w:sz w:val="44"/>
          <w:szCs w:val="44"/>
        </w:rPr>
        <w:t>2023 Informational Results for Performance Frameworks</w:t>
      </w:r>
    </w:p>
    <w:p w14:paraId="0AFD22F6" w14:textId="77777777" w:rsidR="00993290" w:rsidRDefault="00993290">
      <w:pPr>
        <w:spacing w:before="200"/>
        <w:rPr>
          <w:rFonts w:ascii="Trebuchet MS" w:eastAsia="Trebuchet MS" w:hAnsi="Trebuchet MS" w:cs="Trebuchet MS"/>
          <w:sz w:val="28"/>
          <w:szCs w:val="28"/>
        </w:rPr>
      </w:pPr>
    </w:p>
    <w:p w14:paraId="2C32FF3A" w14:textId="77777777" w:rsidR="00993290" w:rsidRDefault="00000000">
      <w:pPr>
        <w:spacing w:before="200" w:line="259" w:lineRule="auto"/>
        <w:rPr>
          <w:b/>
          <w:color w:val="FFFFFF"/>
          <w:sz w:val="32"/>
          <w:szCs w:val="32"/>
        </w:rPr>
      </w:pPr>
      <w:r>
        <w:rPr>
          <w:rFonts w:ascii="Trebuchet MS" w:eastAsia="Trebuchet MS" w:hAnsi="Trebuchet MS" w:cs="Trebuchet MS"/>
          <w:b/>
          <w:color w:val="274E13"/>
          <w:sz w:val="28"/>
          <w:szCs w:val="28"/>
        </w:rPr>
        <w:t>Overview</w:t>
      </w:r>
    </w:p>
    <w:p w14:paraId="3B760EF7" w14:textId="77777777" w:rsidR="00993290" w:rsidRDefault="00000000">
      <w:pPr>
        <w:spacing w:after="200" w:line="259" w:lineRule="auto"/>
        <w:rPr>
          <w:sz w:val="22"/>
          <w:szCs w:val="22"/>
        </w:rPr>
      </w:pPr>
      <w:r>
        <w:rPr>
          <w:sz w:val="22"/>
          <w:szCs w:val="22"/>
        </w:rPr>
        <w:t xml:space="preserve">The state is re-introducing two measures on the performance frameworks to align with state statute. These measures include: CMAS Science for all schools and Attendance and Truancy for Alternative Education Campuses (AECs).  In November 2023, the State Board of Education voted to add science to the frameworks, but to delay inclusion of an On Track Growth indicator and two proposed higher bar sub-indicators to the Postsecondary and Workforce Readiness (PWR) indicator.  The department is expected to release On Track Growth data for public reporting for sites where available (e.g., </w:t>
      </w:r>
      <w:proofErr w:type="gramStart"/>
      <w:r>
        <w:rPr>
          <w:sz w:val="22"/>
          <w:szCs w:val="22"/>
        </w:rPr>
        <w:t>elementary</w:t>
      </w:r>
      <w:proofErr w:type="gramEnd"/>
      <w:r>
        <w:rPr>
          <w:sz w:val="22"/>
          <w:szCs w:val="22"/>
        </w:rPr>
        <w:t xml:space="preserve"> and middle school levels) for transparency and school improvement efforts.  </w:t>
      </w:r>
      <w:proofErr w:type="gramStart"/>
      <w:r>
        <w:rPr>
          <w:sz w:val="22"/>
          <w:szCs w:val="22"/>
        </w:rPr>
        <w:t>Changes</w:t>
      </w:r>
      <w:proofErr w:type="gramEnd"/>
      <w:r>
        <w:rPr>
          <w:sz w:val="22"/>
          <w:szCs w:val="22"/>
        </w:rPr>
        <w:t xml:space="preserve"> detailed below include measure descriptions, current data release timelines, and how these changes will impact schools and districts. This resource assumes knowledge about </w:t>
      </w:r>
      <w:hyperlink r:id="rId7">
        <w:r>
          <w:rPr>
            <w:color w:val="1155CC"/>
            <w:sz w:val="22"/>
            <w:szCs w:val="22"/>
            <w:u w:val="single"/>
          </w:rPr>
          <w:t>state accountability</w:t>
        </w:r>
      </w:hyperlink>
      <w:r>
        <w:rPr>
          <w:sz w:val="22"/>
          <w:szCs w:val="22"/>
        </w:rPr>
        <w:t xml:space="preserve"> and </w:t>
      </w:r>
      <w:hyperlink r:id="rId8">
        <w:r>
          <w:rPr>
            <w:color w:val="1155CC"/>
            <w:sz w:val="22"/>
            <w:szCs w:val="22"/>
            <w:u w:val="single"/>
          </w:rPr>
          <w:t>state identifications</w:t>
        </w:r>
      </w:hyperlink>
      <w:r>
        <w:rPr>
          <w:sz w:val="22"/>
          <w:szCs w:val="22"/>
        </w:rPr>
        <w:t xml:space="preserve">. </w:t>
      </w:r>
    </w:p>
    <w:p w14:paraId="3B28EABB" w14:textId="77777777" w:rsidR="00993290" w:rsidRDefault="00000000">
      <w:pPr>
        <w:spacing w:before="200" w:after="200" w:line="259" w:lineRule="auto"/>
        <w:rPr>
          <w:rFonts w:ascii="Trebuchet MS" w:eastAsia="Trebuchet MS" w:hAnsi="Trebuchet MS" w:cs="Trebuchet MS"/>
          <w:b/>
          <w:color w:val="274E13"/>
          <w:sz w:val="28"/>
          <w:szCs w:val="28"/>
        </w:rPr>
      </w:pPr>
      <w:r>
        <w:rPr>
          <w:rFonts w:ascii="Trebuchet MS" w:eastAsia="Trebuchet MS" w:hAnsi="Trebuchet MS" w:cs="Trebuchet MS"/>
          <w:b/>
          <w:color w:val="274E13"/>
          <w:sz w:val="28"/>
          <w:szCs w:val="28"/>
        </w:rPr>
        <w:t>2023 Informational Data Release</w:t>
      </w:r>
    </w:p>
    <w:p w14:paraId="2BC1C8F9" w14:textId="77777777" w:rsidR="00993290" w:rsidRDefault="00000000">
      <w:pPr>
        <w:spacing w:line="259" w:lineRule="auto"/>
        <w:rPr>
          <w:b/>
          <w:color w:val="38761D"/>
          <w:sz w:val="26"/>
          <w:szCs w:val="26"/>
        </w:rPr>
      </w:pPr>
      <w:r>
        <w:rPr>
          <w:b/>
          <w:color w:val="38761D"/>
          <w:sz w:val="26"/>
          <w:szCs w:val="26"/>
        </w:rPr>
        <w:t>CMAS Science Results</w:t>
      </w:r>
    </w:p>
    <w:p w14:paraId="4447C569" w14:textId="77777777" w:rsidR="00993290" w:rsidRDefault="00000000">
      <w:pPr>
        <w:spacing w:after="200" w:line="259" w:lineRule="auto"/>
        <w:rPr>
          <w:sz w:val="22"/>
          <w:szCs w:val="22"/>
        </w:rPr>
      </w:pPr>
      <w:r>
        <w:rPr>
          <w:sz w:val="22"/>
          <w:szCs w:val="22"/>
        </w:rPr>
        <w:t xml:space="preserve">The CMAS science assessment reflected the revised 2020 Colorado Academic Standards for the first time in Spring 2022, however, scale scores and performance levels were not initially available. For this reason, science achievement results were not factored into the 2022 Transitional Frameworks. Instead, science achievement results were re-introduced in </w:t>
      </w:r>
      <w:proofErr w:type="gramStart"/>
      <w:r>
        <w:rPr>
          <w:sz w:val="22"/>
          <w:szCs w:val="22"/>
        </w:rPr>
        <w:t>an  informational</w:t>
      </w:r>
      <w:proofErr w:type="gramEnd"/>
      <w:r>
        <w:rPr>
          <w:sz w:val="22"/>
          <w:szCs w:val="22"/>
        </w:rPr>
        <w:t xml:space="preserve"> performance framework report in January 2024. CMAS science achievement is scheduled to be included in the performance framework for points in fall 2024. CDE does not plan to include CMAS science participation results for accountability purposes in 2024 performance frameworks, such as in the “decreased due to participation” calculation.</w:t>
      </w:r>
    </w:p>
    <w:p w14:paraId="106D1587" w14:textId="77777777" w:rsidR="00993290" w:rsidRDefault="00000000">
      <w:pPr>
        <w:spacing w:after="200" w:line="259" w:lineRule="auto"/>
        <w:rPr>
          <w:sz w:val="22"/>
          <w:szCs w:val="22"/>
        </w:rPr>
      </w:pPr>
      <w:r>
        <w:rPr>
          <w:sz w:val="22"/>
          <w:szCs w:val="22"/>
        </w:rPr>
        <w:t>The cut points for CMAS science mean scale scores have been updated based on the most recently available year of data. The cut points were established as they are for other traditional framework measures: Norming on all public schools by Elementary, Middle, and High school level, and cuts based on the 15th, 50th, and 85th percentiles. CDE plans to investigate these cut points when 2024 data becomes available.</w:t>
      </w:r>
    </w:p>
    <w:tbl>
      <w:tblPr>
        <w:tblStyle w:val="a"/>
        <w:tblW w:w="109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736"/>
        <w:gridCol w:w="2736"/>
        <w:gridCol w:w="2736"/>
        <w:gridCol w:w="2736"/>
      </w:tblGrid>
      <w:tr w:rsidR="00993290" w14:paraId="514216F9" w14:textId="77777777" w:rsidTr="00B03BA1">
        <w:tc>
          <w:tcPr>
            <w:tcW w:w="2736" w:type="dxa"/>
            <w:shd w:val="clear" w:color="auto" w:fill="auto"/>
            <w:tcMar>
              <w:top w:w="100" w:type="dxa"/>
              <w:left w:w="100" w:type="dxa"/>
              <w:bottom w:w="100" w:type="dxa"/>
              <w:right w:w="100" w:type="dxa"/>
            </w:tcMar>
          </w:tcPr>
          <w:p w14:paraId="43DFA15A" w14:textId="77777777" w:rsidR="00993290" w:rsidRDefault="00000000">
            <w:pPr>
              <w:widowControl w:val="0"/>
              <w:rPr>
                <w:b/>
                <w:sz w:val="22"/>
                <w:szCs w:val="22"/>
              </w:rPr>
            </w:pPr>
            <w:r>
              <w:rPr>
                <w:b/>
                <w:sz w:val="22"/>
                <w:szCs w:val="22"/>
              </w:rPr>
              <w:t>Rating and Percentile Range</w:t>
            </w:r>
          </w:p>
        </w:tc>
        <w:tc>
          <w:tcPr>
            <w:tcW w:w="2736" w:type="dxa"/>
            <w:shd w:val="clear" w:color="auto" w:fill="auto"/>
            <w:tcMar>
              <w:top w:w="100" w:type="dxa"/>
              <w:left w:w="100" w:type="dxa"/>
              <w:bottom w:w="100" w:type="dxa"/>
              <w:right w:w="100" w:type="dxa"/>
            </w:tcMar>
          </w:tcPr>
          <w:p w14:paraId="753DD435" w14:textId="77777777" w:rsidR="00993290" w:rsidRDefault="00000000">
            <w:pPr>
              <w:widowControl w:val="0"/>
              <w:rPr>
                <w:b/>
                <w:sz w:val="22"/>
                <w:szCs w:val="22"/>
              </w:rPr>
            </w:pPr>
            <w:r>
              <w:rPr>
                <w:b/>
                <w:sz w:val="22"/>
                <w:szCs w:val="22"/>
              </w:rPr>
              <w:t>Elementary</w:t>
            </w:r>
          </w:p>
        </w:tc>
        <w:tc>
          <w:tcPr>
            <w:tcW w:w="2736" w:type="dxa"/>
            <w:shd w:val="clear" w:color="auto" w:fill="auto"/>
            <w:tcMar>
              <w:top w:w="100" w:type="dxa"/>
              <w:left w:w="100" w:type="dxa"/>
              <w:bottom w:w="100" w:type="dxa"/>
              <w:right w:w="100" w:type="dxa"/>
            </w:tcMar>
          </w:tcPr>
          <w:p w14:paraId="6002DF47" w14:textId="77777777" w:rsidR="00993290" w:rsidRDefault="00000000">
            <w:pPr>
              <w:widowControl w:val="0"/>
              <w:rPr>
                <w:b/>
                <w:sz w:val="22"/>
                <w:szCs w:val="22"/>
              </w:rPr>
            </w:pPr>
            <w:r>
              <w:rPr>
                <w:b/>
                <w:sz w:val="22"/>
                <w:szCs w:val="22"/>
              </w:rPr>
              <w:t>Middle</w:t>
            </w:r>
          </w:p>
        </w:tc>
        <w:tc>
          <w:tcPr>
            <w:tcW w:w="2736" w:type="dxa"/>
            <w:shd w:val="clear" w:color="auto" w:fill="auto"/>
            <w:tcMar>
              <w:top w:w="100" w:type="dxa"/>
              <w:left w:w="100" w:type="dxa"/>
              <w:bottom w:w="100" w:type="dxa"/>
              <w:right w:w="100" w:type="dxa"/>
            </w:tcMar>
          </w:tcPr>
          <w:p w14:paraId="693C8187" w14:textId="77777777" w:rsidR="00993290" w:rsidRDefault="00000000">
            <w:pPr>
              <w:widowControl w:val="0"/>
              <w:rPr>
                <w:b/>
                <w:sz w:val="22"/>
                <w:szCs w:val="22"/>
              </w:rPr>
            </w:pPr>
            <w:r>
              <w:rPr>
                <w:b/>
                <w:sz w:val="22"/>
                <w:szCs w:val="22"/>
              </w:rPr>
              <w:t xml:space="preserve">High </w:t>
            </w:r>
          </w:p>
        </w:tc>
      </w:tr>
      <w:tr w:rsidR="00993290" w14:paraId="4C6519CA" w14:textId="77777777" w:rsidTr="00B03BA1">
        <w:tc>
          <w:tcPr>
            <w:tcW w:w="2736" w:type="dxa"/>
            <w:shd w:val="clear" w:color="auto" w:fill="EA9999"/>
            <w:tcMar>
              <w:top w:w="100" w:type="dxa"/>
              <w:left w:w="100" w:type="dxa"/>
              <w:bottom w:w="100" w:type="dxa"/>
              <w:right w:w="100" w:type="dxa"/>
            </w:tcMar>
          </w:tcPr>
          <w:p w14:paraId="6F781CC1" w14:textId="77777777" w:rsidR="00993290" w:rsidRDefault="00000000">
            <w:pPr>
              <w:widowControl w:val="0"/>
              <w:rPr>
                <w:sz w:val="22"/>
                <w:szCs w:val="22"/>
              </w:rPr>
            </w:pPr>
            <w:r>
              <w:rPr>
                <w:sz w:val="22"/>
                <w:szCs w:val="22"/>
              </w:rPr>
              <w:t>Does Not Meet (1st to 14th percentile)</w:t>
            </w:r>
          </w:p>
        </w:tc>
        <w:tc>
          <w:tcPr>
            <w:tcW w:w="2736" w:type="dxa"/>
            <w:shd w:val="clear" w:color="auto" w:fill="EA9999"/>
            <w:tcMar>
              <w:top w:w="100" w:type="dxa"/>
              <w:left w:w="100" w:type="dxa"/>
              <w:bottom w:w="100" w:type="dxa"/>
              <w:right w:w="100" w:type="dxa"/>
            </w:tcMar>
          </w:tcPr>
          <w:p w14:paraId="6DF41132" w14:textId="77777777" w:rsidR="00993290" w:rsidRDefault="00000000">
            <w:pPr>
              <w:widowControl w:val="0"/>
              <w:rPr>
                <w:sz w:val="22"/>
                <w:szCs w:val="22"/>
              </w:rPr>
            </w:pPr>
            <w:r>
              <w:rPr>
                <w:sz w:val="22"/>
                <w:szCs w:val="22"/>
              </w:rPr>
              <w:t>650 to 713.3</w:t>
            </w:r>
          </w:p>
        </w:tc>
        <w:tc>
          <w:tcPr>
            <w:tcW w:w="2736" w:type="dxa"/>
            <w:shd w:val="clear" w:color="auto" w:fill="EA9999"/>
            <w:tcMar>
              <w:top w:w="100" w:type="dxa"/>
              <w:left w:w="100" w:type="dxa"/>
              <w:bottom w:w="100" w:type="dxa"/>
              <w:right w:w="100" w:type="dxa"/>
            </w:tcMar>
          </w:tcPr>
          <w:p w14:paraId="47449962" w14:textId="77777777" w:rsidR="00993290" w:rsidRDefault="00000000">
            <w:pPr>
              <w:widowControl w:val="0"/>
              <w:rPr>
                <w:sz w:val="22"/>
                <w:szCs w:val="22"/>
              </w:rPr>
            </w:pPr>
            <w:r>
              <w:rPr>
                <w:sz w:val="22"/>
                <w:szCs w:val="22"/>
              </w:rPr>
              <w:t>650 to 714.5</w:t>
            </w:r>
          </w:p>
        </w:tc>
        <w:tc>
          <w:tcPr>
            <w:tcW w:w="2736" w:type="dxa"/>
            <w:shd w:val="clear" w:color="auto" w:fill="EA9999"/>
            <w:tcMar>
              <w:top w:w="100" w:type="dxa"/>
              <w:left w:w="100" w:type="dxa"/>
              <w:bottom w:w="100" w:type="dxa"/>
              <w:right w:w="100" w:type="dxa"/>
            </w:tcMar>
          </w:tcPr>
          <w:p w14:paraId="2DBD25EF" w14:textId="77777777" w:rsidR="00993290" w:rsidRDefault="00000000">
            <w:pPr>
              <w:widowControl w:val="0"/>
              <w:rPr>
                <w:sz w:val="22"/>
                <w:szCs w:val="22"/>
              </w:rPr>
            </w:pPr>
            <w:r>
              <w:rPr>
                <w:sz w:val="22"/>
                <w:szCs w:val="22"/>
              </w:rPr>
              <w:t>650 to 720.1</w:t>
            </w:r>
          </w:p>
        </w:tc>
      </w:tr>
      <w:tr w:rsidR="00993290" w14:paraId="3CD6E0BA" w14:textId="77777777" w:rsidTr="00B03BA1">
        <w:tc>
          <w:tcPr>
            <w:tcW w:w="2736" w:type="dxa"/>
            <w:shd w:val="clear" w:color="auto" w:fill="FFE599"/>
            <w:tcMar>
              <w:top w:w="100" w:type="dxa"/>
              <w:left w:w="100" w:type="dxa"/>
              <w:bottom w:w="100" w:type="dxa"/>
              <w:right w:w="100" w:type="dxa"/>
            </w:tcMar>
          </w:tcPr>
          <w:p w14:paraId="5D9B3DA9" w14:textId="77777777" w:rsidR="00993290" w:rsidRDefault="00000000">
            <w:pPr>
              <w:widowControl w:val="0"/>
              <w:rPr>
                <w:sz w:val="22"/>
                <w:szCs w:val="22"/>
              </w:rPr>
            </w:pPr>
            <w:r>
              <w:rPr>
                <w:sz w:val="22"/>
                <w:szCs w:val="22"/>
              </w:rPr>
              <w:t>Approaching (15th to 49th percentile)</w:t>
            </w:r>
          </w:p>
        </w:tc>
        <w:tc>
          <w:tcPr>
            <w:tcW w:w="2736" w:type="dxa"/>
            <w:shd w:val="clear" w:color="auto" w:fill="FFE599"/>
            <w:tcMar>
              <w:top w:w="100" w:type="dxa"/>
              <w:left w:w="100" w:type="dxa"/>
              <w:bottom w:w="100" w:type="dxa"/>
              <w:right w:w="100" w:type="dxa"/>
            </w:tcMar>
          </w:tcPr>
          <w:p w14:paraId="27997016" w14:textId="77777777" w:rsidR="00993290" w:rsidRDefault="00000000">
            <w:pPr>
              <w:widowControl w:val="0"/>
              <w:rPr>
                <w:sz w:val="22"/>
                <w:szCs w:val="22"/>
              </w:rPr>
            </w:pPr>
            <w:r>
              <w:rPr>
                <w:sz w:val="22"/>
                <w:szCs w:val="22"/>
              </w:rPr>
              <w:t>713.4 to 733.0</w:t>
            </w:r>
          </w:p>
        </w:tc>
        <w:tc>
          <w:tcPr>
            <w:tcW w:w="2736" w:type="dxa"/>
            <w:shd w:val="clear" w:color="auto" w:fill="FFE599"/>
            <w:tcMar>
              <w:top w:w="100" w:type="dxa"/>
              <w:left w:w="100" w:type="dxa"/>
              <w:bottom w:w="100" w:type="dxa"/>
              <w:right w:w="100" w:type="dxa"/>
            </w:tcMar>
          </w:tcPr>
          <w:p w14:paraId="446DC0DA" w14:textId="77777777" w:rsidR="00993290" w:rsidRDefault="00000000">
            <w:pPr>
              <w:widowControl w:val="0"/>
              <w:rPr>
                <w:sz w:val="22"/>
                <w:szCs w:val="22"/>
              </w:rPr>
            </w:pPr>
            <w:r>
              <w:rPr>
                <w:sz w:val="22"/>
                <w:szCs w:val="22"/>
              </w:rPr>
              <w:t>714.6 to 732.4</w:t>
            </w:r>
          </w:p>
        </w:tc>
        <w:tc>
          <w:tcPr>
            <w:tcW w:w="2736" w:type="dxa"/>
            <w:shd w:val="clear" w:color="auto" w:fill="FFE599"/>
            <w:tcMar>
              <w:top w:w="100" w:type="dxa"/>
              <w:left w:w="100" w:type="dxa"/>
              <w:bottom w:w="100" w:type="dxa"/>
              <w:right w:w="100" w:type="dxa"/>
            </w:tcMar>
          </w:tcPr>
          <w:p w14:paraId="418C4243" w14:textId="77777777" w:rsidR="00993290" w:rsidRDefault="00000000">
            <w:pPr>
              <w:widowControl w:val="0"/>
              <w:rPr>
                <w:sz w:val="22"/>
                <w:szCs w:val="22"/>
              </w:rPr>
            </w:pPr>
            <w:r>
              <w:rPr>
                <w:sz w:val="22"/>
                <w:szCs w:val="22"/>
              </w:rPr>
              <w:t>720.2 to 734.3</w:t>
            </w:r>
          </w:p>
        </w:tc>
      </w:tr>
      <w:tr w:rsidR="00993290" w14:paraId="4A4A5069" w14:textId="77777777" w:rsidTr="00B03BA1">
        <w:tc>
          <w:tcPr>
            <w:tcW w:w="2736" w:type="dxa"/>
            <w:shd w:val="clear" w:color="auto" w:fill="B6D7A8"/>
            <w:tcMar>
              <w:top w:w="100" w:type="dxa"/>
              <w:left w:w="100" w:type="dxa"/>
              <w:bottom w:w="100" w:type="dxa"/>
              <w:right w:w="100" w:type="dxa"/>
            </w:tcMar>
          </w:tcPr>
          <w:p w14:paraId="1A7817FD" w14:textId="77777777" w:rsidR="00993290" w:rsidRDefault="00000000">
            <w:pPr>
              <w:widowControl w:val="0"/>
              <w:rPr>
                <w:sz w:val="22"/>
                <w:szCs w:val="22"/>
              </w:rPr>
            </w:pPr>
            <w:r>
              <w:rPr>
                <w:sz w:val="22"/>
                <w:szCs w:val="22"/>
              </w:rPr>
              <w:t>Meets (50th to 84th percentile)</w:t>
            </w:r>
          </w:p>
        </w:tc>
        <w:tc>
          <w:tcPr>
            <w:tcW w:w="2736" w:type="dxa"/>
            <w:shd w:val="clear" w:color="auto" w:fill="B6D7A8"/>
            <w:tcMar>
              <w:top w:w="100" w:type="dxa"/>
              <w:left w:w="100" w:type="dxa"/>
              <w:bottom w:w="100" w:type="dxa"/>
              <w:right w:w="100" w:type="dxa"/>
            </w:tcMar>
          </w:tcPr>
          <w:p w14:paraId="0C3D0547" w14:textId="77777777" w:rsidR="00993290" w:rsidRDefault="00000000">
            <w:pPr>
              <w:widowControl w:val="0"/>
              <w:rPr>
                <w:sz w:val="22"/>
                <w:szCs w:val="22"/>
              </w:rPr>
            </w:pPr>
            <w:r>
              <w:rPr>
                <w:sz w:val="22"/>
                <w:szCs w:val="22"/>
              </w:rPr>
              <w:t>733.1 to 750.1</w:t>
            </w:r>
          </w:p>
        </w:tc>
        <w:tc>
          <w:tcPr>
            <w:tcW w:w="2736" w:type="dxa"/>
            <w:shd w:val="clear" w:color="auto" w:fill="B6D7A8"/>
            <w:tcMar>
              <w:top w:w="100" w:type="dxa"/>
              <w:left w:w="100" w:type="dxa"/>
              <w:bottom w:w="100" w:type="dxa"/>
              <w:right w:w="100" w:type="dxa"/>
            </w:tcMar>
          </w:tcPr>
          <w:p w14:paraId="1C002965" w14:textId="77777777" w:rsidR="00993290" w:rsidRDefault="00000000">
            <w:pPr>
              <w:widowControl w:val="0"/>
              <w:rPr>
                <w:sz w:val="22"/>
                <w:szCs w:val="22"/>
              </w:rPr>
            </w:pPr>
            <w:r>
              <w:rPr>
                <w:sz w:val="22"/>
                <w:szCs w:val="22"/>
              </w:rPr>
              <w:t>732.5 to 748.7</w:t>
            </w:r>
          </w:p>
        </w:tc>
        <w:tc>
          <w:tcPr>
            <w:tcW w:w="2736" w:type="dxa"/>
            <w:shd w:val="clear" w:color="auto" w:fill="B6D7A8"/>
            <w:tcMar>
              <w:top w:w="100" w:type="dxa"/>
              <w:left w:w="100" w:type="dxa"/>
              <w:bottom w:w="100" w:type="dxa"/>
              <w:right w:w="100" w:type="dxa"/>
            </w:tcMar>
          </w:tcPr>
          <w:p w14:paraId="4D40CECC" w14:textId="77777777" w:rsidR="00993290" w:rsidRDefault="00000000">
            <w:pPr>
              <w:widowControl w:val="0"/>
              <w:rPr>
                <w:sz w:val="22"/>
                <w:szCs w:val="22"/>
              </w:rPr>
            </w:pPr>
            <w:r>
              <w:rPr>
                <w:sz w:val="22"/>
                <w:szCs w:val="22"/>
              </w:rPr>
              <w:t>734.4 to 745.3</w:t>
            </w:r>
          </w:p>
        </w:tc>
      </w:tr>
      <w:tr w:rsidR="00993290" w14:paraId="47CBE7EA" w14:textId="77777777" w:rsidTr="00B03BA1">
        <w:tc>
          <w:tcPr>
            <w:tcW w:w="2736" w:type="dxa"/>
            <w:shd w:val="clear" w:color="auto" w:fill="A4C2F4"/>
            <w:tcMar>
              <w:top w:w="100" w:type="dxa"/>
              <w:left w:w="100" w:type="dxa"/>
              <w:bottom w:w="100" w:type="dxa"/>
              <w:right w:w="100" w:type="dxa"/>
            </w:tcMar>
          </w:tcPr>
          <w:p w14:paraId="1FFB9FFE" w14:textId="77777777" w:rsidR="00993290" w:rsidRDefault="00000000">
            <w:pPr>
              <w:widowControl w:val="0"/>
              <w:rPr>
                <w:sz w:val="22"/>
                <w:szCs w:val="22"/>
              </w:rPr>
            </w:pPr>
            <w:r>
              <w:rPr>
                <w:sz w:val="22"/>
                <w:szCs w:val="22"/>
              </w:rPr>
              <w:t>Exceeds (85th to 99th percentile)</w:t>
            </w:r>
          </w:p>
        </w:tc>
        <w:tc>
          <w:tcPr>
            <w:tcW w:w="2736" w:type="dxa"/>
            <w:shd w:val="clear" w:color="auto" w:fill="A4C2F4"/>
            <w:tcMar>
              <w:top w:w="100" w:type="dxa"/>
              <w:left w:w="100" w:type="dxa"/>
              <w:bottom w:w="100" w:type="dxa"/>
              <w:right w:w="100" w:type="dxa"/>
            </w:tcMar>
          </w:tcPr>
          <w:p w14:paraId="13359091" w14:textId="77777777" w:rsidR="00993290" w:rsidRDefault="00000000">
            <w:pPr>
              <w:widowControl w:val="0"/>
              <w:rPr>
                <w:sz w:val="22"/>
                <w:szCs w:val="22"/>
              </w:rPr>
            </w:pPr>
            <w:r>
              <w:rPr>
                <w:sz w:val="22"/>
                <w:szCs w:val="22"/>
              </w:rPr>
              <w:t>750.2 to 850</w:t>
            </w:r>
          </w:p>
        </w:tc>
        <w:tc>
          <w:tcPr>
            <w:tcW w:w="2736" w:type="dxa"/>
            <w:shd w:val="clear" w:color="auto" w:fill="A4C2F4"/>
            <w:tcMar>
              <w:top w:w="100" w:type="dxa"/>
              <w:left w:w="100" w:type="dxa"/>
              <w:bottom w:w="100" w:type="dxa"/>
              <w:right w:w="100" w:type="dxa"/>
            </w:tcMar>
          </w:tcPr>
          <w:p w14:paraId="08F7D47C" w14:textId="77777777" w:rsidR="00993290" w:rsidRDefault="00000000">
            <w:pPr>
              <w:widowControl w:val="0"/>
              <w:rPr>
                <w:sz w:val="22"/>
                <w:szCs w:val="22"/>
              </w:rPr>
            </w:pPr>
            <w:r>
              <w:rPr>
                <w:sz w:val="22"/>
                <w:szCs w:val="22"/>
              </w:rPr>
              <w:t>748.8 to 850</w:t>
            </w:r>
          </w:p>
        </w:tc>
        <w:tc>
          <w:tcPr>
            <w:tcW w:w="2736" w:type="dxa"/>
            <w:shd w:val="clear" w:color="auto" w:fill="A4C2F4"/>
            <w:tcMar>
              <w:top w:w="100" w:type="dxa"/>
              <w:left w:w="100" w:type="dxa"/>
              <w:bottom w:w="100" w:type="dxa"/>
              <w:right w:w="100" w:type="dxa"/>
            </w:tcMar>
          </w:tcPr>
          <w:p w14:paraId="269F494D" w14:textId="77777777" w:rsidR="00993290" w:rsidRDefault="00000000">
            <w:pPr>
              <w:widowControl w:val="0"/>
              <w:rPr>
                <w:sz w:val="22"/>
                <w:szCs w:val="22"/>
              </w:rPr>
            </w:pPr>
            <w:r>
              <w:rPr>
                <w:sz w:val="22"/>
                <w:szCs w:val="22"/>
              </w:rPr>
              <w:t>745.4 to 850</w:t>
            </w:r>
          </w:p>
        </w:tc>
      </w:tr>
    </w:tbl>
    <w:p w14:paraId="748CC6C9" w14:textId="77777777" w:rsidR="00993290" w:rsidRDefault="00993290">
      <w:pPr>
        <w:spacing w:after="200" w:line="259" w:lineRule="auto"/>
        <w:rPr>
          <w:sz w:val="22"/>
          <w:szCs w:val="22"/>
        </w:rPr>
      </w:pPr>
    </w:p>
    <w:p w14:paraId="577B829B" w14:textId="77777777" w:rsidR="005D14D2" w:rsidRDefault="005D14D2">
      <w:pPr>
        <w:rPr>
          <w:b/>
          <w:color w:val="38761D"/>
          <w:sz w:val="26"/>
          <w:szCs w:val="26"/>
        </w:rPr>
      </w:pPr>
      <w:r>
        <w:rPr>
          <w:b/>
          <w:color w:val="38761D"/>
          <w:sz w:val="26"/>
          <w:szCs w:val="26"/>
        </w:rPr>
        <w:br w:type="page"/>
      </w:r>
    </w:p>
    <w:p w14:paraId="57B2F17F" w14:textId="3985A79A" w:rsidR="00993290" w:rsidRDefault="00000000">
      <w:pPr>
        <w:spacing w:line="259" w:lineRule="auto"/>
        <w:rPr>
          <w:b/>
          <w:color w:val="38761D"/>
          <w:sz w:val="26"/>
          <w:szCs w:val="26"/>
        </w:rPr>
      </w:pPr>
      <w:r>
        <w:rPr>
          <w:b/>
          <w:color w:val="38761D"/>
          <w:sz w:val="26"/>
          <w:szCs w:val="26"/>
        </w:rPr>
        <w:lastRenderedPageBreak/>
        <w:t>Alternative Education Campus (AEC) Performance Framework Changes</w:t>
      </w:r>
    </w:p>
    <w:p w14:paraId="06E7854F" w14:textId="77777777" w:rsidR="00993290" w:rsidRDefault="00000000">
      <w:pPr>
        <w:spacing w:after="200" w:line="259" w:lineRule="auto"/>
        <w:rPr>
          <w:sz w:val="22"/>
          <w:szCs w:val="22"/>
        </w:rPr>
      </w:pPr>
      <w:r>
        <w:rPr>
          <w:sz w:val="22"/>
          <w:szCs w:val="22"/>
        </w:rPr>
        <w:t>The attendance and truancy measures were not included in the 2022 AEC performance frameworks, due to changes to the attendance data collection, as well as impacts of the pandemic on enrollment and attendance. CDE has determined that these data are now consistent and comparable to previous years and is reintroducing them into the AEC frameworks.  Districts with AECs received informational reports for their AECs in January 2024 that included the impact of the attendance and truancy data, as well as science data.  The 2024 AEC performance frameworks are scheduled to include these same measures for points.</w:t>
      </w:r>
    </w:p>
    <w:p w14:paraId="7AF1D7F3" w14:textId="77777777" w:rsidR="00993290" w:rsidRDefault="00000000">
      <w:pPr>
        <w:spacing w:after="200" w:line="259" w:lineRule="auto"/>
        <w:rPr>
          <w:sz w:val="22"/>
          <w:szCs w:val="22"/>
        </w:rPr>
      </w:pPr>
      <w:r>
        <w:rPr>
          <w:sz w:val="22"/>
          <w:szCs w:val="22"/>
        </w:rPr>
        <w:t>The cut points for each of these reintroduced measures have been updated based on the most recently available three years of data (three years were available for attendance and truancy, and one year was available for CMAS Science). The cut points were established as they are for other AEC measures: Norming data included only AECs in the state, and cuts based on the 40th, 60th, and 90th percentiles. CDE plans to investigate these cut points when 2024 data becomes available.</w:t>
      </w:r>
    </w:p>
    <w:p w14:paraId="2AF68495" w14:textId="77777777" w:rsidR="00993290" w:rsidRDefault="00000000">
      <w:pPr>
        <w:spacing w:after="200" w:line="259" w:lineRule="auto"/>
        <w:rPr>
          <w:sz w:val="22"/>
          <w:szCs w:val="22"/>
        </w:rPr>
      </w:pPr>
      <w:r>
        <w:rPr>
          <w:sz w:val="22"/>
          <w:szCs w:val="22"/>
        </w:rPr>
        <w:t>The cut points for the reintroduced measures, as based on the most currently available data, are as follows:</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025"/>
        <w:gridCol w:w="2040"/>
        <w:gridCol w:w="1905"/>
        <w:gridCol w:w="1830"/>
      </w:tblGrid>
      <w:tr w:rsidR="00993290" w14:paraId="440B905E" w14:textId="77777777" w:rsidTr="00B03BA1">
        <w:tc>
          <w:tcPr>
            <w:tcW w:w="5025" w:type="dxa"/>
            <w:shd w:val="clear" w:color="auto" w:fill="auto"/>
            <w:tcMar>
              <w:top w:w="100" w:type="dxa"/>
              <w:left w:w="100" w:type="dxa"/>
              <w:bottom w:w="100" w:type="dxa"/>
              <w:right w:w="100" w:type="dxa"/>
            </w:tcMar>
          </w:tcPr>
          <w:p w14:paraId="4E4912FB" w14:textId="77777777" w:rsidR="00993290" w:rsidRDefault="00000000">
            <w:pPr>
              <w:widowControl w:val="0"/>
              <w:pBdr>
                <w:top w:val="nil"/>
                <w:left w:val="nil"/>
                <w:bottom w:val="nil"/>
                <w:right w:val="nil"/>
                <w:between w:val="nil"/>
              </w:pBdr>
              <w:rPr>
                <w:b/>
                <w:sz w:val="22"/>
                <w:szCs w:val="22"/>
              </w:rPr>
            </w:pPr>
            <w:r>
              <w:rPr>
                <w:b/>
                <w:sz w:val="22"/>
                <w:szCs w:val="22"/>
              </w:rPr>
              <w:t>Rating and Percentile Range</w:t>
            </w:r>
          </w:p>
        </w:tc>
        <w:tc>
          <w:tcPr>
            <w:tcW w:w="2040" w:type="dxa"/>
            <w:shd w:val="clear" w:color="auto" w:fill="auto"/>
            <w:tcMar>
              <w:top w:w="100" w:type="dxa"/>
              <w:left w:w="100" w:type="dxa"/>
              <w:bottom w:w="100" w:type="dxa"/>
              <w:right w:w="100" w:type="dxa"/>
            </w:tcMar>
          </w:tcPr>
          <w:p w14:paraId="646A12A1" w14:textId="77777777" w:rsidR="00993290" w:rsidRDefault="00000000">
            <w:pPr>
              <w:widowControl w:val="0"/>
              <w:pBdr>
                <w:top w:val="nil"/>
                <w:left w:val="nil"/>
                <w:bottom w:val="nil"/>
                <w:right w:val="nil"/>
                <w:between w:val="nil"/>
              </w:pBdr>
              <w:rPr>
                <w:b/>
                <w:sz w:val="22"/>
                <w:szCs w:val="22"/>
              </w:rPr>
            </w:pPr>
            <w:r>
              <w:rPr>
                <w:b/>
                <w:sz w:val="22"/>
                <w:szCs w:val="22"/>
              </w:rPr>
              <w:t>CMAS Science</w:t>
            </w:r>
          </w:p>
        </w:tc>
        <w:tc>
          <w:tcPr>
            <w:tcW w:w="1905" w:type="dxa"/>
            <w:shd w:val="clear" w:color="auto" w:fill="auto"/>
            <w:tcMar>
              <w:top w:w="100" w:type="dxa"/>
              <w:left w:w="100" w:type="dxa"/>
              <w:bottom w:w="100" w:type="dxa"/>
              <w:right w:w="100" w:type="dxa"/>
            </w:tcMar>
          </w:tcPr>
          <w:p w14:paraId="54599676" w14:textId="77777777" w:rsidR="00993290" w:rsidRDefault="00000000">
            <w:pPr>
              <w:widowControl w:val="0"/>
              <w:pBdr>
                <w:top w:val="nil"/>
                <w:left w:val="nil"/>
                <w:bottom w:val="nil"/>
                <w:right w:val="nil"/>
                <w:between w:val="nil"/>
              </w:pBdr>
              <w:rPr>
                <w:b/>
                <w:sz w:val="22"/>
                <w:szCs w:val="22"/>
              </w:rPr>
            </w:pPr>
            <w:r>
              <w:rPr>
                <w:b/>
                <w:sz w:val="22"/>
                <w:szCs w:val="22"/>
              </w:rPr>
              <w:t>Attendance</w:t>
            </w:r>
          </w:p>
        </w:tc>
        <w:tc>
          <w:tcPr>
            <w:tcW w:w="1830" w:type="dxa"/>
            <w:shd w:val="clear" w:color="auto" w:fill="auto"/>
            <w:tcMar>
              <w:top w:w="100" w:type="dxa"/>
              <w:left w:w="100" w:type="dxa"/>
              <w:bottom w:w="100" w:type="dxa"/>
              <w:right w:w="100" w:type="dxa"/>
            </w:tcMar>
          </w:tcPr>
          <w:p w14:paraId="0BEDFCE5" w14:textId="77777777" w:rsidR="00993290" w:rsidRDefault="00000000">
            <w:pPr>
              <w:widowControl w:val="0"/>
              <w:pBdr>
                <w:top w:val="nil"/>
                <w:left w:val="nil"/>
                <w:bottom w:val="nil"/>
                <w:right w:val="nil"/>
                <w:between w:val="nil"/>
              </w:pBdr>
              <w:rPr>
                <w:b/>
                <w:sz w:val="22"/>
                <w:szCs w:val="22"/>
              </w:rPr>
            </w:pPr>
            <w:r>
              <w:rPr>
                <w:b/>
                <w:sz w:val="22"/>
                <w:szCs w:val="22"/>
              </w:rPr>
              <w:t>Truancy</w:t>
            </w:r>
          </w:p>
        </w:tc>
      </w:tr>
      <w:tr w:rsidR="00993290" w14:paraId="77EF6BAF" w14:textId="77777777" w:rsidTr="00B03BA1">
        <w:tc>
          <w:tcPr>
            <w:tcW w:w="5025" w:type="dxa"/>
            <w:shd w:val="clear" w:color="auto" w:fill="EA9999"/>
            <w:tcMar>
              <w:top w:w="100" w:type="dxa"/>
              <w:left w:w="100" w:type="dxa"/>
              <w:bottom w:w="100" w:type="dxa"/>
              <w:right w:w="100" w:type="dxa"/>
            </w:tcMar>
          </w:tcPr>
          <w:p w14:paraId="0AAE4250" w14:textId="77777777" w:rsidR="00993290" w:rsidRDefault="00000000">
            <w:pPr>
              <w:widowControl w:val="0"/>
              <w:pBdr>
                <w:top w:val="nil"/>
                <w:left w:val="nil"/>
                <w:bottom w:val="nil"/>
                <w:right w:val="nil"/>
                <w:between w:val="nil"/>
              </w:pBdr>
              <w:rPr>
                <w:sz w:val="22"/>
                <w:szCs w:val="22"/>
              </w:rPr>
            </w:pPr>
            <w:r>
              <w:rPr>
                <w:sz w:val="22"/>
                <w:szCs w:val="22"/>
              </w:rPr>
              <w:t>Does Not Meet (1st to 39th percentile)</w:t>
            </w:r>
          </w:p>
        </w:tc>
        <w:tc>
          <w:tcPr>
            <w:tcW w:w="2040" w:type="dxa"/>
            <w:shd w:val="clear" w:color="auto" w:fill="EA9999"/>
            <w:tcMar>
              <w:top w:w="100" w:type="dxa"/>
              <w:left w:w="100" w:type="dxa"/>
              <w:bottom w:w="100" w:type="dxa"/>
              <w:right w:w="100" w:type="dxa"/>
            </w:tcMar>
          </w:tcPr>
          <w:p w14:paraId="5A32BA92" w14:textId="77777777" w:rsidR="00993290" w:rsidRDefault="00000000">
            <w:pPr>
              <w:widowControl w:val="0"/>
              <w:pBdr>
                <w:top w:val="nil"/>
                <w:left w:val="nil"/>
                <w:bottom w:val="nil"/>
                <w:right w:val="nil"/>
                <w:between w:val="nil"/>
              </w:pBdr>
              <w:rPr>
                <w:sz w:val="22"/>
                <w:szCs w:val="22"/>
              </w:rPr>
            </w:pPr>
            <w:r>
              <w:rPr>
                <w:sz w:val="22"/>
                <w:szCs w:val="22"/>
              </w:rPr>
              <w:t>650 to 705.7</w:t>
            </w:r>
          </w:p>
        </w:tc>
        <w:tc>
          <w:tcPr>
            <w:tcW w:w="1905" w:type="dxa"/>
            <w:shd w:val="clear" w:color="auto" w:fill="EA9999"/>
            <w:tcMar>
              <w:top w:w="100" w:type="dxa"/>
              <w:left w:w="100" w:type="dxa"/>
              <w:bottom w:w="100" w:type="dxa"/>
              <w:right w:w="100" w:type="dxa"/>
            </w:tcMar>
          </w:tcPr>
          <w:p w14:paraId="672C6620" w14:textId="77777777" w:rsidR="00993290" w:rsidRDefault="00000000">
            <w:pPr>
              <w:widowControl w:val="0"/>
              <w:pBdr>
                <w:top w:val="nil"/>
                <w:left w:val="nil"/>
                <w:bottom w:val="nil"/>
                <w:right w:val="nil"/>
                <w:between w:val="nil"/>
              </w:pBdr>
              <w:rPr>
                <w:sz w:val="22"/>
                <w:szCs w:val="22"/>
              </w:rPr>
            </w:pPr>
            <w:r>
              <w:rPr>
                <w:sz w:val="22"/>
                <w:szCs w:val="22"/>
              </w:rPr>
              <w:t>0 to 74.27</w:t>
            </w:r>
          </w:p>
        </w:tc>
        <w:tc>
          <w:tcPr>
            <w:tcW w:w="1830" w:type="dxa"/>
            <w:shd w:val="clear" w:color="auto" w:fill="EA9999"/>
            <w:tcMar>
              <w:top w:w="100" w:type="dxa"/>
              <w:left w:w="100" w:type="dxa"/>
              <w:bottom w:w="100" w:type="dxa"/>
              <w:right w:w="100" w:type="dxa"/>
            </w:tcMar>
          </w:tcPr>
          <w:p w14:paraId="2D56D9D4" w14:textId="77777777" w:rsidR="00993290" w:rsidRDefault="00000000">
            <w:pPr>
              <w:widowControl w:val="0"/>
              <w:pBdr>
                <w:top w:val="nil"/>
                <w:left w:val="nil"/>
                <w:bottom w:val="nil"/>
                <w:right w:val="nil"/>
                <w:between w:val="nil"/>
              </w:pBdr>
              <w:rPr>
                <w:sz w:val="22"/>
                <w:szCs w:val="22"/>
              </w:rPr>
            </w:pPr>
            <w:r>
              <w:rPr>
                <w:sz w:val="22"/>
                <w:szCs w:val="22"/>
              </w:rPr>
              <w:t>100 to 17.39</w:t>
            </w:r>
          </w:p>
        </w:tc>
      </w:tr>
      <w:tr w:rsidR="00993290" w14:paraId="48BADE27" w14:textId="77777777" w:rsidTr="00B03BA1">
        <w:tc>
          <w:tcPr>
            <w:tcW w:w="5025" w:type="dxa"/>
            <w:shd w:val="clear" w:color="auto" w:fill="FFE599"/>
            <w:tcMar>
              <w:top w:w="100" w:type="dxa"/>
              <w:left w:w="100" w:type="dxa"/>
              <w:bottom w:w="100" w:type="dxa"/>
              <w:right w:w="100" w:type="dxa"/>
            </w:tcMar>
          </w:tcPr>
          <w:p w14:paraId="37031854" w14:textId="77777777" w:rsidR="00993290" w:rsidRDefault="00000000">
            <w:pPr>
              <w:widowControl w:val="0"/>
              <w:pBdr>
                <w:top w:val="nil"/>
                <w:left w:val="nil"/>
                <w:bottom w:val="nil"/>
                <w:right w:val="nil"/>
                <w:between w:val="nil"/>
              </w:pBdr>
              <w:rPr>
                <w:sz w:val="22"/>
                <w:szCs w:val="22"/>
              </w:rPr>
            </w:pPr>
            <w:r>
              <w:rPr>
                <w:sz w:val="22"/>
                <w:szCs w:val="22"/>
              </w:rPr>
              <w:t>Approaching (40th to 59th percentile)</w:t>
            </w:r>
          </w:p>
        </w:tc>
        <w:tc>
          <w:tcPr>
            <w:tcW w:w="2040" w:type="dxa"/>
            <w:shd w:val="clear" w:color="auto" w:fill="FFE599"/>
            <w:tcMar>
              <w:top w:w="100" w:type="dxa"/>
              <w:left w:w="100" w:type="dxa"/>
              <w:bottom w:w="100" w:type="dxa"/>
              <w:right w:w="100" w:type="dxa"/>
            </w:tcMar>
          </w:tcPr>
          <w:p w14:paraId="0CC91CD2" w14:textId="77777777" w:rsidR="00993290" w:rsidRDefault="00000000">
            <w:pPr>
              <w:widowControl w:val="0"/>
              <w:pBdr>
                <w:top w:val="nil"/>
                <w:left w:val="nil"/>
                <w:bottom w:val="nil"/>
                <w:right w:val="nil"/>
                <w:between w:val="nil"/>
              </w:pBdr>
              <w:rPr>
                <w:sz w:val="22"/>
                <w:szCs w:val="22"/>
              </w:rPr>
            </w:pPr>
            <w:r>
              <w:rPr>
                <w:sz w:val="22"/>
                <w:szCs w:val="22"/>
              </w:rPr>
              <w:t>705.8 to 711.8</w:t>
            </w:r>
          </w:p>
        </w:tc>
        <w:tc>
          <w:tcPr>
            <w:tcW w:w="1905" w:type="dxa"/>
            <w:shd w:val="clear" w:color="auto" w:fill="FFE599"/>
            <w:tcMar>
              <w:top w:w="100" w:type="dxa"/>
              <w:left w:w="100" w:type="dxa"/>
              <w:bottom w:w="100" w:type="dxa"/>
              <w:right w:w="100" w:type="dxa"/>
            </w:tcMar>
          </w:tcPr>
          <w:p w14:paraId="1A6350A6" w14:textId="77777777" w:rsidR="00993290" w:rsidRDefault="00000000">
            <w:pPr>
              <w:widowControl w:val="0"/>
              <w:pBdr>
                <w:top w:val="nil"/>
                <w:left w:val="nil"/>
                <w:bottom w:val="nil"/>
                <w:right w:val="nil"/>
                <w:between w:val="nil"/>
              </w:pBdr>
              <w:rPr>
                <w:sz w:val="22"/>
                <w:szCs w:val="22"/>
              </w:rPr>
            </w:pPr>
            <w:r>
              <w:rPr>
                <w:sz w:val="22"/>
                <w:szCs w:val="22"/>
              </w:rPr>
              <w:t>74.28 to 80.48</w:t>
            </w:r>
          </w:p>
        </w:tc>
        <w:tc>
          <w:tcPr>
            <w:tcW w:w="1830" w:type="dxa"/>
            <w:shd w:val="clear" w:color="auto" w:fill="FFE599"/>
            <w:tcMar>
              <w:top w:w="100" w:type="dxa"/>
              <w:left w:w="100" w:type="dxa"/>
              <w:bottom w:w="100" w:type="dxa"/>
              <w:right w:w="100" w:type="dxa"/>
            </w:tcMar>
          </w:tcPr>
          <w:p w14:paraId="6F19B829" w14:textId="77777777" w:rsidR="00993290" w:rsidRDefault="00000000">
            <w:pPr>
              <w:widowControl w:val="0"/>
              <w:pBdr>
                <w:top w:val="nil"/>
                <w:left w:val="nil"/>
                <w:bottom w:val="nil"/>
                <w:right w:val="nil"/>
                <w:between w:val="nil"/>
              </w:pBdr>
              <w:rPr>
                <w:sz w:val="22"/>
                <w:szCs w:val="22"/>
              </w:rPr>
            </w:pPr>
            <w:r>
              <w:rPr>
                <w:sz w:val="22"/>
                <w:szCs w:val="22"/>
              </w:rPr>
              <w:t>17.38 to 11.66</w:t>
            </w:r>
          </w:p>
        </w:tc>
      </w:tr>
      <w:tr w:rsidR="00993290" w14:paraId="249C5F87" w14:textId="77777777" w:rsidTr="00B03BA1">
        <w:tc>
          <w:tcPr>
            <w:tcW w:w="5025" w:type="dxa"/>
            <w:shd w:val="clear" w:color="auto" w:fill="B6D7A8"/>
            <w:tcMar>
              <w:top w:w="100" w:type="dxa"/>
              <w:left w:w="100" w:type="dxa"/>
              <w:bottom w:w="100" w:type="dxa"/>
              <w:right w:w="100" w:type="dxa"/>
            </w:tcMar>
          </w:tcPr>
          <w:p w14:paraId="43E94F51" w14:textId="77777777" w:rsidR="00993290" w:rsidRDefault="00000000">
            <w:pPr>
              <w:widowControl w:val="0"/>
              <w:pBdr>
                <w:top w:val="nil"/>
                <w:left w:val="nil"/>
                <w:bottom w:val="nil"/>
                <w:right w:val="nil"/>
                <w:between w:val="nil"/>
              </w:pBdr>
              <w:rPr>
                <w:sz w:val="22"/>
                <w:szCs w:val="22"/>
              </w:rPr>
            </w:pPr>
            <w:r>
              <w:rPr>
                <w:sz w:val="22"/>
                <w:szCs w:val="22"/>
              </w:rPr>
              <w:t>Meets (60th to 89th percentile)</w:t>
            </w:r>
          </w:p>
        </w:tc>
        <w:tc>
          <w:tcPr>
            <w:tcW w:w="2040" w:type="dxa"/>
            <w:shd w:val="clear" w:color="auto" w:fill="B6D7A8"/>
            <w:tcMar>
              <w:top w:w="100" w:type="dxa"/>
              <w:left w:w="100" w:type="dxa"/>
              <w:bottom w:w="100" w:type="dxa"/>
              <w:right w:w="100" w:type="dxa"/>
            </w:tcMar>
          </w:tcPr>
          <w:p w14:paraId="6894A566" w14:textId="77777777" w:rsidR="00993290" w:rsidRDefault="00000000">
            <w:pPr>
              <w:widowControl w:val="0"/>
              <w:pBdr>
                <w:top w:val="nil"/>
                <w:left w:val="nil"/>
                <w:bottom w:val="nil"/>
                <w:right w:val="nil"/>
                <w:between w:val="nil"/>
              </w:pBdr>
              <w:rPr>
                <w:sz w:val="22"/>
                <w:szCs w:val="22"/>
              </w:rPr>
            </w:pPr>
            <w:r>
              <w:rPr>
                <w:sz w:val="22"/>
                <w:szCs w:val="22"/>
              </w:rPr>
              <w:t>711.9 to 734.4</w:t>
            </w:r>
          </w:p>
        </w:tc>
        <w:tc>
          <w:tcPr>
            <w:tcW w:w="1905" w:type="dxa"/>
            <w:shd w:val="clear" w:color="auto" w:fill="B6D7A8"/>
            <w:tcMar>
              <w:top w:w="100" w:type="dxa"/>
              <w:left w:w="100" w:type="dxa"/>
              <w:bottom w:w="100" w:type="dxa"/>
              <w:right w:w="100" w:type="dxa"/>
            </w:tcMar>
          </w:tcPr>
          <w:p w14:paraId="299A2521" w14:textId="77777777" w:rsidR="00993290" w:rsidRDefault="00000000">
            <w:pPr>
              <w:widowControl w:val="0"/>
              <w:pBdr>
                <w:top w:val="nil"/>
                <w:left w:val="nil"/>
                <w:bottom w:val="nil"/>
                <w:right w:val="nil"/>
                <w:between w:val="nil"/>
              </w:pBdr>
              <w:rPr>
                <w:sz w:val="22"/>
                <w:szCs w:val="22"/>
              </w:rPr>
            </w:pPr>
            <w:r>
              <w:rPr>
                <w:sz w:val="22"/>
                <w:szCs w:val="22"/>
              </w:rPr>
              <w:t>80.49 to 91.40</w:t>
            </w:r>
          </w:p>
        </w:tc>
        <w:tc>
          <w:tcPr>
            <w:tcW w:w="1830" w:type="dxa"/>
            <w:shd w:val="clear" w:color="auto" w:fill="B6D7A8"/>
            <w:tcMar>
              <w:top w:w="100" w:type="dxa"/>
              <w:left w:w="100" w:type="dxa"/>
              <w:bottom w:w="100" w:type="dxa"/>
              <w:right w:w="100" w:type="dxa"/>
            </w:tcMar>
          </w:tcPr>
          <w:p w14:paraId="198F2C1F" w14:textId="77777777" w:rsidR="00993290" w:rsidRDefault="00000000">
            <w:pPr>
              <w:widowControl w:val="0"/>
              <w:pBdr>
                <w:top w:val="nil"/>
                <w:left w:val="nil"/>
                <w:bottom w:val="nil"/>
                <w:right w:val="nil"/>
                <w:between w:val="nil"/>
              </w:pBdr>
              <w:rPr>
                <w:sz w:val="22"/>
                <w:szCs w:val="22"/>
              </w:rPr>
            </w:pPr>
            <w:r>
              <w:rPr>
                <w:sz w:val="22"/>
                <w:szCs w:val="22"/>
              </w:rPr>
              <w:t>11.65 to 3.10</w:t>
            </w:r>
          </w:p>
        </w:tc>
      </w:tr>
      <w:tr w:rsidR="00993290" w14:paraId="5F4CD681" w14:textId="77777777" w:rsidTr="00B03BA1">
        <w:tc>
          <w:tcPr>
            <w:tcW w:w="5025" w:type="dxa"/>
            <w:shd w:val="clear" w:color="auto" w:fill="A4C2F4"/>
            <w:tcMar>
              <w:top w:w="100" w:type="dxa"/>
              <w:left w:w="100" w:type="dxa"/>
              <w:bottom w:w="100" w:type="dxa"/>
              <w:right w:w="100" w:type="dxa"/>
            </w:tcMar>
          </w:tcPr>
          <w:p w14:paraId="1E0995B6" w14:textId="77777777" w:rsidR="00993290" w:rsidRDefault="00000000">
            <w:pPr>
              <w:widowControl w:val="0"/>
              <w:pBdr>
                <w:top w:val="nil"/>
                <w:left w:val="nil"/>
                <w:bottom w:val="nil"/>
                <w:right w:val="nil"/>
                <w:between w:val="nil"/>
              </w:pBdr>
              <w:rPr>
                <w:sz w:val="22"/>
                <w:szCs w:val="22"/>
              </w:rPr>
            </w:pPr>
            <w:r>
              <w:rPr>
                <w:sz w:val="22"/>
                <w:szCs w:val="22"/>
              </w:rPr>
              <w:t>Exceeds (90th to 99th percentile)</w:t>
            </w:r>
          </w:p>
        </w:tc>
        <w:tc>
          <w:tcPr>
            <w:tcW w:w="2040" w:type="dxa"/>
            <w:shd w:val="clear" w:color="auto" w:fill="A4C2F4"/>
            <w:tcMar>
              <w:top w:w="100" w:type="dxa"/>
              <w:left w:w="100" w:type="dxa"/>
              <w:bottom w:w="100" w:type="dxa"/>
              <w:right w:w="100" w:type="dxa"/>
            </w:tcMar>
          </w:tcPr>
          <w:p w14:paraId="70C12E85" w14:textId="77777777" w:rsidR="00993290" w:rsidRDefault="00000000">
            <w:pPr>
              <w:widowControl w:val="0"/>
              <w:pBdr>
                <w:top w:val="nil"/>
                <w:left w:val="nil"/>
                <w:bottom w:val="nil"/>
                <w:right w:val="nil"/>
                <w:between w:val="nil"/>
              </w:pBdr>
              <w:rPr>
                <w:sz w:val="22"/>
                <w:szCs w:val="22"/>
              </w:rPr>
            </w:pPr>
            <w:r>
              <w:rPr>
                <w:sz w:val="22"/>
                <w:szCs w:val="22"/>
              </w:rPr>
              <w:t>734.5 to 850</w:t>
            </w:r>
          </w:p>
        </w:tc>
        <w:tc>
          <w:tcPr>
            <w:tcW w:w="1905" w:type="dxa"/>
            <w:shd w:val="clear" w:color="auto" w:fill="A4C2F4"/>
            <w:tcMar>
              <w:top w:w="100" w:type="dxa"/>
              <w:left w:w="100" w:type="dxa"/>
              <w:bottom w:w="100" w:type="dxa"/>
              <w:right w:w="100" w:type="dxa"/>
            </w:tcMar>
          </w:tcPr>
          <w:p w14:paraId="3E22A87E" w14:textId="77777777" w:rsidR="00993290" w:rsidRDefault="00000000">
            <w:pPr>
              <w:widowControl w:val="0"/>
              <w:pBdr>
                <w:top w:val="nil"/>
                <w:left w:val="nil"/>
                <w:bottom w:val="nil"/>
                <w:right w:val="nil"/>
                <w:between w:val="nil"/>
              </w:pBdr>
              <w:rPr>
                <w:sz w:val="22"/>
                <w:szCs w:val="22"/>
              </w:rPr>
            </w:pPr>
            <w:r>
              <w:rPr>
                <w:sz w:val="22"/>
                <w:szCs w:val="22"/>
              </w:rPr>
              <w:t>91.41 to 100</w:t>
            </w:r>
          </w:p>
        </w:tc>
        <w:tc>
          <w:tcPr>
            <w:tcW w:w="1830" w:type="dxa"/>
            <w:shd w:val="clear" w:color="auto" w:fill="A4C2F4"/>
            <w:tcMar>
              <w:top w:w="100" w:type="dxa"/>
              <w:left w:w="100" w:type="dxa"/>
              <w:bottom w:w="100" w:type="dxa"/>
              <w:right w:w="100" w:type="dxa"/>
            </w:tcMar>
          </w:tcPr>
          <w:p w14:paraId="52A6AD22" w14:textId="77777777" w:rsidR="00993290" w:rsidRDefault="00000000">
            <w:pPr>
              <w:widowControl w:val="0"/>
              <w:pBdr>
                <w:top w:val="nil"/>
                <w:left w:val="nil"/>
                <w:bottom w:val="nil"/>
                <w:right w:val="nil"/>
                <w:between w:val="nil"/>
              </w:pBdr>
              <w:rPr>
                <w:sz w:val="22"/>
                <w:szCs w:val="22"/>
              </w:rPr>
            </w:pPr>
            <w:r>
              <w:rPr>
                <w:sz w:val="22"/>
                <w:szCs w:val="22"/>
              </w:rPr>
              <w:t>3.09 to 0</w:t>
            </w:r>
          </w:p>
        </w:tc>
      </w:tr>
    </w:tbl>
    <w:p w14:paraId="21CDF4F2" w14:textId="77777777" w:rsidR="00993290" w:rsidRDefault="00993290">
      <w:pPr>
        <w:spacing w:after="200" w:line="259" w:lineRule="auto"/>
        <w:rPr>
          <w:sz w:val="22"/>
          <w:szCs w:val="22"/>
        </w:rPr>
      </w:pPr>
    </w:p>
    <w:p w14:paraId="753AB8D5" w14:textId="77777777" w:rsidR="00993290" w:rsidRDefault="00000000">
      <w:pPr>
        <w:spacing w:line="259" w:lineRule="auto"/>
        <w:rPr>
          <w:b/>
          <w:color w:val="38761D"/>
          <w:sz w:val="24"/>
          <w:szCs w:val="24"/>
        </w:rPr>
      </w:pPr>
      <w:r>
        <w:rPr>
          <w:b/>
          <w:color w:val="38761D"/>
          <w:sz w:val="24"/>
          <w:szCs w:val="24"/>
        </w:rPr>
        <w:t>Timeline for Adding these Measures in Performance Frameworks</w:t>
      </w:r>
    </w:p>
    <w:p w14:paraId="5345F17F" w14:textId="384E4EF9" w:rsidR="00993290" w:rsidRDefault="00000000" w:rsidP="005D14D2">
      <w:pPr>
        <w:spacing w:after="200" w:line="259" w:lineRule="auto"/>
        <w:jc w:val="center"/>
        <w:rPr>
          <w:b/>
          <w:color w:val="38761D"/>
          <w:sz w:val="24"/>
          <w:szCs w:val="24"/>
        </w:rPr>
      </w:pPr>
      <w:r>
        <w:rPr>
          <w:noProof/>
          <w:sz w:val="22"/>
          <w:szCs w:val="22"/>
        </w:rPr>
        <mc:AlternateContent>
          <mc:Choice Requires="wpg">
            <w:drawing>
              <wp:inline distT="114300" distB="114300" distL="114300" distR="114300" wp14:anchorId="3D4E641D" wp14:editId="338B461A">
                <wp:extent cx="3743325" cy="3162300"/>
                <wp:effectExtent l="0" t="0" r="9525" b="0"/>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743325" cy="3162300"/>
                          <a:chOff x="2642100" y="1314849"/>
                          <a:chExt cx="3873600" cy="3112973"/>
                        </a:xfrm>
                      </wpg:grpSpPr>
                      <wps:wsp>
                        <wps:cNvPr id="922187956" name="Rectangle 922187956"/>
                        <wps:cNvSpPr/>
                        <wps:spPr>
                          <a:xfrm>
                            <a:off x="2642100" y="1314850"/>
                            <a:ext cx="3873600" cy="3090300"/>
                          </a:xfrm>
                          <a:prstGeom prst="rect">
                            <a:avLst/>
                          </a:prstGeom>
                          <a:solidFill>
                            <a:srgbClr val="D9EAD3"/>
                          </a:solidFill>
                          <a:ln>
                            <a:noFill/>
                          </a:ln>
                        </wps:spPr>
                        <wps:txbx>
                          <w:txbxContent>
                            <w:p w14:paraId="1C715F5C" w14:textId="77777777" w:rsidR="00993290" w:rsidRDefault="00993290">
                              <w:pPr>
                                <w:textDirection w:val="btLr"/>
                              </w:pPr>
                            </w:p>
                          </w:txbxContent>
                        </wps:txbx>
                        <wps:bodyPr spcFirstLastPara="1" wrap="square" lIns="91425" tIns="91425" rIns="91425" bIns="91425" anchor="ctr" anchorCtr="0">
                          <a:noAutofit/>
                        </wps:bodyPr>
                      </wps:wsp>
                      <wpg:grpSp>
                        <wpg:cNvPr id="1864580082" name="Group 1864580082"/>
                        <wpg:cNvGrpSpPr/>
                        <wpg:grpSpPr>
                          <a:xfrm>
                            <a:off x="2798624" y="1315550"/>
                            <a:ext cx="1935701" cy="3009131"/>
                            <a:chOff x="1083025" y="1574025"/>
                            <a:chExt cx="1935701" cy="3009131"/>
                          </a:xfrm>
                        </wpg:grpSpPr>
                        <wps:wsp>
                          <wps:cNvPr id="897273417" name="Text Box 897273417"/>
                          <wps:cNvSpPr txBox="1"/>
                          <wps:spPr>
                            <a:xfrm>
                              <a:off x="1113774" y="1574025"/>
                              <a:ext cx="1114803" cy="552509"/>
                            </a:xfrm>
                            <a:prstGeom prst="rect">
                              <a:avLst/>
                            </a:prstGeom>
                            <a:noFill/>
                            <a:ln>
                              <a:noFill/>
                            </a:ln>
                          </wps:spPr>
                          <wps:txbx>
                            <w:txbxContent>
                              <w:p w14:paraId="4F2B6062" w14:textId="77777777" w:rsidR="00993290" w:rsidRDefault="00000000">
                                <w:pPr>
                                  <w:spacing w:after="320" w:line="275" w:lineRule="auto"/>
                                  <w:jc w:val="right"/>
                                  <w:textDirection w:val="btLr"/>
                                </w:pPr>
                                <w:r>
                                  <w:rPr>
                                    <w:rFonts w:ascii="Roboto" w:eastAsia="Roboto" w:hAnsi="Roboto" w:cs="Roboto"/>
                                    <w:b/>
                                    <w:color w:val="38761D"/>
                                    <w:sz w:val="22"/>
                                  </w:rPr>
                                  <w:t>2023-24</w:t>
                                </w:r>
                              </w:p>
                            </w:txbxContent>
                          </wps:txbx>
                          <wps:bodyPr spcFirstLastPara="1" wrap="square" lIns="91425" tIns="91425" rIns="91425" bIns="91425" anchor="t" anchorCtr="0">
                            <a:noAutofit/>
                          </wps:bodyPr>
                        </wps:wsp>
                        <wps:wsp>
                          <wps:cNvPr id="110454937" name="Text Box 110454937"/>
                          <wps:cNvSpPr txBox="1"/>
                          <wps:spPr>
                            <a:xfrm>
                              <a:off x="1235826" y="2695025"/>
                              <a:ext cx="1782900" cy="446400"/>
                            </a:xfrm>
                            <a:prstGeom prst="rect">
                              <a:avLst/>
                            </a:prstGeom>
                            <a:noFill/>
                            <a:ln>
                              <a:noFill/>
                            </a:ln>
                          </wps:spPr>
                          <wps:txbx>
                            <w:txbxContent>
                              <w:p w14:paraId="5CAD1FD4" w14:textId="77777777" w:rsidR="00993290" w:rsidRDefault="00000000">
                                <w:pPr>
                                  <w:spacing w:line="275" w:lineRule="auto"/>
                                  <w:textDirection w:val="btLr"/>
                                </w:pPr>
                                <w:r>
                                  <w:rPr>
                                    <w:b/>
                                    <w:color w:val="274E13"/>
                                    <w:sz w:val="22"/>
                                  </w:rPr>
                                  <w:t>Informational Release</w:t>
                                </w:r>
                              </w:p>
                            </w:txbxContent>
                          </wps:txbx>
                          <wps:bodyPr spcFirstLastPara="1" wrap="square" lIns="91425" tIns="91425" rIns="91425" bIns="91425" anchor="b" anchorCtr="0">
                            <a:noAutofit/>
                          </wps:bodyPr>
                        </wps:wsp>
                        <wps:wsp>
                          <wps:cNvPr id="169485728" name="Text Box 169485728"/>
                          <wps:cNvSpPr txBox="1"/>
                          <wps:spPr>
                            <a:xfrm>
                              <a:off x="1215701" y="3151592"/>
                              <a:ext cx="1782900" cy="1431564"/>
                            </a:xfrm>
                            <a:prstGeom prst="rect">
                              <a:avLst/>
                            </a:prstGeom>
                            <a:noFill/>
                            <a:ln>
                              <a:noFill/>
                            </a:ln>
                          </wps:spPr>
                          <wps:txbx>
                            <w:txbxContent>
                              <w:p w14:paraId="519B5E38" w14:textId="77777777" w:rsidR="00993290" w:rsidRPr="005D14D2" w:rsidRDefault="00000000">
                                <w:pPr>
                                  <w:spacing w:after="320" w:line="275" w:lineRule="auto"/>
                                  <w:textDirection w:val="btLr"/>
                                </w:pPr>
                                <w:r w:rsidRPr="005D14D2">
                                  <w:rPr>
                                    <w:color w:val="274E13"/>
                                  </w:rPr>
                                  <w:t xml:space="preserve">CMAS Science and attendance/truancy (AEC only) results were shared for informational purposes in January 2024. </w:t>
                                </w:r>
                              </w:p>
                            </w:txbxContent>
                          </wps:txbx>
                          <wps:bodyPr spcFirstLastPara="1" wrap="square" lIns="91425" tIns="91425" rIns="91425" bIns="91425" anchor="t" anchorCtr="0">
                            <a:noAutofit/>
                          </wps:bodyPr>
                        </wps:wsp>
                        <wps:wsp>
                          <wps:cNvPr id="985748381" name="Straight Arrow Connector 985748381"/>
                          <wps:cNvCnPr/>
                          <wps:spPr>
                            <a:xfrm>
                              <a:off x="2180202" y="1695421"/>
                              <a:ext cx="718500" cy="741900"/>
                            </a:xfrm>
                            <a:prstGeom prst="straightConnector1">
                              <a:avLst/>
                            </a:prstGeom>
                            <a:noFill/>
                            <a:ln w="9525" cap="flat" cmpd="sng">
                              <a:solidFill>
                                <a:srgbClr val="274E13"/>
                              </a:solidFill>
                              <a:prstDash val="solid"/>
                              <a:round/>
                              <a:headEnd type="none" w="sm" len="sm"/>
                              <a:tailEnd type="none" w="sm" len="sm"/>
                            </a:ln>
                          </wps:spPr>
                          <wps:bodyPr/>
                        </wps:wsp>
                        <wps:wsp>
                          <wps:cNvPr id="35298201" name="Parallelogram 35298201"/>
                          <wps:cNvSpPr/>
                          <wps:spPr>
                            <a:xfrm flipH="1">
                              <a:off x="1083025" y="2306625"/>
                              <a:ext cx="1834800" cy="143400"/>
                            </a:xfrm>
                            <a:prstGeom prst="parallelogram">
                              <a:avLst>
                                <a:gd name="adj" fmla="val 96952"/>
                              </a:avLst>
                            </a:prstGeom>
                            <a:solidFill>
                              <a:srgbClr val="38761D"/>
                            </a:solidFill>
                            <a:ln>
                              <a:noFill/>
                            </a:ln>
                          </wps:spPr>
                          <wps:txbx>
                            <w:txbxContent>
                              <w:p w14:paraId="00E10214" w14:textId="77777777" w:rsidR="00993290" w:rsidRDefault="00000000">
                                <w:pPr>
                                  <w:textDirection w:val="btLr"/>
                                </w:pPr>
                                <w:r>
                                  <w:rPr>
                                    <w:rFonts w:ascii="Arial" w:eastAsia="Arial" w:hAnsi="Arial" w:cs="Arial"/>
                                    <w:color w:val="000000"/>
                                    <w:sz w:val="28"/>
                                  </w:rPr>
                                  <w:t xml:space="preserve">  </w:t>
                                </w:r>
                              </w:p>
                            </w:txbxContent>
                          </wps:txbx>
                          <wps:bodyPr spcFirstLastPara="1" wrap="square" lIns="91425" tIns="91425" rIns="91425" bIns="91425" anchor="ctr" anchorCtr="0">
                            <a:noAutofit/>
                          </wps:bodyPr>
                        </wps:wsp>
                        <wps:wsp>
                          <wps:cNvPr id="1765657586" name="Parallelogram 1765657586"/>
                          <wps:cNvSpPr/>
                          <wps:spPr>
                            <a:xfrm>
                              <a:off x="1083125" y="2460449"/>
                              <a:ext cx="1834800" cy="143400"/>
                            </a:xfrm>
                            <a:prstGeom prst="parallelogram">
                              <a:avLst>
                                <a:gd name="adj" fmla="val 96952"/>
                              </a:avLst>
                            </a:prstGeom>
                            <a:solidFill>
                              <a:srgbClr val="274E13"/>
                            </a:solidFill>
                            <a:ln>
                              <a:noFill/>
                            </a:ln>
                          </wps:spPr>
                          <wps:txbx>
                            <w:txbxContent>
                              <w:p w14:paraId="13A0ED5A" w14:textId="77777777" w:rsidR="00993290" w:rsidRDefault="00993290">
                                <w:pPr>
                                  <w:textDirection w:val="btLr"/>
                                </w:pPr>
                              </w:p>
                            </w:txbxContent>
                          </wps:txbx>
                          <wps:bodyPr spcFirstLastPara="1" wrap="square" lIns="91425" tIns="91425" rIns="91425" bIns="91425" anchor="ctr" anchorCtr="0">
                            <a:noAutofit/>
                          </wps:bodyPr>
                        </wps:wsp>
                      </wpg:grpSp>
                      <wpg:grpSp>
                        <wpg:cNvPr id="1893853808" name="Group 1893853808"/>
                        <wpg:cNvGrpSpPr/>
                        <wpg:grpSpPr>
                          <a:xfrm>
                            <a:off x="4510469" y="1314849"/>
                            <a:ext cx="1967481" cy="3112973"/>
                            <a:chOff x="1083025" y="1574035"/>
                            <a:chExt cx="1967481" cy="3112973"/>
                          </a:xfrm>
                        </wpg:grpSpPr>
                        <wps:wsp>
                          <wps:cNvPr id="118159401" name="Text Box 118159401"/>
                          <wps:cNvSpPr txBox="1"/>
                          <wps:spPr>
                            <a:xfrm>
                              <a:off x="1156384" y="1574035"/>
                              <a:ext cx="1072047" cy="590715"/>
                            </a:xfrm>
                            <a:prstGeom prst="rect">
                              <a:avLst/>
                            </a:prstGeom>
                            <a:noFill/>
                            <a:ln>
                              <a:noFill/>
                            </a:ln>
                          </wps:spPr>
                          <wps:txbx>
                            <w:txbxContent>
                              <w:p w14:paraId="635FFF44" w14:textId="77777777" w:rsidR="00993290" w:rsidRDefault="00000000">
                                <w:pPr>
                                  <w:spacing w:after="320" w:line="275" w:lineRule="auto"/>
                                  <w:jc w:val="right"/>
                                  <w:textDirection w:val="btLr"/>
                                </w:pPr>
                                <w:r>
                                  <w:rPr>
                                    <w:rFonts w:ascii="Roboto" w:eastAsia="Roboto" w:hAnsi="Roboto" w:cs="Roboto"/>
                                    <w:color w:val="434343"/>
                                    <w:sz w:val="22"/>
                                  </w:rPr>
                                  <w:t>2024-25</w:t>
                                </w:r>
                              </w:p>
                            </w:txbxContent>
                          </wps:txbx>
                          <wps:bodyPr spcFirstLastPara="1" wrap="square" lIns="91425" tIns="91425" rIns="91425" bIns="91425" anchor="t" anchorCtr="0">
                            <a:noAutofit/>
                          </wps:bodyPr>
                        </wps:wsp>
                        <wps:wsp>
                          <wps:cNvPr id="365752114" name="Text Box 365752114"/>
                          <wps:cNvSpPr txBox="1"/>
                          <wps:spPr>
                            <a:xfrm>
                              <a:off x="1235831" y="2695036"/>
                              <a:ext cx="1662900" cy="446400"/>
                            </a:xfrm>
                            <a:prstGeom prst="rect">
                              <a:avLst/>
                            </a:prstGeom>
                            <a:noFill/>
                            <a:ln>
                              <a:noFill/>
                            </a:ln>
                          </wps:spPr>
                          <wps:txbx>
                            <w:txbxContent>
                              <w:p w14:paraId="05CC5198" w14:textId="77777777" w:rsidR="00993290" w:rsidRDefault="00000000">
                                <w:pPr>
                                  <w:spacing w:line="275" w:lineRule="auto"/>
                                  <w:textDirection w:val="btLr"/>
                                </w:pPr>
                                <w:r>
                                  <w:rPr>
                                    <w:b/>
                                    <w:color w:val="434343"/>
                                    <w:sz w:val="22"/>
                                  </w:rPr>
                                  <w:t>Included for Points</w:t>
                                </w:r>
                              </w:p>
                            </w:txbxContent>
                          </wps:txbx>
                          <wps:bodyPr spcFirstLastPara="1" wrap="square" lIns="91425" tIns="91425" rIns="91425" bIns="91425" anchor="b" anchorCtr="0">
                            <a:noAutofit/>
                          </wps:bodyPr>
                        </wps:wsp>
                        <wps:wsp>
                          <wps:cNvPr id="1143234082" name="Text Box 1143234082" descr="During the 2024-25 school year, CMAS Science achievement results will be factored into overall ratings for all districts and schools. Attendance/truancy measures will be factored into overall ratings in AEC performance frameworks."/>
                          <wps:cNvSpPr txBox="1"/>
                          <wps:spPr>
                            <a:xfrm>
                              <a:off x="1215706" y="3151369"/>
                              <a:ext cx="1834800" cy="1535639"/>
                            </a:xfrm>
                            <a:prstGeom prst="rect">
                              <a:avLst/>
                            </a:prstGeom>
                            <a:noFill/>
                            <a:ln>
                              <a:noFill/>
                            </a:ln>
                          </wps:spPr>
                          <wps:txbx>
                            <w:txbxContent>
                              <w:p w14:paraId="0DB5FC7B" w14:textId="77777777" w:rsidR="00993290" w:rsidRPr="005D14D2" w:rsidRDefault="00000000">
                                <w:pPr>
                                  <w:spacing w:after="320" w:line="275" w:lineRule="auto"/>
                                  <w:textDirection w:val="btLr"/>
                                </w:pPr>
                                <w:r w:rsidRPr="005D14D2">
                                  <w:rPr>
                                    <w:color w:val="434343"/>
                                  </w:rPr>
                                  <w:t>CMAS Science achievement results will be factored into overall ratings for all districts and schools. Attendance/truancy measures will be factored into overall ratings in AEC performance frameworks.</w:t>
                                </w:r>
                              </w:p>
                            </w:txbxContent>
                          </wps:txbx>
                          <wps:bodyPr spcFirstLastPara="1" wrap="square" lIns="91425" tIns="91425" rIns="91425" bIns="91425" anchor="t" anchorCtr="0">
                            <a:noAutofit/>
                          </wps:bodyPr>
                        </wps:wsp>
                        <wps:wsp>
                          <wps:cNvPr id="1026092081" name="Straight Arrow Connector 1026092081"/>
                          <wps:cNvCnPr/>
                          <wps:spPr>
                            <a:xfrm>
                              <a:off x="2180202" y="1695421"/>
                              <a:ext cx="718500" cy="741900"/>
                            </a:xfrm>
                            <a:prstGeom prst="straightConnector1">
                              <a:avLst/>
                            </a:prstGeom>
                            <a:noFill/>
                            <a:ln w="9525" cap="flat" cmpd="sng">
                              <a:solidFill>
                                <a:srgbClr val="858585"/>
                              </a:solidFill>
                              <a:prstDash val="solid"/>
                              <a:round/>
                              <a:headEnd type="none" w="sm" len="sm"/>
                              <a:tailEnd type="none" w="sm" len="sm"/>
                            </a:ln>
                          </wps:spPr>
                          <wps:bodyPr/>
                        </wps:wsp>
                        <wps:wsp>
                          <wps:cNvPr id="1627505099" name="Parallelogram 1627505099"/>
                          <wps:cNvSpPr/>
                          <wps:spPr>
                            <a:xfrm flipH="1">
                              <a:off x="1083025" y="2306625"/>
                              <a:ext cx="1834800" cy="143400"/>
                            </a:xfrm>
                            <a:prstGeom prst="parallelogram">
                              <a:avLst>
                                <a:gd name="adj" fmla="val 96952"/>
                              </a:avLst>
                            </a:prstGeom>
                            <a:solidFill>
                              <a:srgbClr val="C2C2C2"/>
                            </a:solidFill>
                            <a:ln>
                              <a:noFill/>
                            </a:ln>
                          </wps:spPr>
                          <wps:txbx>
                            <w:txbxContent>
                              <w:p w14:paraId="36B67411" w14:textId="77777777" w:rsidR="00993290" w:rsidRDefault="00000000">
                                <w:pPr>
                                  <w:textDirection w:val="btLr"/>
                                </w:pPr>
                                <w:r>
                                  <w:rPr>
                                    <w:rFonts w:ascii="Arial" w:eastAsia="Arial" w:hAnsi="Arial" w:cs="Arial"/>
                                    <w:color w:val="000000"/>
                                    <w:sz w:val="28"/>
                                  </w:rPr>
                                  <w:t xml:space="preserve">  </w:t>
                                </w:r>
                              </w:p>
                            </w:txbxContent>
                          </wps:txbx>
                          <wps:bodyPr spcFirstLastPara="1" wrap="square" lIns="91425" tIns="91425" rIns="91425" bIns="91425" anchor="ctr" anchorCtr="0">
                            <a:noAutofit/>
                          </wps:bodyPr>
                        </wps:wsp>
                        <wps:wsp>
                          <wps:cNvPr id="1779518837" name="Parallelogram 1779518837"/>
                          <wps:cNvSpPr/>
                          <wps:spPr>
                            <a:xfrm>
                              <a:off x="1083125" y="2460449"/>
                              <a:ext cx="1834800" cy="143400"/>
                            </a:xfrm>
                            <a:prstGeom prst="parallelogram">
                              <a:avLst>
                                <a:gd name="adj" fmla="val 96952"/>
                              </a:avLst>
                            </a:prstGeom>
                            <a:solidFill>
                              <a:srgbClr val="858585"/>
                            </a:solidFill>
                            <a:ln>
                              <a:noFill/>
                            </a:ln>
                          </wps:spPr>
                          <wps:txbx>
                            <w:txbxContent>
                              <w:p w14:paraId="6EF07EA3" w14:textId="77777777" w:rsidR="00993290" w:rsidRDefault="00993290">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3D4E641D" id="Group 2" o:spid="_x0000_s1026" alt="&quot;&quot;" style="width:294.75pt;height:249pt;mso-position-horizontal-relative:char;mso-position-vertical-relative:line" coordorigin="26421,13148" coordsize="38736,3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">
                <v:rect id="Rectangle 922187956" o:spid="_x0000_s1027" style="position:absolute;left:26421;top:13148;width:38736;height:30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" fillcolor="#d9ead3" stroked="f">
                  <v:textbox inset="2.53958mm,2.53958mm,2.53958mm,2.53958mm">
                    <w:txbxContent>
                      <w:p w14:paraId="1C715F5C" w14:textId="77777777" w:rsidR="00993290" w:rsidRDefault="00993290">
                        <w:pPr>
                          <w:textDirection w:val="btLr"/>
                        </w:pPr>
                      </w:p>
                    </w:txbxContent>
                  </v:textbox>
                </v:rect>
                <v:group id="Group 1864580082" o:spid="_x0000_s1028" style="position:absolute;left:27986;top:13155;width:19357;height:30091" coordorigin="10830,15740" coordsize="19357,3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">
                  <v:shapetype id="_x0000_t202" coordsize="21600,21600" o:spt="202" path="m,l,21600r21600,l21600,xe">
                    <v:stroke joinstyle="miter"/>
                    <v:path gradientshapeok="t" o:connecttype="rect"/>
                  </v:shapetype>
                  <v:shape id="Text Box 897273417" o:spid="_x0000_s1029" type="#_x0000_t202" style="position:absolute;left:11137;top:15740;width:11148;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" filled="f" stroked="f">
                    <v:textbox inset="2.53958mm,2.53958mm,2.53958mm,2.53958mm">
                      <w:txbxContent>
                        <w:p w14:paraId="4F2B6062" w14:textId="77777777" w:rsidR="00993290" w:rsidRDefault="00000000">
                          <w:pPr>
                            <w:spacing w:after="320" w:line="275" w:lineRule="auto"/>
                            <w:jc w:val="right"/>
                            <w:textDirection w:val="btLr"/>
                          </w:pPr>
                          <w:r>
                            <w:rPr>
                              <w:rFonts w:ascii="Roboto" w:eastAsia="Roboto" w:hAnsi="Roboto" w:cs="Roboto"/>
                              <w:b/>
                              <w:color w:val="38761D"/>
                              <w:sz w:val="22"/>
                            </w:rPr>
                            <w:t>2023-24</w:t>
                          </w:r>
                        </w:p>
                      </w:txbxContent>
                    </v:textbox>
                  </v:shape>
                  <v:shape id="Text Box 110454937" o:spid="_x0000_s1030" type="#_x0000_t202" style="position:absolute;left:12358;top:26950;width:17829;height:44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" filled="f" stroked="f">
                    <v:textbox inset="2.53958mm,2.53958mm,2.53958mm,2.53958mm">
                      <w:txbxContent>
                        <w:p w14:paraId="5CAD1FD4" w14:textId="77777777" w:rsidR="00993290" w:rsidRDefault="00000000">
                          <w:pPr>
                            <w:spacing w:line="275" w:lineRule="auto"/>
                            <w:textDirection w:val="btLr"/>
                          </w:pPr>
                          <w:r>
                            <w:rPr>
                              <w:b/>
                              <w:color w:val="274E13"/>
                              <w:sz w:val="22"/>
                            </w:rPr>
                            <w:t>Informational Release</w:t>
                          </w:r>
                        </w:p>
                      </w:txbxContent>
                    </v:textbox>
                  </v:shape>
                  <v:shape id="Text Box 169485728" o:spid="_x0000_s1031" type="#_x0000_t202" style="position:absolute;left:12157;top:31515;width:17829;height:14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" filled="f" stroked="f">
                    <v:textbox inset="2.53958mm,2.53958mm,2.53958mm,2.53958mm">
                      <w:txbxContent>
                        <w:p w14:paraId="519B5E38" w14:textId="77777777" w:rsidR="00993290" w:rsidRPr="005D14D2" w:rsidRDefault="00000000">
                          <w:pPr>
                            <w:spacing w:after="320" w:line="275" w:lineRule="auto"/>
                            <w:textDirection w:val="btLr"/>
                          </w:pPr>
                          <w:r w:rsidRPr="005D14D2">
                            <w:rPr>
                              <w:color w:val="274E13"/>
                            </w:rPr>
                            <w:t xml:space="preserve">CMAS Science and attendance/truancy (AEC only) results were shared for informational purposes in January 2024. </w:t>
                          </w:r>
                        </w:p>
                      </w:txbxContent>
                    </v:textbox>
                  </v:shape>
                  <v:shapetype id="_x0000_t32" coordsize="21600,21600" o:spt="32" o:oned="t" path="m,l21600,21600e" filled="f">
                    <v:path arrowok="t" fillok="f" o:connecttype="none"/>
                    <o:lock v:ext="edit" shapetype="t"/>
                  </v:shapetype>
                  <v:shape id="Straight Arrow Connector 985748381" o:spid="_x0000_s1032" type="#_x0000_t32" style="position:absolute;left:21802;top:16954;width:7185;height:74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" strokecolor="#274e13">
                    <v:stroke startarrowwidth="narrow" startarrowlength="short" endarrowwidth="narrow" endarrowlength="short"/>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5298201" o:spid="_x0000_s1033" type="#_x0000_t7" style="position:absolute;left:10830;top:23066;width:18348;height:14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" adj="1637" fillcolor="#38761d" stroked="f">
                    <v:textbox inset="2.53958mm,2.53958mm,2.53958mm,2.53958mm">
                      <w:txbxContent>
                        <w:p w14:paraId="00E10214" w14:textId="77777777" w:rsidR="00993290" w:rsidRDefault="00000000">
                          <w:pPr>
                            <w:textDirection w:val="btLr"/>
                          </w:pPr>
                          <w:r>
                            <w:rPr>
                              <w:rFonts w:ascii="Arial" w:eastAsia="Arial" w:hAnsi="Arial" w:cs="Arial"/>
                              <w:color w:val="000000"/>
                              <w:sz w:val="28"/>
                            </w:rPr>
                            <w:t xml:space="preserve">  </w:t>
                          </w:r>
                        </w:p>
                      </w:txbxContent>
                    </v:textbox>
                  </v:shape>
                  <v:shape id="Parallelogram 1765657586" o:spid="_x0000_s1034" type="#_x0000_t7" style="position:absolute;left:10831;top:24604;width:18348;height:1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" adj="1637" fillcolor="#274e13" stroked="f">
                    <v:textbox inset="2.53958mm,2.53958mm,2.53958mm,2.53958mm">
                      <w:txbxContent>
                        <w:p w14:paraId="13A0ED5A" w14:textId="77777777" w:rsidR="00993290" w:rsidRDefault="00993290">
                          <w:pPr>
                            <w:textDirection w:val="btLr"/>
                          </w:pPr>
                        </w:p>
                      </w:txbxContent>
                    </v:textbox>
                  </v:shape>
                </v:group>
                <v:group id="Group 1893853808" o:spid="_x0000_s1035" style="position:absolute;left:45104;top:13148;width:19675;height:31130" coordorigin="10830,15740" coordsize="19674,3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">
                  <v:shape id="Text Box 118159401" o:spid="_x0000_s1036" type="#_x0000_t202" style="position:absolute;left:11563;top:15740;width:10721;height:5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" filled="f" stroked="f">
                    <v:textbox inset="2.53958mm,2.53958mm,2.53958mm,2.53958mm">
                      <w:txbxContent>
                        <w:p w14:paraId="635FFF44" w14:textId="77777777" w:rsidR="00993290" w:rsidRDefault="00000000">
                          <w:pPr>
                            <w:spacing w:after="320" w:line="275" w:lineRule="auto"/>
                            <w:jc w:val="right"/>
                            <w:textDirection w:val="btLr"/>
                          </w:pPr>
                          <w:r>
                            <w:rPr>
                              <w:rFonts w:ascii="Roboto" w:eastAsia="Roboto" w:hAnsi="Roboto" w:cs="Roboto"/>
                              <w:color w:val="434343"/>
                              <w:sz w:val="22"/>
                            </w:rPr>
                            <w:t>2024-25</w:t>
                          </w:r>
                        </w:p>
                      </w:txbxContent>
                    </v:textbox>
                  </v:shape>
                  <v:shape id="Text Box 365752114" o:spid="_x0000_s1037" type="#_x0000_t202" style="position:absolute;left:12358;top:26950;width:16629;height:44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" filled="f" stroked="f">
                    <v:textbox inset="2.53958mm,2.53958mm,2.53958mm,2.53958mm">
                      <w:txbxContent>
                        <w:p w14:paraId="05CC5198" w14:textId="77777777" w:rsidR="00993290" w:rsidRDefault="00000000">
                          <w:pPr>
                            <w:spacing w:line="275" w:lineRule="auto"/>
                            <w:textDirection w:val="btLr"/>
                          </w:pPr>
                          <w:r>
                            <w:rPr>
                              <w:b/>
                              <w:color w:val="434343"/>
                              <w:sz w:val="22"/>
                            </w:rPr>
                            <w:t>Included for Points</w:t>
                          </w:r>
                        </w:p>
                      </w:txbxContent>
                    </v:textbox>
                  </v:shape>
                  <v:shape id="Text Box 1143234082" o:spid="_x0000_s1038" type="#_x0000_t202" alt="During the 2024-25 school year, CMAS Science achievement results will be factored into overall ratings for all districts and schools. Attendance/truancy measures will be factored into overall ratings in AEC performance frameworks." style="position:absolute;left:12157;top:31513;width:18348;height:15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" filled="f" stroked="f">
                    <v:textbox inset="2.53958mm,2.53958mm,2.53958mm,2.53958mm">
                      <w:txbxContent>
                        <w:p w14:paraId="0DB5FC7B" w14:textId="77777777" w:rsidR="00993290" w:rsidRPr="005D14D2" w:rsidRDefault="00000000">
                          <w:pPr>
                            <w:spacing w:after="320" w:line="275" w:lineRule="auto"/>
                            <w:textDirection w:val="btLr"/>
                          </w:pPr>
                          <w:r w:rsidRPr="005D14D2">
                            <w:rPr>
                              <w:color w:val="434343"/>
                            </w:rPr>
                            <w:t>CMAS Science achievement results will be factored into overall ratings for all districts and schools. Attendance/truancy measures will be factored into overall ratings in AEC performance frameworks.</w:t>
                          </w:r>
                        </w:p>
                      </w:txbxContent>
                    </v:textbox>
                  </v:shape>
                  <v:shape id="Straight Arrow Connector 1026092081" o:spid="_x0000_s1039" type="#_x0000_t32" style="position:absolute;left:21802;top:16954;width:7185;height:74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" strokecolor="#858585">
                    <v:stroke startarrowwidth="narrow" startarrowlength="short" endarrowwidth="narrow" endarrowlength="short"/>
                  </v:shape>
                  <v:shape id="Parallelogram 1627505099" o:spid="_x0000_s1040" type="#_x0000_t7" style="position:absolute;left:10830;top:23066;width:18348;height:14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" adj="1637" fillcolor="#c2c2c2" stroked="f">
                    <v:textbox inset="2.53958mm,2.53958mm,2.53958mm,2.53958mm">
                      <w:txbxContent>
                        <w:p w14:paraId="36B67411" w14:textId="77777777" w:rsidR="00993290" w:rsidRDefault="00000000">
                          <w:pPr>
                            <w:textDirection w:val="btLr"/>
                          </w:pPr>
                          <w:r>
                            <w:rPr>
                              <w:rFonts w:ascii="Arial" w:eastAsia="Arial" w:hAnsi="Arial" w:cs="Arial"/>
                              <w:color w:val="000000"/>
                              <w:sz w:val="28"/>
                            </w:rPr>
                            <w:t xml:space="preserve">  </w:t>
                          </w:r>
                        </w:p>
                      </w:txbxContent>
                    </v:textbox>
                  </v:shape>
                  <v:shape id="Parallelogram 1779518837" o:spid="_x0000_s1041" type="#_x0000_t7" style="position:absolute;left:10831;top:24604;width:18348;height:1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" adj="1637" fillcolor="#858585" stroked="f">
                    <v:textbox inset="2.53958mm,2.53958mm,2.53958mm,2.53958mm">
                      <w:txbxContent>
                        <w:p w14:paraId="6EF07EA3" w14:textId="77777777" w:rsidR="00993290" w:rsidRDefault="00993290">
                          <w:pPr>
                            <w:textDirection w:val="btLr"/>
                          </w:pPr>
                        </w:p>
                      </w:txbxContent>
                    </v:textbox>
                  </v:shape>
                </v:group>
                <w10:anchorlock/>
              </v:group>
            </w:pict>
          </mc:Fallback>
        </mc:AlternateContent>
      </w:r>
    </w:p>
    <w:sectPr w:rsidR="00993290">
      <w:headerReference w:type="default" r:id="rId9"/>
      <w:footerReference w:type="default" r:id="rId10"/>
      <w:headerReference w:type="first" r:id="rId11"/>
      <w:footerReference w:type="first" r:id="rId12"/>
      <w:pgSz w:w="12240" w:h="15840"/>
      <w:pgMar w:top="720" w:right="720" w:bottom="720" w:left="720" w:header="0" w:footer="115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BDB15" w14:textId="77777777" w:rsidR="00535B43" w:rsidRDefault="00535B43">
      <w:r>
        <w:separator/>
      </w:r>
    </w:p>
  </w:endnote>
  <w:endnote w:type="continuationSeparator" w:id="0">
    <w:p w14:paraId="73D46132" w14:textId="77777777" w:rsidR="00535B43" w:rsidRDefault="0053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useo Slab 500">
    <w:panose1 w:val="02000000000000000000"/>
    <w:charset w:val="00"/>
    <w:family w:val="modern"/>
    <w:notTrueType/>
    <w:pitch w:val="variable"/>
    <w:sig w:usb0="A00000AF" w:usb1="40000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979D" w14:textId="77777777" w:rsidR="00993290" w:rsidRDefault="00000000">
    <w:pPr>
      <w:tabs>
        <w:tab w:val="center" w:pos="4680"/>
        <w:tab w:val="right" w:pos="9360"/>
        <w:tab w:val="left" w:pos="0"/>
        <w:tab w:val="right" w:pos="10620"/>
      </w:tabs>
      <w:ind w:right="180"/>
    </w:pPr>
    <w:r>
      <w:rPr>
        <w:sz w:val="18"/>
        <w:szCs w:val="18"/>
      </w:rPr>
      <w:t>January 2024</w:t>
    </w:r>
    <w:r>
      <w:rPr>
        <w:sz w:val="18"/>
        <w:szCs w:val="18"/>
      </w:rPr>
      <w:tab/>
    </w:r>
    <w:r>
      <w:rPr>
        <w:sz w:val="18"/>
        <w:szCs w:val="18"/>
      </w:rPr>
      <w:tab/>
    </w:r>
    <w:r>
      <w:rPr>
        <w:sz w:val="18"/>
        <w:szCs w:val="18"/>
      </w:rPr>
      <w:tab/>
    </w:r>
    <w:r>
      <w:rPr>
        <w:sz w:val="18"/>
        <w:szCs w:val="18"/>
      </w:rPr>
      <w:fldChar w:fldCharType="begin"/>
    </w:r>
    <w:r>
      <w:rPr>
        <w:sz w:val="18"/>
        <w:szCs w:val="18"/>
      </w:rPr>
      <w:instrText>PAGE</w:instrText>
    </w:r>
    <w:r>
      <w:rPr>
        <w:sz w:val="18"/>
        <w:szCs w:val="18"/>
      </w:rPr>
      <w:fldChar w:fldCharType="separate"/>
    </w:r>
    <w:r w:rsidR="005D14D2">
      <w:rPr>
        <w:noProof/>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2F07" w14:textId="77777777" w:rsidR="00993290" w:rsidRDefault="00000000">
    <w:r>
      <w:t>Last Updated: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8AE21" w14:textId="77777777" w:rsidR="00535B43" w:rsidRDefault="00535B43">
      <w:r>
        <w:separator/>
      </w:r>
    </w:p>
  </w:footnote>
  <w:footnote w:type="continuationSeparator" w:id="0">
    <w:p w14:paraId="1DFE5108" w14:textId="77777777" w:rsidR="00535B43" w:rsidRDefault="00535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7C7A" w14:textId="77777777" w:rsidR="00993290" w:rsidRDefault="00993290">
    <w:pPr>
      <w:pBdr>
        <w:top w:val="nil"/>
        <w:left w:val="nil"/>
        <w:bottom w:val="nil"/>
        <w:right w:val="nil"/>
        <w:between w:val="nil"/>
      </w:pBdr>
      <w:ind w:right="3600"/>
      <w:rPr>
        <w:color w:val="000000"/>
        <w:sz w:val="22"/>
        <w:szCs w:val="22"/>
      </w:rPr>
    </w:pPr>
  </w:p>
  <w:p w14:paraId="0A1E4BC2" w14:textId="77777777" w:rsidR="00993290" w:rsidRDefault="00000000">
    <w:pPr>
      <w:pBdr>
        <w:top w:val="nil"/>
        <w:left w:val="nil"/>
        <w:bottom w:val="nil"/>
        <w:right w:val="nil"/>
        <w:between w:val="nil"/>
      </w:pBdr>
      <w:ind w:right="3600"/>
      <w:rPr>
        <w:color w:val="000000"/>
        <w:sz w:val="22"/>
        <w:szCs w:val="22"/>
      </w:rPr>
    </w:pPr>
    <w:r>
      <w:rPr>
        <w:noProof/>
      </w:rPr>
      <w:drawing>
        <wp:anchor distT="0" distB="0" distL="114300" distR="114300" simplePos="0" relativeHeight="251658240" behindDoc="0" locked="0" layoutInCell="1" hidden="0" allowOverlap="1" wp14:anchorId="52D650AF" wp14:editId="55D67F7D">
          <wp:simplePos x="0" y="0"/>
          <wp:positionH relativeFrom="column">
            <wp:posOffset>5910580</wp:posOffset>
          </wp:positionH>
          <wp:positionV relativeFrom="paragraph">
            <wp:posOffset>23495</wp:posOffset>
          </wp:positionV>
          <wp:extent cx="979805" cy="415925"/>
          <wp:effectExtent l="0" t="0" r="0" b="0"/>
          <wp:wrapNone/>
          <wp:docPr id="3"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979805" cy="415925"/>
                  </a:xfrm>
                  <a:prstGeom prst="rect">
                    <a:avLst/>
                  </a:prstGeom>
                  <a:ln/>
                </pic:spPr>
              </pic:pic>
            </a:graphicData>
          </a:graphic>
        </wp:anchor>
      </w:drawing>
    </w:r>
  </w:p>
  <w:p w14:paraId="474D19A2" w14:textId="77777777" w:rsidR="00993290" w:rsidRDefault="00000000">
    <w:pPr>
      <w:pBdr>
        <w:top w:val="nil"/>
        <w:left w:val="nil"/>
        <w:bottom w:val="nil"/>
        <w:right w:val="nil"/>
        <w:between w:val="nil"/>
      </w:pBdr>
      <w:ind w:right="3600"/>
      <w:rPr>
        <w:color w:val="000000"/>
        <w:sz w:val="22"/>
        <w:szCs w:val="22"/>
      </w:rPr>
    </w:pPr>
    <w:r>
      <w:rPr>
        <w:sz w:val="22"/>
        <w:szCs w:val="22"/>
      </w:rPr>
      <w:t>2023 Informational Results for Performance Frameworks</w:t>
    </w:r>
  </w:p>
  <w:p w14:paraId="73DD329E" w14:textId="77777777" w:rsidR="00993290" w:rsidRDefault="00993290">
    <w:pPr>
      <w:pBdr>
        <w:top w:val="nil"/>
        <w:left w:val="nil"/>
        <w:bottom w:val="nil"/>
        <w:right w:val="nil"/>
        <w:between w:val="nil"/>
      </w:pBdr>
      <w:ind w:right="3600"/>
      <w:rPr>
        <w:color w:val="000000"/>
        <w:sz w:val="22"/>
        <w:szCs w:val="22"/>
      </w:rPr>
    </w:pPr>
  </w:p>
  <w:p w14:paraId="07EBBE47" w14:textId="77777777" w:rsidR="00993290" w:rsidRDefault="00000000">
    <w:pPr>
      <w:pBdr>
        <w:top w:val="nil"/>
        <w:left w:val="nil"/>
        <w:bottom w:val="nil"/>
        <w:right w:val="nil"/>
        <w:between w:val="nil"/>
      </w:pBdr>
      <w:ind w:right="3600"/>
      <w:rPr>
        <w:color w:val="000000"/>
        <w:sz w:val="22"/>
        <w:szCs w:val="22"/>
      </w:rPr>
    </w:pPr>
    <w:r>
      <w:rPr>
        <w:noProof/>
      </w:rPr>
      <mc:AlternateContent>
        <mc:Choice Requires="wps">
          <w:drawing>
            <wp:anchor distT="0" distB="0" distL="114300" distR="114300" simplePos="0" relativeHeight="251659264" behindDoc="0" locked="0" layoutInCell="1" hidden="0" allowOverlap="1" wp14:anchorId="398ACEAA" wp14:editId="20E5B242">
              <wp:simplePos x="0" y="0"/>
              <wp:positionH relativeFrom="column">
                <wp:posOffset>1</wp:posOffset>
              </wp:positionH>
              <wp:positionV relativeFrom="paragraph">
                <wp:posOffset>25400</wp:posOffset>
              </wp:positionV>
              <wp:extent cx="6889750" cy="19006"/>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1901125" y="3780000"/>
                        <a:ext cx="6889750" cy="0"/>
                      </a:xfrm>
                      <a:prstGeom prst="straightConnector1">
                        <a:avLst/>
                      </a:prstGeom>
                      <a:noFill/>
                      <a:ln w="9525" cap="flat" cmpd="sng">
                        <a:solidFill>
                          <a:srgbClr val="274E13"/>
                        </a:solidFill>
                        <a:prstDash val="solid"/>
                        <a:miter lim="800000"/>
                        <a:headEnd type="none" w="sm" len="sm"/>
                        <a:tailEnd type="none" w="sm" len="sm"/>
                      </a:ln>
                    </wps:spPr>
                    <wps:bodyPr/>
                  </wps:wsp>
                </a:graphicData>
              </a:graphic>
            </wp:anchor>
          </w:drawing>
        </mc:Choice>
        <mc:Fallback>
          <w:pict>
            <v:shapetype w14:anchorId="0E7DD933" id="_x0000_t32" coordsize="21600,21600" o:spt="32" o:oned="t" path="m,l21600,21600e" filled="f">
              <v:path arrowok="t" fillok="f" o:connecttype="none"/>
              <o:lock v:ext="edit" shapetype="t"/>
            </v:shapetype>
            <v:shape id="Straight Arrow Connector 1" o:spid="_x0000_s1026" type="#_x0000_t32" alt="&quot;&quot;" style="position:absolute;margin-left:0;margin-top:2pt;width:542.5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" strokecolor="#274e13">
              <v:stroke startarrowwidth="narrow" startarrowlength="short" endarrowwidth="narrow" endarrowlength="short" joinstyle="miter"/>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3EFB" w14:textId="77777777" w:rsidR="00993290" w:rsidRDefault="00000000">
    <w:pPr>
      <w:pBdr>
        <w:top w:val="nil"/>
        <w:left w:val="nil"/>
        <w:bottom w:val="nil"/>
        <w:right w:val="nil"/>
        <w:between w:val="nil"/>
      </w:pBdr>
      <w:ind w:right="3600"/>
      <w:rPr>
        <w:color w:val="000000"/>
        <w:sz w:val="22"/>
        <w:szCs w:val="22"/>
      </w:rPr>
    </w:pPr>
    <w:r>
      <w:rPr>
        <w:noProof/>
      </w:rPr>
      <w:drawing>
        <wp:anchor distT="0" distB="0" distL="114300" distR="114300" simplePos="0" relativeHeight="251660288" behindDoc="1" locked="0" layoutInCell="1" hidden="0" allowOverlap="1" wp14:anchorId="7FC1DA4B" wp14:editId="26F44B45">
          <wp:simplePos x="0" y="0"/>
          <wp:positionH relativeFrom="column">
            <wp:posOffset>-457199</wp:posOffset>
          </wp:positionH>
          <wp:positionV relativeFrom="paragraph">
            <wp:posOffset>0</wp:posOffset>
          </wp:positionV>
          <wp:extent cx="7927975" cy="1572895"/>
          <wp:effectExtent l="0" t="0" r="0" b="0"/>
          <wp:wrapNone/>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927975" cy="157289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290"/>
    <w:rsid w:val="00535B43"/>
    <w:rsid w:val="005D14D2"/>
    <w:rsid w:val="00993290"/>
    <w:rsid w:val="00B0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55A20"/>
  <w15:docId w15:val="{7B642BF5-B7F8-4BC4-9871-91CC5ACD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0"/>
    <w:next w:val="Normal0"/>
    <w:uiPriority w:val="9"/>
    <w:qFormat/>
    <w:pPr>
      <w:keepNext/>
      <w:keepLines/>
      <w:spacing w:after="0"/>
      <w:ind w:right="1440"/>
    </w:pPr>
    <w:rPr>
      <w:rFonts w:ascii="Museo Slab 500" w:eastAsia="Times New Roman" w:hAnsi="Museo Slab 500" w:cs="Times New Roman"/>
      <w:color w:val="FFFFFF"/>
      <w:sz w:val="48"/>
      <w:szCs w:val="32"/>
    </w:rPr>
  </w:style>
  <w:style w:type="paragraph" w:styleId="Heading2">
    <w:name w:val="heading 2"/>
    <w:basedOn w:val="Normal0"/>
    <w:next w:val="Normal0"/>
    <w:uiPriority w:val="9"/>
    <w:semiHidden/>
    <w:unhideWhenUsed/>
    <w:qFormat/>
    <w:pPr>
      <w:keepNext/>
      <w:keepLines/>
      <w:spacing w:before="40" w:after="840"/>
      <w:outlineLvl w:val="1"/>
    </w:pPr>
    <w:rPr>
      <w:rFonts w:eastAsia="Times New Roman" w:cs="Times New Roman"/>
      <w:b/>
      <w:color w:val="FFFFFF"/>
      <w:sz w:val="32"/>
      <w:szCs w:val="26"/>
    </w:rPr>
  </w:style>
  <w:style w:type="paragraph" w:styleId="Heading3">
    <w:name w:val="heading 3"/>
    <w:basedOn w:val="Normal0"/>
    <w:next w:val="Normal0"/>
    <w:uiPriority w:val="9"/>
    <w:semiHidden/>
    <w:unhideWhenUsed/>
    <w:qFormat/>
    <w:pPr>
      <w:keepNext/>
      <w:keepLines/>
      <w:spacing w:before="40" w:after="120"/>
      <w:outlineLvl w:val="2"/>
    </w:pPr>
    <w:rPr>
      <w:rFonts w:eastAsia="Times New Roman" w:cs="Times New Roman"/>
      <w:b/>
      <w:color w:val="000000"/>
      <w:sz w:val="28"/>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
    <w:aliases w:val="Page01- body with right indent-black"/>
    <w:pPr>
      <w:suppressAutoHyphens/>
      <w:spacing w:after="160" w:line="259" w:lineRule="auto"/>
      <w:ind w:leftChars="-1" w:left="-1" w:right="3600" w:hangingChars="1" w:hanging="1"/>
      <w:textDirection w:val="btLr"/>
      <w:textAlignment w:val="top"/>
      <w:outlineLvl w:val="0"/>
    </w:pPr>
    <w:rPr>
      <w:position w:val="-1"/>
      <w:sz w:val="22"/>
      <w:szCs w:val="22"/>
    </w:rPr>
  </w:style>
  <w:style w:type="paragraph" w:styleId="Header">
    <w:name w:val="header"/>
    <w:basedOn w:val="Normal0"/>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0"/>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customStyle="1" w:styleId="Heading1Char">
    <w:name w:val="Heading 1 Char"/>
    <w:rPr>
      <w:rFonts w:ascii="Museo Slab 500" w:eastAsia="Times New Roman" w:hAnsi="Museo Slab 500" w:cs="Times New Roman"/>
      <w:color w:val="FFFFFF"/>
      <w:w w:val="100"/>
      <w:position w:val="-1"/>
      <w:sz w:val="48"/>
      <w:szCs w:val="32"/>
      <w:effect w:val="none"/>
      <w:vertAlign w:val="baseline"/>
      <w:cs w:val="0"/>
      <w:em w:val="none"/>
    </w:rPr>
  </w:style>
  <w:style w:type="character" w:customStyle="1" w:styleId="Heading2Char">
    <w:name w:val="Heading 2 Char"/>
    <w:rPr>
      <w:rFonts w:ascii="Calibri" w:eastAsia="Times New Roman" w:hAnsi="Calibri" w:cs="Times New Roman"/>
      <w:b/>
      <w:color w:val="FFFFFF"/>
      <w:w w:val="100"/>
      <w:position w:val="-1"/>
      <w:sz w:val="32"/>
      <w:szCs w:val="26"/>
      <w:effect w:val="none"/>
      <w:vertAlign w:val="baseline"/>
      <w:cs w:val="0"/>
      <w:em w:val="none"/>
    </w:rPr>
  </w:style>
  <w:style w:type="character" w:customStyle="1" w:styleId="Heading3Char">
    <w:name w:val="Heading 3 Char"/>
    <w:rPr>
      <w:rFonts w:ascii="Calibri" w:eastAsia="Times New Roman" w:hAnsi="Calibri" w:cs="Times New Roman"/>
      <w:b/>
      <w:color w:val="000000"/>
      <w:w w:val="100"/>
      <w:position w:val="-1"/>
      <w:sz w:val="28"/>
      <w:szCs w:val="24"/>
      <w:effect w:val="none"/>
      <w:vertAlign w:val="baseline"/>
      <w:cs w:val="0"/>
      <w:em w:val="none"/>
    </w:rPr>
  </w:style>
  <w:style w:type="paragraph" w:customStyle="1" w:styleId="Page01-Side-bar-navy">
    <w:name w:val="Page 01-Side-bar-navy"/>
    <w:basedOn w:val="Normal0"/>
    <w:pPr>
      <w:ind w:right="0"/>
    </w:pPr>
    <w:rPr>
      <w:color w:val="232C67"/>
      <w:sz w:val="20"/>
    </w:rPr>
  </w:style>
  <w:style w:type="paragraph" w:styleId="NormalWeb">
    <w:name w:val="Normal (Web)"/>
    <w:basedOn w:val="Normal0"/>
    <w:qFormat/>
    <w:pPr>
      <w:spacing w:before="100" w:beforeAutospacing="1" w:after="100" w:afterAutospacing="1" w:line="240" w:lineRule="auto"/>
      <w:ind w:right="0"/>
    </w:pPr>
    <w:rPr>
      <w:rFonts w:ascii="Times New Roman" w:eastAsia="Times New Roman" w:hAnsi="Times New Roman" w:cs="Times New Roman"/>
      <w:sz w:val="24"/>
      <w:szCs w:val="24"/>
    </w:rPr>
  </w:style>
  <w:style w:type="character" w:customStyle="1" w:styleId="Page01-Side-bar-navyChar">
    <w:name w:val="Page 01-Side-bar-navy Char"/>
    <w:rPr>
      <w:color w:val="232C67"/>
      <w:w w:val="100"/>
      <w:position w:val="-1"/>
      <w:sz w:val="20"/>
      <w:effect w:val="none"/>
      <w:vertAlign w:val="baseline"/>
      <w:cs w:val="0"/>
      <w:em w:val="none"/>
    </w:rPr>
  </w:style>
  <w:style w:type="paragraph" w:customStyle="1" w:styleId="Text">
    <w:name w:val="Text"/>
    <w:basedOn w:val="Normal0"/>
    <w:pPr>
      <w:ind w:right="0"/>
    </w:pPr>
  </w:style>
  <w:style w:type="character" w:customStyle="1" w:styleId="TextChar">
    <w:name w:val="Text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de.state.co.us/accountability/performanceframework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e.state.co.us/accountability/stateaccountabilit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94bS2ZK7oYBKBR4QyHZF3mo3dA==">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Madorin, Acacia</dc:creator>
  <cp:lastModifiedBy>Wales, Aislinn</cp:lastModifiedBy>
  <cp:revision>3</cp:revision>
  <dcterms:created xsi:type="dcterms:W3CDTF">2019-07-10T14:54:00Z</dcterms:created>
  <dcterms:modified xsi:type="dcterms:W3CDTF">2024-01-31T15:53:00Z</dcterms:modified>
</cp:coreProperties>
</file>