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40" w:rsidRDefault="00DA2140" w:rsidP="00DA2140">
      <w:pPr>
        <w:shd w:val="clear" w:color="auto" w:fill="BFBFBF"/>
        <w:tabs>
          <w:tab w:val="left" w:pos="13050"/>
        </w:tabs>
        <w:spacing w:before="60" w:after="60" w:line="240" w:lineRule="auto"/>
        <w:ind w:right="-86"/>
        <w:rPr>
          <w:rFonts w:ascii="Arial Narrow" w:hAnsi="Arial Narrow"/>
          <w:b/>
          <w:color w:val="000000" w:themeColor="text1"/>
          <w:sz w:val="10"/>
          <w:szCs w:val="10"/>
        </w:rPr>
      </w:pPr>
    </w:p>
    <w:p w:rsidR="00DA2140" w:rsidRDefault="00DA2140" w:rsidP="00DA2140">
      <w:pPr>
        <w:shd w:val="clear" w:color="auto" w:fill="BFBFBF"/>
        <w:tabs>
          <w:tab w:val="left" w:pos="13050"/>
        </w:tabs>
        <w:spacing w:before="60" w:after="60" w:line="240" w:lineRule="auto"/>
        <w:ind w:right="-86"/>
        <w:rPr>
          <w:rFonts w:ascii="Arial Narrow" w:hAnsi="Arial Narrow"/>
          <w:b/>
          <w:color w:val="000000" w:themeColor="text1"/>
          <w:sz w:val="10"/>
          <w:szCs w:val="10"/>
        </w:rPr>
      </w:pPr>
      <w:r w:rsidRPr="00E56515">
        <w:rPr>
          <w:rFonts w:ascii="Arial Narrow" w:hAnsi="Arial Narrow"/>
          <w:b/>
          <w:color w:val="000000" w:themeColor="text1"/>
        </w:rPr>
        <w:t>Section V:  Supporting Addenda Forms</w:t>
      </w:r>
    </w:p>
    <w:p w:rsidR="00DA2140" w:rsidRPr="00574BF5" w:rsidRDefault="00DA2140" w:rsidP="00574BF5">
      <w:pPr>
        <w:shd w:val="clear" w:color="auto" w:fill="BFBFBF"/>
        <w:tabs>
          <w:tab w:val="left" w:pos="13050"/>
        </w:tabs>
        <w:spacing w:before="60" w:after="60" w:line="240" w:lineRule="auto"/>
        <w:ind w:right="-86"/>
        <w:rPr>
          <w:rFonts w:ascii="Arial Narrow" w:hAnsi="Arial Narrow"/>
          <w:b/>
          <w:color w:val="000000" w:themeColor="text1"/>
          <w:sz w:val="10"/>
          <w:szCs w:val="10"/>
        </w:rPr>
      </w:pPr>
      <w:r w:rsidRPr="00E56515">
        <w:rPr>
          <w:rFonts w:ascii="Arial Narrow" w:hAnsi="Arial Narrow"/>
          <w:b/>
          <w:color w:val="000000" w:themeColor="text1"/>
        </w:rPr>
        <w:tab/>
      </w:r>
    </w:p>
    <w:p w:rsidR="00574BF5" w:rsidRPr="00447BFB" w:rsidRDefault="00574BF5" w:rsidP="004827D0">
      <w:pPr>
        <w:spacing w:after="0"/>
        <w:rPr>
          <w:rFonts w:ascii="Arial Narrow" w:hAnsi="Arial Narrow" w:cs="Arial"/>
          <w:b/>
          <w:sz w:val="18"/>
          <w:szCs w:val="18"/>
        </w:rPr>
      </w:pPr>
    </w:p>
    <w:p w:rsidR="00E91745" w:rsidRPr="00447BFB" w:rsidRDefault="00DA2140" w:rsidP="005C6E8C">
      <w:pPr>
        <w:rPr>
          <w:rFonts w:ascii="Arial Narrow" w:hAnsi="Arial Narrow" w:cs="Arial"/>
          <w:sz w:val="18"/>
          <w:szCs w:val="18"/>
        </w:rPr>
      </w:pPr>
      <w:r w:rsidRPr="00447BFB">
        <w:rPr>
          <w:rFonts w:ascii="Arial Narrow" w:hAnsi="Arial Narrow" w:cs="Arial"/>
          <w:b/>
          <w:sz w:val="18"/>
          <w:szCs w:val="18"/>
        </w:rPr>
        <w:t>For Administrative Units with Gifted Education Programs</w:t>
      </w:r>
      <w:r w:rsidR="00816F1C" w:rsidRPr="00447BFB">
        <w:rPr>
          <w:rFonts w:ascii="Arial Narrow" w:hAnsi="Arial Narrow" w:cs="Arial"/>
          <w:color w:val="FF0000"/>
          <w:sz w:val="18"/>
          <w:szCs w:val="18"/>
        </w:rPr>
        <w:br/>
      </w:r>
      <w:r w:rsidR="00816F1C" w:rsidRPr="00447BFB">
        <w:rPr>
          <w:rFonts w:ascii="Arial Narrow" w:hAnsi="Arial Narrow" w:cs="Arial"/>
          <w:sz w:val="18"/>
          <w:szCs w:val="18"/>
        </w:rPr>
        <w:t xml:space="preserve">The UIP addendum fulfills annual gifted </w:t>
      </w:r>
      <w:r w:rsidR="00656157" w:rsidRPr="00447BFB">
        <w:rPr>
          <w:rFonts w:ascii="Arial Narrow" w:hAnsi="Arial Narrow" w:cs="Arial"/>
          <w:sz w:val="18"/>
          <w:szCs w:val="18"/>
        </w:rPr>
        <w:t xml:space="preserve">program ECEA </w:t>
      </w:r>
      <w:r w:rsidR="00816F1C" w:rsidRPr="00447BFB">
        <w:rPr>
          <w:rFonts w:ascii="Arial Narrow" w:hAnsi="Arial Narrow" w:cs="Arial"/>
          <w:sz w:val="18"/>
          <w:szCs w:val="18"/>
        </w:rPr>
        <w:t>requir</w:t>
      </w:r>
      <w:r w:rsidR="000018FF" w:rsidRPr="00447BFB">
        <w:rPr>
          <w:rFonts w:ascii="Arial Narrow" w:hAnsi="Arial Narrow" w:cs="Arial"/>
          <w:sz w:val="18"/>
          <w:szCs w:val="18"/>
        </w:rPr>
        <w:t>ements (12.02(1)).</w:t>
      </w:r>
      <w:r w:rsidR="00DE0484" w:rsidRPr="00447BFB">
        <w:rPr>
          <w:rFonts w:ascii="Arial Narrow" w:hAnsi="Arial Narrow" w:cs="Arial"/>
          <w:sz w:val="18"/>
          <w:szCs w:val="18"/>
        </w:rPr>
        <w:t xml:space="preserve"> </w:t>
      </w:r>
      <w:r w:rsidRPr="00447BFB">
        <w:rPr>
          <w:rFonts w:ascii="Arial Narrow" w:hAnsi="Arial Narrow" w:cs="Arial"/>
          <w:sz w:val="18"/>
          <w:szCs w:val="18"/>
        </w:rPr>
        <w:t>Administrative Un</w:t>
      </w:r>
      <w:r w:rsidR="000018FF" w:rsidRPr="00447BFB">
        <w:rPr>
          <w:rFonts w:ascii="Arial Narrow" w:hAnsi="Arial Narrow" w:cs="Arial"/>
          <w:sz w:val="18"/>
          <w:szCs w:val="18"/>
        </w:rPr>
        <w:t>its (AU) must complete this form. In multiple-district AUs or in BOCES, member districts submit the UIP addendum</w:t>
      </w:r>
      <w:r w:rsidR="002471D9" w:rsidRPr="00447BFB">
        <w:rPr>
          <w:rFonts w:ascii="Arial Narrow" w:hAnsi="Arial Narrow" w:cs="Arial"/>
          <w:sz w:val="18"/>
          <w:szCs w:val="18"/>
        </w:rPr>
        <w:t xml:space="preserve"> (</w:t>
      </w:r>
      <w:r w:rsidR="000018FF" w:rsidRPr="00447BFB">
        <w:rPr>
          <w:rFonts w:ascii="Arial Narrow" w:hAnsi="Arial Narrow" w:cs="Arial"/>
          <w:sz w:val="18"/>
          <w:szCs w:val="18"/>
        </w:rPr>
        <w:t>not the lead in th</w:t>
      </w:r>
      <w:r w:rsidR="002471D9" w:rsidRPr="00447BFB">
        <w:rPr>
          <w:rFonts w:ascii="Arial Narrow" w:hAnsi="Arial Narrow" w:cs="Arial"/>
          <w:sz w:val="18"/>
          <w:szCs w:val="18"/>
        </w:rPr>
        <w:t>e BOCES or multiple-district AU).</w:t>
      </w:r>
      <w:r w:rsidR="00B02DF7" w:rsidRPr="00447BFB">
        <w:rPr>
          <w:rFonts w:ascii="Arial Narrow" w:hAnsi="Arial Narrow" w:cs="Arial"/>
          <w:sz w:val="18"/>
          <w:szCs w:val="18"/>
        </w:rPr>
        <w:t xml:space="preserve"> AU leads</w:t>
      </w:r>
      <w:r w:rsidRPr="00447BFB">
        <w:rPr>
          <w:rFonts w:ascii="Arial Narrow" w:hAnsi="Arial Narrow" w:cs="Arial"/>
          <w:sz w:val="18"/>
          <w:szCs w:val="18"/>
        </w:rPr>
        <w:t xml:space="preserve"> responsible for multiple districts may collaborate with districts</w:t>
      </w:r>
      <w:r w:rsidR="00E91745" w:rsidRPr="00447BFB">
        <w:rPr>
          <w:rFonts w:ascii="Arial Narrow" w:hAnsi="Arial Narrow" w:cs="Arial"/>
          <w:sz w:val="18"/>
          <w:szCs w:val="18"/>
        </w:rPr>
        <w:t xml:space="preserve"> </w:t>
      </w:r>
      <w:r w:rsidR="00475C27" w:rsidRPr="00447BFB">
        <w:rPr>
          <w:rFonts w:ascii="Arial Narrow" w:hAnsi="Arial Narrow" w:cs="Arial"/>
          <w:sz w:val="18"/>
          <w:szCs w:val="18"/>
        </w:rPr>
        <w:t xml:space="preserve">to develop a joint </w:t>
      </w:r>
      <w:r w:rsidR="006176CE" w:rsidRPr="00447BFB">
        <w:rPr>
          <w:rFonts w:ascii="Arial Narrow" w:hAnsi="Arial Narrow" w:cs="Arial"/>
          <w:sz w:val="18"/>
          <w:szCs w:val="18"/>
        </w:rPr>
        <w:t>addendum</w:t>
      </w:r>
      <w:r w:rsidR="002471D9" w:rsidRPr="00447BFB">
        <w:rPr>
          <w:rFonts w:ascii="Arial Narrow" w:hAnsi="Arial Narrow" w:cs="Arial"/>
          <w:sz w:val="18"/>
          <w:szCs w:val="18"/>
        </w:rPr>
        <w:t xml:space="preserve"> that individual districts include with their UIP</w:t>
      </w:r>
      <w:r w:rsidR="006176CE" w:rsidRPr="00447BFB">
        <w:rPr>
          <w:rFonts w:ascii="Arial Narrow" w:hAnsi="Arial Narrow" w:cs="Arial"/>
          <w:sz w:val="18"/>
          <w:szCs w:val="18"/>
        </w:rPr>
        <w:t>;</w:t>
      </w:r>
      <w:r w:rsidRPr="00447BFB">
        <w:rPr>
          <w:rFonts w:ascii="Arial Narrow" w:hAnsi="Arial Narrow" w:cs="Arial"/>
          <w:sz w:val="18"/>
          <w:szCs w:val="18"/>
        </w:rPr>
        <w:t xml:space="preserve"> this is especially true for AUs with member district</w:t>
      </w:r>
      <w:r w:rsidR="00E91745" w:rsidRPr="00447BFB">
        <w:rPr>
          <w:rFonts w:ascii="Arial Narrow" w:hAnsi="Arial Narrow" w:cs="Arial"/>
          <w:sz w:val="18"/>
          <w:szCs w:val="18"/>
        </w:rPr>
        <w:t>s</w:t>
      </w:r>
      <w:r w:rsidRPr="00447BFB">
        <w:rPr>
          <w:rFonts w:ascii="Arial Narrow" w:hAnsi="Arial Narrow" w:cs="Arial"/>
          <w:sz w:val="18"/>
          <w:szCs w:val="18"/>
        </w:rPr>
        <w:t xml:space="preserve"> that have </w:t>
      </w:r>
      <w:r w:rsidR="00721FF0" w:rsidRPr="00447BFB">
        <w:rPr>
          <w:rFonts w:ascii="Arial Narrow" w:hAnsi="Arial Narrow" w:cs="Arial"/>
          <w:sz w:val="18"/>
          <w:szCs w:val="18"/>
        </w:rPr>
        <w:t xml:space="preserve">a </w:t>
      </w:r>
      <w:r w:rsidRPr="00447BFB">
        <w:rPr>
          <w:rFonts w:ascii="Arial Narrow" w:hAnsi="Arial Narrow" w:cs="Arial"/>
          <w:sz w:val="18"/>
          <w:szCs w:val="18"/>
        </w:rPr>
        <w:t xml:space="preserve">small </w:t>
      </w:r>
      <w:r w:rsidR="00721FF0" w:rsidRPr="00447BFB">
        <w:rPr>
          <w:rFonts w:ascii="Arial Narrow" w:hAnsi="Arial Narrow" w:cs="Arial"/>
          <w:sz w:val="18"/>
          <w:szCs w:val="18"/>
        </w:rPr>
        <w:t xml:space="preserve">number of identified gifted </w:t>
      </w:r>
      <w:r w:rsidR="00015563" w:rsidRPr="00447BFB">
        <w:rPr>
          <w:rFonts w:ascii="Arial Narrow" w:hAnsi="Arial Narrow" w:cs="Arial"/>
          <w:sz w:val="18"/>
          <w:szCs w:val="18"/>
        </w:rPr>
        <w:t xml:space="preserve">students. </w:t>
      </w:r>
      <w:r w:rsidRPr="00447BFB">
        <w:rPr>
          <w:rFonts w:ascii="Arial Narrow" w:hAnsi="Arial Narrow" w:cs="Arial"/>
          <w:sz w:val="18"/>
          <w:szCs w:val="18"/>
        </w:rPr>
        <w:t>Numbers can be aggregated to the AU level</w:t>
      </w:r>
      <w:r w:rsidR="0057763C" w:rsidRPr="00447BFB">
        <w:rPr>
          <w:rFonts w:ascii="Arial Narrow" w:hAnsi="Arial Narrow" w:cs="Arial"/>
          <w:color w:val="C00000"/>
          <w:sz w:val="18"/>
          <w:szCs w:val="18"/>
        </w:rPr>
        <w:t xml:space="preserve"> </w:t>
      </w:r>
      <w:r w:rsidR="0057763C" w:rsidRPr="00447BFB">
        <w:rPr>
          <w:rFonts w:ascii="Arial Narrow" w:hAnsi="Arial Narrow" w:cs="Arial"/>
          <w:sz w:val="18"/>
          <w:szCs w:val="18"/>
        </w:rPr>
        <w:t>for data analysis</w:t>
      </w:r>
      <w:r w:rsidRPr="00447BFB">
        <w:rPr>
          <w:rFonts w:ascii="Arial Narrow" w:hAnsi="Arial Narrow" w:cs="Arial"/>
          <w:sz w:val="18"/>
          <w:szCs w:val="18"/>
        </w:rPr>
        <w:t xml:space="preserve"> and common </w:t>
      </w:r>
      <w:r w:rsidR="00E91745" w:rsidRPr="00447BFB">
        <w:rPr>
          <w:rFonts w:ascii="Arial Narrow" w:hAnsi="Arial Narrow" w:cs="Arial"/>
          <w:sz w:val="18"/>
          <w:szCs w:val="18"/>
        </w:rPr>
        <w:t xml:space="preserve">AU </w:t>
      </w:r>
      <w:r w:rsidRPr="00447BFB">
        <w:rPr>
          <w:rFonts w:ascii="Arial Narrow" w:hAnsi="Arial Narrow" w:cs="Arial"/>
          <w:sz w:val="18"/>
          <w:szCs w:val="18"/>
        </w:rPr>
        <w:t>targets can be</w:t>
      </w:r>
      <w:r w:rsidR="006176CE" w:rsidRPr="00447BFB">
        <w:rPr>
          <w:rFonts w:ascii="Arial Narrow" w:hAnsi="Arial Narrow" w:cs="Arial"/>
          <w:sz w:val="18"/>
          <w:szCs w:val="18"/>
        </w:rPr>
        <w:t xml:space="preserve"> recorded</w:t>
      </w:r>
      <w:r w:rsidR="0057763C" w:rsidRPr="00447BFB">
        <w:rPr>
          <w:rFonts w:ascii="Arial Narrow" w:hAnsi="Arial Narrow" w:cs="Arial"/>
          <w:color w:val="C00000"/>
          <w:sz w:val="18"/>
          <w:szCs w:val="18"/>
        </w:rPr>
        <w:t xml:space="preserve"> </w:t>
      </w:r>
      <w:r w:rsidR="006176CE" w:rsidRPr="00447BFB">
        <w:rPr>
          <w:rFonts w:ascii="Arial Narrow" w:hAnsi="Arial Narrow" w:cs="Arial"/>
          <w:sz w:val="18"/>
          <w:szCs w:val="18"/>
        </w:rPr>
        <w:t xml:space="preserve">in </w:t>
      </w:r>
      <w:r w:rsidR="003A37D7" w:rsidRPr="00447BFB">
        <w:rPr>
          <w:rFonts w:ascii="Arial Narrow" w:hAnsi="Arial Narrow" w:cs="Arial"/>
          <w:sz w:val="18"/>
          <w:szCs w:val="18"/>
        </w:rPr>
        <w:t xml:space="preserve">the template and </w:t>
      </w:r>
      <w:r w:rsidR="006176CE" w:rsidRPr="00447BFB">
        <w:rPr>
          <w:rFonts w:ascii="Arial Narrow" w:hAnsi="Arial Narrow" w:cs="Arial"/>
          <w:sz w:val="18"/>
          <w:szCs w:val="18"/>
        </w:rPr>
        <w:t>applicable district</w:t>
      </w:r>
      <w:r w:rsidRPr="00447BFB">
        <w:rPr>
          <w:rFonts w:ascii="Arial Narrow" w:hAnsi="Arial Narrow" w:cs="Arial"/>
          <w:sz w:val="18"/>
          <w:szCs w:val="18"/>
        </w:rPr>
        <w:t xml:space="preserve"> </w:t>
      </w:r>
      <w:r w:rsidR="00E91745" w:rsidRPr="00447BFB">
        <w:rPr>
          <w:rFonts w:ascii="Arial Narrow" w:hAnsi="Arial Narrow" w:cs="Arial"/>
          <w:sz w:val="18"/>
          <w:szCs w:val="18"/>
        </w:rPr>
        <w:t xml:space="preserve">UIP </w:t>
      </w:r>
      <w:r w:rsidRPr="00447BFB">
        <w:rPr>
          <w:rFonts w:ascii="Arial Narrow" w:hAnsi="Arial Narrow" w:cs="Arial"/>
          <w:sz w:val="18"/>
          <w:szCs w:val="18"/>
        </w:rPr>
        <w:t>documents.</w:t>
      </w:r>
      <w:r w:rsidR="000018FF" w:rsidRPr="00447BFB">
        <w:rPr>
          <w:rFonts w:ascii="Arial Narrow" w:hAnsi="Arial Narrow" w:cs="Arial"/>
          <w:sz w:val="18"/>
          <w:szCs w:val="18"/>
        </w:rPr>
        <w:t xml:space="preserve"> Exception to this annual plan</w:t>
      </w:r>
      <w:r w:rsidR="00B02DF7" w:rsidRPr="00447BFB">
        <w:rPr>
          <w:rFonts w:ascii="Arial Narrow" w:hAnsi="Arial Narrow" w:cs="Arial"/>
          <w:sz w:val="18"/>
          <w:szCs w:val="18"/>
        </w:rPr>
        <w:t xml:space="preserve"> submission</w:t>
      </w:r>
      <w:r w:rsidR="000018FF" w:rsidRPr="00447BFB">
        <w:rPr>
          <w:rFonts w:ascii="Arial Narrow" w:hAnsi="Arial Narrow" w:cs="Arial"/>
          <w:sz w:val="18"/>
          <w:szCs w:val="18"/>
        </w:rPr>
        <w:t xml:space="preserve"> is for small rural districts that function on a bi-annual unified improvement plan submission. (C.R.S. 22-11-303(4</w:t>
      </w:r>
      <w:proofErr w:type="gramStart"/>
      <w:r w:rsidR="000018FF" w:rsidRPr="00447BFB">
        <w:rPr>
          <w:rFonts w:ascii="Arial Narrow" w:hAnsi="Arial Narrow" w:cs="Arial"/>
          <w:sz w:val="18"/>
          <w:szCs w:val="18"/>
        </w:rPr>
        <w:t>)(</w:t>
      </w:r>
      <w:proofErr w:type="gramEnd"/>
      <w:r w:rsidR="000018FF" w:rsidRPr="00447BFB">
        <w:rPr>
          <w:rFonts w:ascii="Arial Narrow" w:hAnsi="Arial Narrow" w:cs="Arial"/>
          <w:sz w:val="18"/>
          <w:szCs w:val="18"/>
        </w:rPr>
        <w:t xml:space="preserve">b)) </w:t>
      </w:r>
      <w:r w:rsidRPr="00447BFB">
        <w:rPr>
          <w:rFonts w:ascii="Arial Narrow" w:hAnsi="Arial Narrow" w:cs="Arial"/>
          <w:sz w:val="18"/>
          <w:szCs w:val="18"/>
        </w:rPr>
        <w:t xml:space="preserve"> As a part of the improvement planning process, districts are strongly encouraged to weave </w:t>
      </w:r>
      <w:r w:rsidR="006176CE" w:rsidRPr="00447BFB">
        <w:rPr>
          <w:rFonts w:ascii="Arial Narrow" w:hAnsi="Arial Narrow" w:cs="Arial"/>
          <w:sz w:val="18"/>
          <w:szCs w:val="18"/>
        </w:rPr>
        <w:t>appropriate requirements into</w:t>
      </w:r>
      <w:r w:rsidR="00721FF0" w:rsidRPr="00447BFB">
        <w:rPr>
          <w:rFonts w:ascii="Arial Narrow" w:hAnsi="Arial Narrow" w:cs="Arial"/>
          <w:sz w:val="18"/>
          <w:szCs w:val="18"/>
        </w:rPr>
        <w:t xml:space="preserve"> </w:t>
      </w:r>
      <w:r w:rsidRPr="00447BFB">
        <w:rPr>
          <w:rFonts w:ascii="Arial Narrow" w:hAnsi="Arial Narrow" w:cs="Arial"/>
          <w:sz w:val="18"/>
          <w:szCs w:val="18"/>
        </w:rPr>
        <w:t xml:space="preserve">sections of the </w:t>
      </w:r>
      <w:r w:rsidR="000018FF" w:rsidRPr="00447BFB">
        <w:rPr>
          <w:rFonts w:ascii="Arial Narrow" w:hAnsi="Arial Narrow" w:cs="Arial"/>
          <w:sz w:val="18"/>
          <w:szCs w:val="18"/>
        </w:rPr>
        <w:t xml:space="preserve">district’s </w:t>
      </w:r>
      <w:r w:rsidRPr="00447BFB">
        <w:rPr>
          <w:rFonts w:ascii="Arial Narrow" w:hAnsi="Arial Narrow" w:cs="Arial"/>
          <w:sz w:val="18"/>
          <w:szCs w:val="18"/>
        </w:rPr>
        <w:t>UIP. This form provides a way to ensure</w:t>
      </w:r>
      <w:r w:rsidRPr="00447BFB">
        <w:rPr>
          <w:rFonts w:ascii="Arial Narrow" w:hAnsi="Arial Narrow" w:cs="Arial"/>
          <w:color w:val="C00000"/>
          <w:sz w:val="18"/>
          <w:szCs w:val="18"/>
        </w:rPr>
        <w:t xml:space="preserve"> </w:t>
      </w:r>
      <w:r w:rsidRPr="00447BFB">
        <w:rPr>
          <w:rFonts w:ascii="Arial Narrow" w:hAnsi="Arial Narrow" w:cs="Arial"/>
          <w:sz w:val="18"/>
          <w:szCs w:val="18"/>
        </w:rPr>
        <w:t>all components of the program are met through assurances and by (1) describing the requirements in this addendum</w:t>
      </w:r>
      <w:r w:rsidR="002471D9" w:rsidRPr="00447BFB">
        <w:rPr>
          <w:rFonts w:ascii="Arial Narrow" w:hAnsi="Arial Narrow" w:cs="Arial"/>
          <w:sz w:val="18"/>
          <w:szCs w:val="18"/>
        </w:rPr>
        <w:t xml:space="preserve"> template,</w:t>
      </w:r>
      <w:r w:rsidRPr="00447BFB">
        <w:rPr>
          <w:rFonts w:ascii="Arial Narrow" w:hAnsi="Arial Narrow" w:cs="Arial"/>
          <w:sz w:val="18"/>
          <w:szCs w:val="18"/>
        </w:rPr>
        <w:t xml:space="preserve"> or by (2) listing the page numbers where the gifted education elements</w:t>
      </w:r>
      <w:r w:rsidR="000018FF" w:rsidRPr="00447BFB">
        <w:rPr>
          <w:rFonts w:ascii="Arial Narrow" w:hAnsi="Arial Narrow" w:cs="Arial"/>
          <w:sz w:val="18"/>
          <w:szCs w:val="18"/>
        </w:rPr>
        <w:t xml:space="preserve"> are located in the </w:t>
      </w:r>
      <w:r w:rsidR="002471D9" w:rsidRPr="00447BFB">
        <w:rPr>
          <w:rFonts w:ascii="Arial Narrow" w:hAnsi="Arial Narrow" w:cs="Arial"/>
          <w:sz w:val="18"/>
          <w:szCs w:val="18"/>
        </w:rPr>
        <w:t xml:space="preserve">district’s </w:t>
      </w:r>
      <w:r w:rsidR="00E91745" w:rsidRPr="00447BFB">
        <w:rPr>
          <w:rFonts w:ascii="Arial Narrow" w:hAnsi="Arial Narrow" w:cs="Arial"/>
          <w:sz w:val="18"/>
          <w:szCs w:val="18"/>
        </w:rPr>
        <w:t>UIP</w:t>
      </w:r>
      <w:r w:rsidR="000018FF" w:rsidRPr="00447BFB">
        <w:rPr>
          <w:rFonts w:ascii="Arial Narrow" w:hAnsi="Arial Narrow" w:cs="Arial"/>
          <w:sz w:val="18"/>
          <w:szCs w:val="18"/>
        </w:rPr>
        <w:t xml:space="preserve"> and action plan</w:t>
      </w:r>
      <w:r w:rsidR="00E91745" w:rsidRPr="00447BFB">
        <w:rPr>
          <w:rFonts w:ascii="Arial Narrow" w:hAnsi="Arial Narrow" w:cs="Arial"/>
          <w:sz w:val="18"/>
          <w:szCs w:val="18"/>
        </w:rPr>
        <w:t>. For additional information</w:t>
      </w:r>
      <w:r w:rsidR="000629FC" w:rsidRPr="00447BFB">
        <w:rPr>
          <w:rFonts w:ascii="Arial Narrow" w:hAnsi="Arial Narrow" w:cs="Arial"/>
          <w:sz w:val="18"/>
          <w:szCs w:val="18"/>
        </w:rPr>
        <w:t>, go to</w:t>
      </w:r>
      <w:r w:rsidR="00E91745" w:rsidRPr="00447BFB">
        <w:rPr>
          <w:rFonts w:ascii="Arial Narrow" w:hAnsi="Arial Narrow" w:cs="Arial"/>
          <w:sz w:val="18"/>
          <w:szCs w:val="18"/>
        </w:rPr>
        <w:t xml:space="preserve">: </w:t>
      </w:r>
      <w:hyperlink r:id="rId8" w:history="1">
        <w:r w:rsidR="00E91745" w:rsidRPr="00447BFB">
          <w:rPr>
            <w:rStyle w:val="Hyperlink"/>
            <w:rFonts w:ascii="Arial Narrow" w:hAnsi="Arial Narrow" w:cs="Arial"/>
            <w:sz w:val="18"/>
            <w:szCs w:val="18"/>
          </w:rPr>
          <w:t>http://www.cde.state.co.us/gt</w:t>
        </w:r>
      </w:hyperlink>
      <w:r w:rsidR="00475C27" w:rsidRPr="00447BFB">
        <w:rPr>
          <w:rStyle w:val="Hyperlink"/>
          <w:rFonts w:ascii="Arial Narrow" w:hAnsi="Arial Narrow" w:cs="Arial"/>
          <w:sz w:val="18"/>
          <w:szCs w:val="18"/>
        </w:rPr>
        <w:t xml:space="preserve">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18"/>
        <w:gridCol w:w="1440"/>
        <w:gridCol w:w="6300"/>
      </w:tblGrid>
      <w:tr w:rsidR="00DA2140" w:rsidRPr="00945E1D" w:rsidTr="00574BF5">
        <w:tc>
          <w:tcPr>
            <w:tcW w:w="5418" w:type="dxa"/>
            <w:shd w:val="clear" w:color="auto" w:fill="000000" w:themeFill="text1"/>
            <w:vAlign w:val="center"/>
          </w:tcPr>
          <w:p w:rsidR="00DA2140" w:rsidRPr="00945E1D" w:rsidRDefault="00DA2140" w:rsidP="00DA2140">
            <w:pPr>
              <w:spacing w:before="60" w:after="60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945E1D">
              <w:rPr>
                <w:rFonts w:ascii="Arial Narrow" w:hAnsi="Arial Narrow"/>
                <w:color w:val="FFFFFF" w:themeColor="background1"/>
              </w:rPr>
              <w:t>Description of Gifted Education Program Requirements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:rsidR="00DA2140" w:rsidRPr="00945E1D" w:rsidRDefault="00DA2140" w:rsidP="00DA2140">
            <w:pPr>
              <w:spacing w:before="60" w:after="60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945E1D">
              <w:rPr>
                <w:rFonts w:ascii="Arial Narrow" w:hAnsi="Arial Narrow"/>
                <w:color w:val="FFFFFF" w:themeColor="background1"/>
              </w:rPr>
              <w:t>Recommended location in UIP</w:t>
            </w:r>
          </w:p>
        </w:tc>
        <w:tc>
          <w:tcPr>
            <w:tcW w:w="6300" w:type="dxa"/>
            <w:shd w:val="clear" w:color="auto" w:fill="000000" w:themeFill="text1"/>
            <w:vAlign w:val="center"/>
          </w:tcPr>
          <w:p w:rsidR="00DA2140" w:rsidRPr="00945E1D" w:rsidRDefault="00DA2140" w:rsidP="00DA2140">
            <w:pPr>
              <w:spacing w:before="60" w:after="60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945E1D">
              <w:rPr>
                <w:rFonts w:ascii="Arial Narrow" w:hAnsi="Arial Narrow"/>
                <w:color w:val="FFFFFF" w:themeColor="background1"/>
              </w:rPr>
              <w:t>Description of requirement or Crosswalk of Description in UIP Data Narrative or Action Plan (include page number)</w:t>
            </w:r>
          </w:p>
        </w:tc>
      </w:tr>
      <w:tr w:rsidR="00DA2140" w:rsidRPr="00945E1D" w:rsidTr="00574BF5">
        <w:tc>
          <w:tcPr>
            <w:tcW w:w="5418" w:type="dxa"/>
            <w:shd w:val="clear" w:color="auto" w:fill="auto"/>
          </w:tcPr>
          <w:p w:rsidR="006A79F2" w:rsidRPr="006A79F2" w:rsidRDefault="00DA2140" w:rsidP="0002654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0629FC">
              <w:rPr>
                <w:rFonts w:ascii="Arial Narrow" w:hAnsi="Arial Narrow"/>
                <w:sz w:val="20"/>
                <w:szCs w:val="20"/>
              </w:rPr>
              <w:t xml:space="preserve">Record reflection on </w:t>
            </w:r>
            <w:r w:rsidR="00026542">
              <w:rPr>
                <w:rFonts w:ascii="Arial Narrow" w:hAnsi="Arial Narrow"/>
                <w:sz w:val="20"/>
                <w:szCs w:val="20"/>
              </w:rPr>
              <w:t>results/</w:t>
            </w:r>
            <w:r w:rsidRPr="000629FC">
              <w:rPr>
                <w:rFonts w:ascii="Arial Narrow" w:hAnsi="Arial Narrow"/>
                <w:sz w:val="20"/>
                <w:szCs w:val="20"/>
              </w:rPr>
              <w:t xml:space="preserve">progress </w:t>
            </w:r>
            <w:r w:rsidR="006A79F2">
              <w:rPr>
                <w:rFonts w:ascii="Arial Narrow" w:hAnsi="Arial Narrow"/>
                <w:sz w:val="20"/>
                <w:szCs w:val="20"/>
              </w:rPr>
              <w:t>tow</w:t>
            </w:r>
            <w:r w:rsidR="00026542">
              <w:rPr>
                <w:rFonts w:ascii="Arial Narrow" w:hAnsi="Arial Narrow"/>
                <w:sz w:val="20"/>
                <w:szCs w:val="20"/>
              </w:rPr>
              <w:t>ards previous year’s targets for</w:t>
            </w:r>
            <w:r w:rsidR="006A79F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71D9">
              <w:rPr>
                <w:rFonts w:ascii="Arial Narrow" w:hAnsi="Arial Narrow"/>
                <w:sz w:val="20"/>
                <w:szCs w:val="20"/>
              </w:rPr>
              <w:t xml:space="preserve">gifted student </w:t>
            </w:r>
            <w:r w:rsidR="006A79F2">
              <w:rPr>
                <w:rFonts w:ascii="Arial Narrow" w:hAnsi="Arial Narrow"/>
                <w:sz w:val="20"/>
                <w:szCs w:val="20"/>
              </w:rPr>
              <w:t>achievement or growth</w:t>
            </w:r>
            <w:r w:rsidR="00B02DF7">
              <w:rPr>
                <w:rFonts w:ascii="Arial Narrow" w:hAnsi="Arial Narrow"/>
                <w:sz w:val="20"/>
                <w:szCs w:val="20"/>
              </w:rPr>
              <w:t xml:space="preserve">; and other data supporting progress or noted observations about </w:t>
            </w:r>
            <w:r w:rsidR="006A79F2">
              <w:rPr>
                <w:rFonts w:ascii="Arial Narrow" w:hAnsi="Arial Narrow"/>
                <w:sz w:val="20"/>
                <w:szCs w:val="20"/>
              </w:rPr>
              <w:t xml:space="preserve">gifted </w:t>
            </w:r>
            <w:r w:rsidR="00B02DF7">
              <w:rPr>
                <w:rFonts w:ascii="Arial Narrow" w:hAnsi="Arial Narrow"/>
                <w:sz w:val="20"/>
                <w:szCs w:val="20"/>
              </w:rPr>
              <w:t xml:space="preserve">student </w:t>
            </w:r>
            <w:r w:rsidR="002471D9">
              <w:rPr>
                <w:rFonts w:ascii="Arial Narrow" w:hAnsi="Arial Narrow"/>
                <w:sz w:val="20"/>
                <w:szCs w:val="20"/>
              </w:rPr>
              <w:t xml:space="preserve">data and </w:t>
            </w:r>
            <w:r w:rsidR="00B02DF7">
              <w:rPr>
                <w:rFonts w:ascii="Arial Narrow" w:hAnsi="Arial Narrow"/>
                <w:sz w:val="20"/>
                <w:szCs w:val="20"/>
              </w:rPr>
              <w:t>performance.</w:t>
            </w:r>
            <w:r w:rsidR="006A79F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A79F2" w:rsidRPr="006A79F2">
              <w:rPr>
                <w:rFonts w:ascii="Arial Narrow" w:hAnsi="Arial Narrow"/>
                <w:sz w:val="18"/>
                <w:szCs w:val="18"/>
              </w:rPr>
              <w:t xml:space="preserve">This </w:t>
            </w:r>
            <w:r w:rsidR="006A79F2">
              <w:rPr>
                <w:rFonts w:ascii="Arial Narrow" w:hAnsi="Arial Narrow"/>
                <w:sz w:val="18"/>
                <w:szCs w:val="18"/>
              </w:rPr>
              <w:t xml:space="preserve">section fulfils </w:t>
            </w:r>
            <w:r w:rsidR="006A79F2" w:rsidRPr="006A79F2">
              <w:rPr>
                <w:rFonts w:ascii="Arial Narrow" w:hAnsi="Arial Narrow"/>
                <w:sz w:val="18"/>
                <w:szCs w:val="18"/>
              </w:rPr>
              <w:t>ECEA reporting requirements for gifted student achievement and growth, combining the annual plan and report into one submission</w:t>
            </w:r>
            <w:r w:rsidR="00026542">
              <w:rPr>
                <w:rFonts w:ascii="Arial Narrow" w:hAnsi="Arial Narrow"/>
                <w:sz w:val="18"/>
                <w:szCs w:val="18"/>
              </w:rPr>
              <w:t>.</w:t>
            </w:r>
            <w:r w:rsidR="006A79F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DA2140" w:rsidRPr="00574BF5" w:rsidRDefault="00DA2140" w:rsidP="001157C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574BF5">
              <w:rPr>
                <w:rFonts w:ascii="Arial Narrow" w:hAnsi="Arial Narrow"/>
                <w:sz w:val="20"/>
                <w:szCs w:val="20"/>
              </w:rPr>
              <w:t xml:space="preserve">Section III:  Data Narrative </w:t>
            </w:r>
            <w:r w:rsidR="00D64B54" w:rsidRPr="00574BF5">
              <w:rPr>
                <w:rFonts w:ascii="Arial Narrow" w:hAnsi="Arial Narrow"/>
                <w:sz w:val="20"/>
                <w:szCs w:val="20"/>
              </w:rPr>
              <w:t>(Report)</w:t>
            </w:r>
          </w:p>
        </w:tc>
        <w:tc>
          <w:tcPr>
            <w:tcW w:w="6300" w:type="dxa"/>
            <w:shd w:val="clear" w:color="auto" w:fill="auto"/>
          </w:tcPr>
          <w:p w:rsidR="0027698F" w:rsidRPr="00945E1D" w:rsidRDefault="0027698F" w:rsidP="001157C3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2471D9" w:rsidRPr="00945E1D" w:rsidTr="00574BF5">
        <w:trPr>
          <w:trHeight w:val="1884"/>
        </w:trPr>
        <w:tc>
          <w:tcPr>
            <w:tcW w:w="5418" w:type="dxa"/>
          </w:tcPr>
          <w:p w:rsidR="002471D9" w:rsidRPr="00DC68ED" w:rsidRDefault="00DC68ED" w:rsidP="00DC68ED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C68E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Data Analysis: 1) </w:t>
            </w:r>
            <w:r w:rsidR="002471D9" w:rsidRPr="00DC68ED">
              <w:rPr>
                <w:rFonts w:ascii="Arial Narrow" w:hAnsi="Arial Narrow"/>
                <w:color w:val="000000" w:themeColor="text1"/>
                <w:sz w:val="20"/>
                <w:szCs w:val="20"/>
              </w:rPr>
              <w:t>Disaggregate gifted student performance by sub-groups (e.g., grade ranges, minority, and FRED) to reveal strengths and/or gaps (disparities) in achievement and/or growth on state and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/or district assessments; 2) include trend statements; 3) </w:t>
            </w:r>
            <w:r w:rsidR="002471D9" w:rsidRPr="00DC68E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prioritized performance challenges and root causes that investigates the needs </w:t>
            </w:r>
            <w:r w:rsidR="002471D9" w:rsidRPr="00DC68ED">
              <w:rPr>
                <w:rFonts w:ascii="Arial Narrow" w:hAnsi="Arial Narrow"/>
                <w:sz w:val="20"/>
                <w:szCs w:val="20"/>
              </w:rPr>
              <w:t>of selected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gifted st</w:t>
            </w:r>
            <w:r w:rsidR="002471D9" w:rsidRPr="00DC68ED">
              <w:rPr>
                <w:rFonts w:ascii="Arial Narrow" w:hAnsi="Arial Narrow"/>
                <w:color w:val="000000" w:themeColor="text1"/>
                <w:sz w:val="20"/>
                <w:szCs w:val="20"/>
              </w:rPr>
              <w:t>udent groups.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(Do these challenges converge or diverge from district areas of improvement?)</w:t>
            </w:r>
          </w:p>
          <w:p w:rsidR="002471D9" w:rsidRPr="00DC68ED" w:rsidRDefault="006A79F2" w:rsidP="00026542">
            <w:pPr>
              <w:spacing w:before="60"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C68ED">
              <w:rPr>
                <w:rFonts w:ascii="Arial Narrow" w:hAnsi="Arial Narrow"/>
                <w:color w:val="000000" w:themeColor="text1"/>
                <w:sz w:val="18"/>
                <w:szCs w:val="18"/>
              </w:rPr>
              <w:t>Note:</w:t>
            </w:r>
            <w:r w:rsidR="00DC68ED" w:rsidRPr="00DC6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A </w:t>
            </w:r>
            <w:r w:rsidR="002471D9" w:rsidRPr="00DC68ED">
              <w:rPr>
                <w:rFonts w:ascii="Arial Narrow" w:hAnsi="Arial Narrow"/>
                <w:color w:val="000000" w:themeColor="text1"/>
                <w:sz w:val="18"/>
                <w:szCs w:val="18"/>
              </w:rPr>
              <w:t>data analysis of all sub-groups is not expected annually when working towards a two-year action plan that already focuses on a selected student group and area(s) for improvement.</w:t>
            </w:r>
            <w:r w:rsidRPr="00DC6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DC68ED" w:rsidRPr="00DC68ED">
              <w:rPr>
                <w:rFonts w:ascii="Arial Narrow" w:hAnsi="Arial Narrow"/>
                <w:color w:val="000000" w:themeColor="text1"/>
                <w:sz w:val="18"/>
                <w:szCs w:val="18"/>
              </w:rPr>
              <w:t>Talk about</w:t>
            </w:r>
            <w:r w:rsidR="00026542">
              <w:rPr>
                <w:rFonts w:ascii="Arial Narrow" w:hAnsi="Arial Narrow"/>
                <w:color w:val="000000" w:themeColor="text1"/>
                <w:sz w:val="18"/>
                <w:szCs w:val="18"/>
              </w:rPr>
              <w:t>/analyze data in focus area(s).</w:t>
            </w:r>
          </w:p>
        </w:tc>
        <w:tc>
          <w:tcPr>
            <w:tcW w:w="1440" w:type="dxa"/>
            <w:shd w:val="clear" w:color="auto" w:fill="FFFFFF" w:themeFill="background1"/>
          </w:tcPr>
          <w:p w:rsidR="002471D9" w:rsidRPr="00574BF5" w:rsidRDefault="002471D9" w:rsidP="001157C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574BF5">
              <w:rPr>
                <w:rFonts w:ascii="Arial Narrow" w:hAnsi="Arial Narrow"/>
                <w:sz w:val="20"/>
                <w:szCs w:val="20"/>
              </w:rPr>
              <w:t>Section III:  Data Narrative</w:t>
            </w:r>
          </w:p>
        </w:tc>
        <w:tc>
          <w:tcPr>
            <w:tcW w:w="6300" w:type="dxa"/>
            <w:shd w:val="clear" w:color="auto" w:fill="FFFFFF" w:themeFill="background1"/>
          </w:tcPr>
          <w:p w:rsidR="002471D9" w:rsidRPr="00945E1D" w:rsidRDefault="002471D9" w:rsidP="001157C3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</w:tbl>
    <w:p w:rsidR="00D64B54" w:rsidRDefault="00D64B5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89"/>
        <w:gridCol w:w="1439"/>
        <w:gridCol w:w="6184"/>
      </w:tblGrid>
      <w:tr w:rsidR="00D64B54" w:rsidRPr="00945E1D" w:rsidTr="00BC5BCA">
        <w:tc>
          <w:tcPr>
            <w:tcW w:w="5328" w:type="dxa"/>
            <w:shd w:val="clear" w:color="auto" w:fill="000000" w:themeFill="text1"/>
            <w:vAlign w:val="center"/>
          </w:tcPr>
          <w:p w:rsidR="00D64B54" w:rsidRPr="00945E1D" w:rsidRDefault="00D64B54" w:rsidP="00BC5BCA">
            <w:pPr>
              <w:spacing w:before="60" w:after="60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945E1D">
              <w:rPr>
                <w:rFonts w:ascii="Arial Narrow" w:hAnsi="Arial Narrow"/>
                <w:color w:val="FFFFFF" w:themeColor="background1"/>
              </w:rPr>
              <w:lastRenderedPageBreak/>
              <w:t xml:space="preserve">Description of Gifted Education Program Requirements </w:t>
            </w:r>
            <w:r w:rsidRPr="00945E1D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(cont.)</w:t>
            </w:r>
          </w:p>
        </w:tc>
        <w:tc>
          <w:tcPr>
            <w:tcW w:w="1530" w:type="dxa"/>
            <w:gridSpan w:val="2"/>
            <w:shd w:val="clear" w:color="auto" w:fill="000000" w:themeFill="text1"/>
            <w:vAlign w:val="center"/>
          </w:tcPr>
          <w:p w:rsidR="00D64B54" w:rsidRPr="00945E1D" w:rsidRDefault="00D64B54" w:rsidP="00BC5BCA">
            <w:pPr>
              <w:spacing w:before="60" w:after="60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945E1D">
              <w:rPr>
                <w:rFonts w:ascii="Arial Narrow" w:hAnsi="Arial Narrow"/>
                <w:color w:val="FFFFFF" w:themeColor="background1"/>
              </w:rPr>
              <w:t>Recommended location in UIP</w:t>
            </w:r>
          </w:p>
        </w:tc>
        <w:tc>
          <w:tcPr>
            <w:tcW w:w="6300" w:type="dxa"/>
            <w:shd w:val="clear" w:color="auto" w:fill="000000" w:themeFill="text1"/>
            <w:vAlign w:val="center"/>
          </w:tcPr>
          <w:p w:rsidR="00D64B54" w:rsidRPr="00945E1D" w:rsidRDefault="00D64B54" w:rsidP="00BC5BCA">
            <w:pPr>
              <w:spacing w:before="60" w:after="60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945E1D">
              <w:rPr>
                <w:rFonts w:ascii="Arial Narrow" w:hAnsi="Arial Narrow"/>
                <w:color w:val="FFFFFF" w:themeColor="background1"/>
              </w:rPr>
              <w:t>Description of requirement or Crosswalk of Description in UIP Data Narrative or Action Plan (include page number)</w:t>
            </w:r>
          </w:p>
        </w:tc>
      </w:tr>
      <w:tr w:rsidR="00D64B54" w:rsidRPr="00945E1D" w:rsidTr="00D64B54">
        <w:trPr>
          <w:trHeight w:val="2447"/>
        </w:trPr>
        <w:tc>
          <w:tcPr>
            <w:tcW w:w="5418" w:type="dxa"/>
            <w:gridSpan w:val="2"/>
          </w:tcPr>
          <w:p w:rsidR="00D64B54" w:rsidRPr="00945E1D" w:rsidRDefault="00D64B54" w:rsidP="00D64B5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C68E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Set targets for gifted students’ performance that meet or exceed state expectations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toward distinguished</w:t>
            </w:r>
            <w:r w:rsidRPr="00DC68E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achievement </w:t>
            </w:r>
            <w:r w:rsidRPr="00DC68E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and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high </w:t>
            </w:r>
            <w:r w:rsidRPr="00DC68ED">
              <w:rPr>
                <w:rFonts w:ascii="Arial Narrow" w:hAnsi="Arial Narrow"/>
                <w:color w:val="000000" w:themeColor="text1"/>
                <w:sz w:val="20"/>
                <w:szCs w:val="20"/>
              </w:rPr>
              <w:t>growth in their</w:t>
            </w:r>
            <w:r w:rsidRPr="00DC68ED">
              <w:rPr>
                <w:rFonts w:ascii="Arial Narrow" w:hAnsi="Arial Narrow"/>
                <w:sz w:val="20"/>
                <w:szCs w:val="20"/>
              </w:rPr>
              <w:t xml:space="preserve"> area(s) o</w:t>
            </w:r>
            <w:r w:rsidRPr="00DC68ED">
              <w:rPr>
                <w:rFonts w:ascii="Arial Narrow" w:hAnsi="Arial Narrow"/>
                <w:color w:val="000000" w:themeColor="text1"/>
                <w:sz w:val="20"/>
                <w:szCs w:val="20"/>
              </w:rPr>
              <w:t>f strength.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D64B54" w:rsidRPr="00945E1D" w:rsidRDefault="00D64B54" w:rsidP="001157C3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Describe gifted student performance targets in terms of either </w:t>
            </w:r>
            <w:r w:rsidRPr="00721FF0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the</w:t>
            </w: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district targets (convergence) or as a specific gifted student target/s (divergence) based </w:t>
            </w:r>
            <w:r w:rsidRPr="0057763C">
              <w:rPr>
                <w:rFonts w:ascii="Arial Narrow" w:hAnsi="Arial Narrow"/>
                <w:color w:val="000000" w:themeColor="text1"/>
                <w:sz w:val="20"/>
                <w:szCs w:val="20"/>
              </w:rPr>
              <w:t>upon the specific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>performance challenges of gifted students.</w:t>
            </w:r>
          </w:p>
          <w:p w:rsidR="00D64B54" w:rsidRPr="00945E1D" w:rsidRDefault="00D64B54" w:rsidP="001157C3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>Describe the interim measures to monitor progress of individual student performance for the selected student sub-group or grade level range.</w:t>
            </w:r>
          </w:p>
        </w:tc>
        <w:tc>
          <w:tcPr>
            <w:tcW w:w="1440" w:type="dxa"/>
            <w:shd w:val="clear" w:color="auto" w:fill="FFFFFF" w:themeFill="background1"/>
          </w:tcPr>
          <w:p w:rsidR="00D64B54" w:rsidRPr="00945E1D" w:rsidRDefault="00D64B54" w:rsidP="001157C3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>Section IV:  Target Setting Form</w:t>
            </w:r>
          </w:p>
          <w:p w:rsidR="00D64B54" w:rsidRDefault="00D64B54" w:rsidP="00D64B5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64B54" w:rsidRDefault="00D64B54" w:rsidP="00D64B5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64B54" w:rsidRPr="00945E1D" w:rsidRDefault="00D64B54" w:rsidP="00D64B5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:rsidR="00D64B54" w:rsidRDefault="00D64B54" w:rsidP="001157C3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64B54" w:rsidRDefault="00D64B54" w:rsidP="001157C3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64B54" w:rsidRDefault="00D64B54" w:rsidP="001157C3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64B54" w:rsidRDefault="00D64B54" w:rsidP="001157C3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64B54" w:rsidRDefault="00D64B54" w:rsidP="001157C3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64B54" w:rsidRPr="00945E1D" w:rsidRDefault="00D64B54" w:rsidP="001157C3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D64B54" w:rsidRPr="00945E1D" w:rsidTr="002E5AD6">
        <w:trPr>
          <w:trHeight w:val="2824"/>
        </w:trPr>
        <w:tc>
          <w:tcPr>
            <w:tcW w:w="5418" w:type="dxa"/>
            <w:gridSpan w:val="2"/>
          </w:tcPr>
          <w:p w:rsidR="00D64B54" w:rsidRPr="00945E1D" w:rsidRDefault="00D64B54" w:rsidP="0057763C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Identify </w:t>
            </w:r>
            <w:r w:rsidRPr="00721FF0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 xml:space="preserve">major </w:t>
            </w: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(differentiated) strategies to be implemented that support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and </w:t>
            </w: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>address the identified performance challenges and will enable the AU to meet the performance targets.</w:t>
            </w:r>
          </w:p>
          <w:p w:rsidR="00D64B54" w:rsidRPr="00945E1D" w:rsidRDefault="00D64B54" w:rsidP="001F0AE1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>Describ</w:t>
            </w:r>
            <w:r w:rsidRPr="00026542">
              <w:rPr>
                <w:rFonts w:ascii="Arial Narrow" w:hAnsi="Arial Narrow"/>
                <w:color w:val="000000" w:themeColor="text1"/>
                <w:sz w:val="20"/>
                <w:szCs w:val="20"/>
              </w:rPr>
              <w:t>e steps and timeline for major</w:t>
            </w: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improvement strategies and professional development that will have positive and long term impact to improve gifted student performance.</w:t>
            </w:r>
          </w:p>
          <w:p w:rsidR="00D64B54" w:rsidRPr="000629FC" w:rsidRDefault="00D64B54" w:rsidP="001F0AE1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0629FC">
              <w:rPr>
                <w:rFonts w:ascii="Arial Narrow" w:hAnsi="Arial Narrow"/>
                <w:sz w:val="20"/>
                <w:szCs w:val="20"/>
              </w:rPr>
              <w:t>Describe who has primary responsibility for implementing action steps for improvement of gifted student performance</w:t>
            </w:r>
            <w:r w:rsidRPr="000629FC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:rsidR="00D64B54" w:rsidRPr="00945E1D" w:rsidRDefault="00D64B54" w:rsidP="001F0AE1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>Indicate how student achievement is reported to parents and students, especially when gifted students are above grade level instruction in one or more contents at a grade level.</w:t>
            </w:r>
          </w:p>
        </w:tc>
        <w:tc>
          <w:tcPr>
            <w:tcW w:w="1440" w:type="dxa"/>
            <w:shd w:val="clear" w:color="auto" w:fill="FFFFFF" w:themeFill="background1"/>
          </w:tcPr>
          <w:p w:rsidR="00D64B54" w:rsidRPr="00945E1D" w:rsidRDefault="00D64B54" w:rsidP="001157C3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Section IV:  Action </w:t>
            </w:r>
            <w:r w:rsidRPr="000629FC">
              <w:rPr>
                <w:rFonts w:ascii="Arial Narrow" w:hAnsi="Arial Narrow"/>
                <w:sz w:val="20"/>
                <w:szCs w:val="20"/>
              </w:rPr>
              <w:t>Plan or table below</w:t>
            </w:r>
          </w:p>
        </w:tc>
        <w:tc>
          <w:tcPr>
            <w:tcW w:w="6300" w:type="dxa"/>
            <w:shd w:val="clear" w:color="auto" w:fill="FFFFFF" w:themeFill="background1"/>
          </w:tcPr>
          <w:p w:rsidR="00D64B54" w:rsidRPr="00945E1D" w:rsidRDefault="00D64B54" w:rsidP="001F0AE1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</w:tbl>
    <w:p w:rsidR="00DA2140" w:rsidRDefault="008B73C2" w:rsidP="00DA2140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</w:rPr>
      </w:pPr>
      <w:hyperlink w:history="1"/>
    </w:p>
    <w:p w:rsidR="00675BA3" w:rsidRDefault="002471D9" w:rsidP="00DA2140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0"/>
          <w:szCs w:val="20"/>
        </w:rPr>
        <w:t xml:space="preserve">Complete this </w:t>
      </w:r>
      <w:r w:rsidR="00675BA3" w:rsidRPr="000629FC">
        <w:rPr>
          <w:rFonts w:ascii="Arial Narrow" w:hAnsi="Arial Narrow"/>
          <w:b/>
          <w:color w:val="000000" w:themeColor="text1"/>
          <w:sz w:val="20"/>
          <w:szCs w:val="20"/>
        </w:rPr>
        <w:t>Action Plan for Gifted Education</w:t>
      </w:r>
      <w:r>
        <w:rPr>
          <w:rFonts w:ascii="Arial Narrow" w:hAnsi="Arial Narrow"/>
          <w:b/>
          <w:color w:val="000000" w:themeColor="text1"/>
          <w:sz w:val="20"/>
          <w:szCs w:val="20"/>
        </w:rPr>
        <w:t xml:space="preserve">, if action steps for gifted targets are not </w:t>
      </w:r>
      <w:r w:rsidR="00FA252C">
        <w:rPr>
          <w:rFonts w:ascii="Arial Narrow" w:hAnsi="Arial Narrow"/>
          <w:b/>
          <w:color w:val="000000" w:themeColor="text1"/>
          <w:sz w:val="20"/>
          <w:szCs w:val="20"/>
        </w:rPr>
        <w:t>included</w:t>
      </w:r>
      <w:r>
        <w:rPr>
          <w:rFonts w:ascii="Arial Narrow" w:hAnsi="Arial Narrow"/>
          <w:b/>
          <w:color w:val="000000" w:themeColor="text1"/>
          <w:sz w:val="20"/>
          <w:szCs w:val="20"/>
        </w:rPr>
        <w:t xml:space="preserve"> in the district’s action plan </w:t>
      </w:r>
      <w:r w:rsidR="00675BA3" w:rsidRPr="000629FC">
        <w:rPr>
          <w:rFonts w:ascii="Arial Narrow" w:hAnsi="Arial Narrow"/>
          <w:color w:val="000000" w:themeColor="text1"/>
          <w:sz w:val="20"/>
          <w:szCs w:val="20"/>
        </w:rPr>
        <w:t>(additional rows may be added, as needed)</w:t>
      </w:r>
      <w:r w:rsidR="00E91745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:rsidR="0027698F" w:rsidRPr="00026542" w:rsidRDefault="00026542" w:rsidP="00DA2140">
      <w:pPr>
        <w:spacing w:after="0" w:line="240" w:lineRule="auto"/>
        <w:rPr>
          <w:rFonts w:ascii="Arial Narrow" w:hAnsi="Arial Narrow"/>
          <w:b/>
          <w:color w:val="000000" w:themeColor="text1"/>
          <w:sz w:val="20"/>
          <w:szCs w:val="20"/>
        </w:rPr>
      </w:pPr>
      <w:r w:rsidRPr="00026542">
        <w:rPr>
          <w:rFonts w:ascii="Arial Narrow" w:hAnsi="Arial Narrow"/>
          <w:b/>
          <w:color w:val="000000" w:themeColor="text1"/>
          <w:sz w:val="20"/>
          <w:szCs w:val="20"/>
        </w:rPr>
        <w:t xml:space="preserve">Improvement Strategy: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7"/>
        <w:gridCol w:w="917"/>
        <w:gridCol w:w="917"/>
        <w:gridCol w:w="1279"/>
        <w:gridCol w:w="2253"/>
        <w:gridCol w:w="2364"/>
        <w:gridCol w:w="2263"/>
      </w:tblGrid>
      <w:tr w:rsidR="00B143A7" w:rsidRPr="00F138AC" w:rsidTr="000629FC">
        <w:trPr>
          <w:trHeight w:val="428"/>
        </w:trPr>
        <w:tc>
          <w:tcPr>
            <w:tcW w:w="3021" w:type="dxa"/>
            <w:vMerge w:val="restart"/>
            <w:shd w:val="clear" w:color="auto" w:fill="000000" w:themeFill="text1"/>
            <w:vAlign w:val="center"/>
          </w:tcPr>
          <w:p w:rsidR="00B143A7" w:rsidRPr="00F138AC" w:rsidRDefault="00B143A7" w:rsidP="00ED4D3F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138AC">
              <w:rPr>
                <w:rFonts w:ascii="Arial Narrow" w:hAnsi="Arial Narrow"/>
                <w:b/>
                <w:sz w:val="20"/>
                <w:szCs w:val="20"/>
              </w:rPr>
              <w:t>Description of Action Steps to Implement the Major Improvement Strategy</w:t>
            </w:r>
          </w:p>
        </w:tc>
        <w:tc>
          <w:tcPr>
            <w:tcW w:w="1856" w:type="dxa"/>
            <w:gridSpan w:val="2"/>
            <w:shd w:val="clear" w:color="auto" w:fill="000000" w:themeFill="text1"/>
            <w:vAlign w:val="center"/>
          </w:tcPr>
          <w:p w:rsidR="00B143A7" w:rsidRPr="00F138AC" w:rsidRDefault="00B143A7" w:rsidP="00ED4D3F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138AC">
              <w:rPr>
                <w:rFonts w:ascii="Arial Narrow" w:hAnsi="Arial Narrow"/>
                <w:b/>
                <w:sz w:val="20"/>
                <w:szCs w:val="20"/>
              </w:rPr>
              <w:t>Timeline</w:t>
            </w:r>
          </w:p>
        </w:tc>
        <w:tc>
          <w:tcPr>
            <w:tcW w:w="1289" w:type="dxa"/>
            <w:vMerge w:val="restart"/>
            <w:shd w:val="clear" w:color="auto" w:fill="000000" w:themeFill="text1"/>
            <w:vAlign w:val="center"/>
          </w:tcPr>
          <w:p w:rsidR="00B143A7" w:rsidRPr="00F138AC" w:rsidRDefault="00B143A7" w:rsidP="00ED4D3F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138AC">
              <w:rPr>
                <w:rFonts w:ascii="Arial Narrow" w:hAnsi="Arial Narrow"/>
                <w:b/>
                <w:sz w:val="20"/>
                <w:szCs w:val="20"/>
              </w:rPr>
              <w:t>Key Personnel</w:t>
            </w:r>
          </w:p>
        </w:tc>
        <w:tc>
          <w:tcPr>
            <w:tcW w:w="2299" w:type="dxa"/>
            <w:vMerge w:val="restart"/>
            <w:shd w:val="clear" w:color="auto" w:fill="000000" w:themeFill="text1"/>
            <w:vAlign w:val="center"/>
          </w:tcPr>
          <w:p w:rsidR="00B143A7" w:rsidRPr="00F138AC" w:rsidRDefault="00B143A7" w:rsidP="00ED4D3F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138AC">
              <w:rPr>
                <w:rFonts w:ascii="Arial Narrow" w:hAnsi="Arial Narrow"/>
                <w:b/>
                <w:sz w:val="20"/>
                <w:szCs w:val="20"/>
              </w:rPr>
              <w:t xml:space="preserve">Resources </w:t>
            </w:r>
            <w:r w:rsidRPr="00F138AC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F138AC">
              <w:rPr>
                <w:rFonts w:ascii="Arial Narrow" w:hAnsi="Arial Narrow"/>
                <w:b/>
                <w:sz w:val="18"/>
                <w:szCs w:val="18"/>
              </w:rPr>
              <w:t>(Amount and Source: federal, state, and/or local)</w:t>
            </w:r>
          </w:p>
        </w:tc>
        <w:tc>
          <w:tcPr>
            <w:tcW w:w="2400" w:type="dxa"/>
            <w:vMerge w:val="restart"/>
            <w:shd w:val="clear" w:color="auto" w:fill="000000" w:themeFill="text1"/>
            <w:vAlign w:val="center"/>
          </w:tcPr>
          <w:p w:rsidR="00B143A7" w:rsidRPr="00F138AC" w:rsidRDefault="00B143A7" w:rsidP="00ED4D3F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138AC">
              <w:rPr>
                <w:rFonts w:ascii="Arial Narrow" w:hAnsi="Arial Narrow"/>
                <w:b/>
                <w:sz w:val="20"/>
                <w:szCs w:val="20"/>
              </w:rPr>
              <w:t>Implementation Benchmarks</w:t>
            </w:r>
          </w:p>
        </w:tc>
        <w:tc>
          <w:tcPr>
            <w:tcW w:w="2311" w:type="dxa"/>
            <w:vMerge w:val="restart"/>
            <w:shd w:val="clear" w:color="auto" w:fill="000000" w:themeFill="text1"/>
            <w:vAlign w:val="center"/>
          </w:tcPr>
          <w:p w:rsidR="00B143A7" w:rsidRPr="00F138AC" w:rsidRDefault="00B143A7" w:rsidP="00ED4D3F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138AC">
              <w:rPr>
                <w:rFonts w:ascii="Arial Narrow" w:hAnsi="Arial Narrow"/>
                <w:b/>
                <w:sz w:val="20"/>
                <w:szCs w:val="20"/>
              </w:rPr>
              <w:t xml:space="preserve">Status of Action Step </w:t>
            </w:r>
            <w:r w:rsidRPr="00F138AC">
              <w:rPr>
                <w:rFonts w:ascii="Arial Narrow" w:hAnsi="Arial Narrow"/>
                <w:b/>
                <w:sz w:val="18"/>
                <w:szCs w:val="18"/>
              </w:rPr>
              <w:t>(e.g., completed, in progress, not begun)</w:t>
            </w:r>
          </w:p>
        </w:tc>
      </w:tr>
      <w:tr w:rsidR="00B143A7" w:rsidRPr="00F138AC" w:rsidTr="00675BA3">
        <w:trPr>
          <w:trHeight w:val="427"/>
        </w:trPr>
        <w:tc>
          <w:tcPr>
            <w:tcW w:w="3021" w:type="dxa"/>
            <w:vMerge/>
            <w:shd w:val="clear" w:color="auto" w:fill="D9D9D9"/>
            <w:vAlign w:val="center"/>
          </w:tcPr>
          <w:p w:rsidR="00B143A7" w:rsidRPr="00F138AC" w:rsidRDefault="00B143A7" w:rsidP="00ED4D3F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right w:val="dashSmallGap" w:sz="4" w:space="0" w:color="auto"/>
            </w:tcBorders>
            <w:shd w:val="clear" w:color="auto" w:fill="D9D9D9"/>
            <w:vAlign w:val="center"/>
          </w:tcPr>
          <w:p w:rsidR="00B143A7" w:rsidRPr="00F138AC" w:rsidRDefault="008B73C2" w:rsidP="00ED4D3F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2015-16</w:t>
            </w:r>
          </w:p>
        </w:tc>
        <w:tc>
          <w:tcPr>
            <w:tcW w:w="928" w:type="dxa"/>
            <w:tcBorders>
              <w:left w:val="dashSmallGap" w:sz="4" w:space="0" w:color="auto"/>
            </w:tcBorders>
            <w:shd w:val="clear" w:color="auto" w:fill="D9D9D9"/>
            <w:vAlign w:val="center"/>
          </w:tcPr>
          <w:p w:rsidR="00B143A7" w:rsidRPr="00F138AC" w:rsidRDefault="008B73C2" w:rsidP="00ED4D3F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2016-17</w:t>
            </w:r>
          </w:p>
        </w:tc>
        <w:tc>
          <w:tcPr>
            <w:tcW w:w="1289" w:type="dxa"/>
            <w:vMerge/>
            <w:shd w:val="clear" w:color="auto" w:fill="D9D9D9"/>
            <w:vAlign w:val="center"/>
          </w:tcPr>
          <w:p w:rsidR="00B143A7" w:rsidRPr="00F138AC" w:rsidRDefault="00B143A7" w:rsidP="00ED4D3F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99" w:type="dxa"/>
            <w:vMerge/>
            <w:shd w:val="clear" w:color="auto" w:fill="D9D9D9"/>
            <w:vAlign w:val="center"/>
          </w:tcPr>
          <w:p w:rsidR="00B143A7" w:rsidRPr="00F138AC" w:rsidRDefault="00B143A7" w:rsidP="00ED4D3F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0" w:type="dxa"/>
            <w:vMerge/>
            <w:shd w:val="clear" w:color="auto" w:fill="D9D9D9"/>
            <w:vAlign w:val="center"/>
          </w:tcPr>
          <w:p w:rsidR="00B143A7" w:rsidRPr="00F138AC" w:rsidRDefault="00B143A7" w:rsidP="00ED4D3F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11" w:type="dxa"/>
            <w:vMerge/>
            <w:shd w:val="clear" w:color="auto" w:fill="D9D9D9"/>
          </w:tcPr>
          <w:p w:rsidR="00B143A7" w:rsidRPr="00F138AC" w:rsidRDefault="00B143A7" w:rsidP="00ED4D3F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143A7" w:rsidRPr="00F138AC" w:rsidTr="00675BA3">
        <w:tc>
          <w:tcPr>
            <w:tcW w:w="3021" w:type="dxa"/>
          </w:tcPr>
          <w:p w:rsidR="00B143A7" w:rsidRPr="00F138AC" w:rsidRDefault="00B143A7" w:rsidP="00ED4D3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28" w:type="dxa"/>
            <w:tcBorders>
              <w:right w:val="dashSmallGap" w:sz="4" w:space="0" w:color="auto"/>
            </w:tcBorders>
          </w:tcPr>
          <w:p w:rsidR="00B143A7" w:rsidRPr="00F138AC" w:rsidRDefault="00B143A7" w:rsidP="00ED4D3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28" w:type="dxa"/>
            <w:tcBorders>
              <w:left w:val="dashSmallGap" w:sz="4" w:space="0" w:color="auto"/>
            </w:tcBorders>
          </w:tcPr>
          <w:p w:rsidR="00B143A7" w:rsidRPr="00F138AC" w:rsidRDefault="00B143A7" w:rsidP="00ED4D3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289" w:type="dxa"/>
          </w:tcPr>
          <w:p w:rsidR="00B143A7" w:rsidRPr="00F138AC" w:rsidRDefault="00B143A7" w:rsidP="00ED4D3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9" w:type="dxa"/>
          </w:tcPr>
          <w:p w:rsidR="00B143A7" w:rsidRPr="00F138AC" w:rsidRDefault="00B143A7" w:rsidP="00ED4D3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00" w:type="dxa"/>
          </w:tcPr>
          <w:p w:rsidR="00B143A7" w:rsidRPr="00F138AC" w:rsidRDefault="00B143A7" w:rsidP="00ED4D3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311" w:type="dxa"/>
          </w:tcPr>
          <w:p w:rsidR="00B143A7" w:rsidRPr="00F138AC" w:rsidRDefault="00B143A7" w:rsidP="00ED4D3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143A7" w:rsidRPr="00F138AC" w:rsidTr="00675BA3">
        <w:tc>
          <w:tcPr>
            <w:tcW w:w="3021" w:type="dxa"/>
          </w:tcPr>
          <w:p w:rsidR="00B143A7" w:rsidRPr="00F138AC" w:rsidRDefault="00B143A7" w:rsidP="00ED4D3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28" w:type="dxa"/>
            <w:tcBorders>
              <w:right w:val="dashSmallGap" w:sz="4" w:space="0" w:color="auto"/>
            </w:tcBorders>
          </w:tcPr>
          <w:p w:rsidR="00B143A7" w:rsidRPr="00F138AC" w:rsidRDefault="00B143A7" w:rsidP="00ED4D3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28" w:type="dxa"/>
            <w:tcBorders>
              <w:left w:val="dashSmallGap" w:sz="4" w:space="0" w:color="auto"/>
            </w:tcBorders>
          </w:tcPr>
          <w:p w:rsidR="00B143A7" w:rsidRPr="00F138AC" w:rsidRDefault="00B143A7" w:rsidP="00ED4D3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289" w:type="dxa"/>
          </w:tcPr>
          <w:p w:rsidR="00B143A7" w:rsidRPr="00F138AC" w:rsidRDefault="00B143A7" w:rsidP="00ED4D3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9" w:type="dxa"/>
          </w:tcPr>
          <w:p w:rsidR="00B143A7" w:rsidRPr="00F138AC" w:rsidRDefault="00B143A7" w:rsidP="00ED4D3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00" w:type="dxa"/>
          </w:tcPr>
          <w:p w:rsidR="00B143A7" w:rsidRPr="00F138AC" w:rsidRDefault="00B143A7" w:rsidP="00ED4D3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311" w:type="dxa"/>
          </w:tcPr>
          <w:p w:rsidR="00B143A7" w:rsidRPr="00F138AC" w:rsidRDefault="00B143A7" w:rsidP="00ED4D3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143A7" w:rsidRPr="00F138AC" w:rsidTr="00675BA3">
        <w:tc>
          <w:tcPr>
            <w:tcW w:w="3021" w:type="dxa"/>
          </w:tcPr>
          <w:p w:rsidR="00B143A7" w:rsidRPr="00F138AC" w:rsidRDefault="00B143A7" w:rsidP="00ED4D3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28" w:type="dxa"/>
            <w:tcBorders>
              <w:right w:val="dashSmallGap" w:sz="4" w:space="0" w:color="auto"/>
            </w:tcBorders>
          </w:tcPr>
          <w:p w:rsidR="00B143A7" w:rsidRPr="00F138AC" w:rsidRDefault="00B143A7" w:rsidP="00ED4D3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28" w:type="dxa"/>
            <w:tcBorders>
              <w:left w:val="dashSmallGap" w:sz="4" w:space="0" w:color="auto"/>
            </w:tcBorders>
          </w:tcPr>
          <w:p w:rsidR="00B143A7" w:rsidRPr="00F138AC" w:rsidRDefault="00B143A7" w:rsidP="00ED4D3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289" w:type="dxa"/>
          </w:tcPr>
          <w:p w:rsidR="00B143A7" w:rsidRPr="00F138AC" w:rsidRDefault="00B143A7" w:rsidP="00ED4D3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9" w:type="dxa"/>
          </w:tcPr>
          <w:p w:rsidR="00B143A7" w:rsidRPr="00F138AC" w:rsidRDefault="00B143A7" w:rsidP="00ED4D3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00" w:type="dxa"/>
          </w:tcPr>
          <w:p w:rsidR="00B143A7" w:rsidRPr="00F138AC" w:rsidRDefault="00B143A7" w:rsidP="00ED4D3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311" w:type="dxa"/>
          </w:tcPr>
          <w:p w:rsidR="00B143A7" w:rsidRPr="00F138AC" w:rsidRDefault="00B143A7" w:rsidP="00ED4D3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143A7" w:rsidRPr="00F138AC" w:rsidTr="00675BA3">
        <w:tc>
          <w:tcPr>
            <w:tcW w:w="3021" w:type="dxa"/>
          </w:tcPr>
          <w:p w:rsidR="00B143A7" w:rsidRPr="00F138AC" w:rsidRDefault="00B143A7" w:rsidP="00ED4D3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28" w:type="dxa"/>
            <w:tcBorders>
              <w:right w:val="dashSmallGap" w:sz="4" w:space="0" w:color="auto"/>
            </w:tcBorders>
          </w:tcPr>
          <w:p w:rsidR="00B143A7" w:rsidRPr="00F138AC" w:rsidRDefault="00B143A7" w:rsidP="00ED4D3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28" w:type="dxa"/>
            <w:tcBorders>
              <w:left w:val="dashSmallGap" w:sz="4" w:space="0" w:color="auto"/>
            </w:tcBorders>
          </w:tcPr>
          <w:p w:rsidR="00B143A7" w:rsidRPr="00F138AC" w:rsidRDefault="00B143A7" w:rsidP="00ED4D3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289" w:type="dxa"/>
          </w:tcPr>
          <w:p w:rsidR="00B143A7" w:rsidRPr="00F138AC" w:rsidRDefault="00B143A7" w:rsidP="00ED4D3F">
            <w:pPr>
              <w:spacing w:before="60" w:after="60"/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2299" w:type="dxa"/>
          </w:tcPr>
          <w:p w:rsidR="00B143A7" w:rsidRPr="00F138AC" w:rsidRDefault="00B143A7" w:rsidP="00ED4D3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00" w:type="dxa"/>
          </w:tcPr>
          <w:p w:rsidR="00B143A7" w:rsidRPr="00F138AC" w:rsidRDefault="00B143A7" w:rsidP="00ED4D3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311" w:type="dxa"/>
          </w:tcPr>
          <w:p w:rsidR="00B143A7" w:rsidRPr="00F138AC" w:rsidRDefault="00B143A7" w:rsidP="00ED4D3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143A7" w:rsidRPr="00F138AC" w:rsidTr="00675BA3">
        <w:tc>
          <w:tcPr>
            <w:tcW w:w="3021" w:type="dxa"/>
          </w:tcPr>
          <w:p w:rsidR="00B143A7" w:rsidRPr="00F138AC" w:rsidRDefault="00B143A7" w:rsidP="00ED4D3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28" w:type="dxa"/>
            <w:tcBorders>
              <w:right w:val="dashSmallGap" w:sz="4" w:space="0" w:color="auto"/>
            </w:tcBorders>
          </w:tcPr>
          <w:p w:rsidR="00B143A7" w:rsidRPr="00F138AC" w:rsidRDefault="00B143A7" w:rsidP="00ED4D3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28" w:type="dxa"/>
            <w:tcBorders>
              <w:left w:val="dashSmallGap" w:sz="4" w:space="0" w:color="auto"/>
            </w:tcBorders>
          </w:tcPr>
          <w:p w:rsidR="00B143A7" w:rsidRPr="00F138AC" w:rsidRDefault="00B143A7" w:rsidP="00ED4D3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289" w:type="dxa"/>
          </w:tcPr>
          <w:p w:rsidR="00B143A7" w:rsidRPr="00F138AC" w:rsidRDefault="00B143A7" w:rsidP="00ED4D3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9" w:type="dxa"/>
          </w:tcPr>
          <w:p w:rsidR="00B143A7" w:rsidRPr="00F138AC" w:rsidRDefault="00B143A7" w:rsidP="00ED4D3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00" w:type="dxa"/>
          </w:tcPr>
          <w:p w:rsidR="00B143A7" w:rsidRPr="00F138AC" w:rsidRDefault="00B143A7" w:rsidP="00ED4D3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311" w:type="dxa"/>
          </w:tcPr>
          <w:p w:rsidR="00B143A7" w:rsidRPr="00F138AC" w:rsidRDefault="00B143A7" w:rsidP="00ED4D3F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:rsidR="000629FC" w:rsidRDefault="000629FC" w:rsidP="00475C27">
      <w:pPr>
        <w:spacing w:after="0" w:line="240" w:lineRule="auto"/>
        <w:rPr>
          <w:rFonts w:ascii="Arial Narrow" w:hAnsi="Arial Narrow"/>
          <w:strike/>
          <w:color w:val="000000" w:themeColor="text1"/>
          <w:sz w:val="20"/>
          <w:szCs w:val="20"/>
        </w:rPr>
      </w:pPr>
    </w:p>
    <w:p w:rsidR="00475C27" w:rsidRDefault="00475C27" w:rsidP="00475C27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Notes:</w:t>
      </w:r>
    </w:p>
    <w:p w:rsidR="00E91745" w:rsidRPr="00475C27" w:rsidRDefault="00E91745" w:rsidP="00475C27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color w:val="000000" w:themeColor="text1"/>
          <w:sz w:val="20"/>
          <w:szCs w:val="20"/>
        </w:rPr>
      </w:pPr>
      <w:r w:rsidRPr="00475C27">
        <w:rPr>
          <w:rFonts w:ascii="Arial Narrow" w:hAnsi="Arial Narrow"/>
          <w:color w:val="000000" w:themeColor="text1"/>
          <w:sz w:val="20"/>
          <w:szCs w:val="20"/>
        </w:rPr>
        <w:t>The gifted education proposed budget</w:t>
      </w:r>
      <w:r w:rsidR="00475C27" w:rsidRPr="00475C27">
        <w:rPr>
          <w:rFonts w:ascii="Arial Narrow" w:hAnsi="Arial Narrow"/>
          <w:color w:val="000000" w:themeColor="text1"/>
          <w:sz w:val="20"/>
          <w:szCs w:val="20"/>
        </w:rPr>
        <w:t xml:space="preserve"> (http://www.cde.state.co.us/gt/director.htm.)</w:t>
      </w:r>
      <w:r w:rsidRPr="00475C27">
        <w:rPr>
          <w:rFonts w:ascii="Arial Narrow" w:hAnsi="Arial Narrow"/>
          <w:color w:val="000000" w:themeColor="text1"/>
          <w:sz w:val="20"/>
          <w:szCs w:val="20"/>
        </w:rPr>
        <w:t xml:space="preserve"> for the </w:t>
      </w:r>
      <w:r w:rsidR="00C41602" w:rsidRPr="00475C27">
        <w:rPr>
          <w:rFonts w:ascii="Arial Narrow" w:hAnsi="Arial Narrow"/>
          <w:color w:val="000000" w:themeColor="text1"/>
          <w:sz w:val="20"/>
          <w:szCs w:val="20"/>
        </w:rPr>
        <w:t>up</w:t>
      </w:r>
      <w:r w:rsidRPr="00475C27">
        <w:rPr>
          <w:rFonts w:ascii="Arial Narrow" w:hAnsi="Arial Narrow"/>
          <w:color w:val="000000" w:themeColor="text1"/>
          <w:sz w:val="20"/>
          <w:szCs w:val="20"/>
        </w:rPr>
        <w:t xml:space="preserve">coming year is due directly to the Office of Gifted Education, </w:t>
      </w:r>
      <w:hyperlink r:id="rId9" w:history="1">
        <w:r w:rsidR="00124788" w:rsidRPr="00475C27">
          <w:rPr>
            <w:rStyle w:val="Hyperlink"/>
            <w:rFonts w:ascii="Arial Narrow" w:hAnsi="Arial Narrow"/>
            <w:sz w:val="20"/>
            <w:szCs w:val="20"/>
          </w:rPr>
          <w:t>rolfe_t@cde.state.co.us</w:t>
        </w:r>
      </w:hyperlink>
      <w:r w:rsidR="00C41602" w:rsidRPr="00475C27">
        <w:rPr>
          <w:rStyle w:val="Hyperlink"/>
          <w:rFonts w:ascii="Arial Narrow" w:hAnsi="Arial Narrow"/>
          <w:sz w:val="20"/>
          <w:szCs w:val="20"/>
        </w:rPr>
        <w:t xml:space="preserve">, </w:t>
      </w:r>
      <w:r w:rsidR="00C41602" w:rsidRPr="00475C27">
        <w:rPr>
          <w:rStyle w:val="Hyperlink"/>
          <w:rFonts w:ascii="Arial Narrow" w:hAnsi="Arial Narrow"/>
          <w:color w:val="auto"/>
          <w:sz w:val="20"/>
          <w:szCs w:val="20"/>
          <w:u w:val="none"/>
        </w:rPr>
        <w:t>by April 15.</w:t>
      </w:r>
    </w:p>
    <w:p w:rsidR="00124788" w:rsidRPr="00475C27" w:rsidRDefault="00124788" w:rsidP="00E91745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Leads in multiple-district administrative units must submit an UIP Summary Sheet</w:t>
      </w:r>
      <w:r w:rsidR="001A6A40">
        <w:rPr>
          <w:rFonts w:ascii="Arial Narrow" w:hAnsi="Arial Narrow"/>
          <w:color w:val="000000" w:themeColor="text1"/>
          <w:sz w:val="20"/>
          <w:szCs w:val="20"/>
        </w:rPr>
        <w:t xml:space="preserve"> and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the proposed budget directly to the Office of Gifted Education, </w:t>
      </w:r>
      <w:hyperlink r:id="rId10" w:history="1">
        <w:r w:rsidRPr="0006661D">
          <w:rPr>
            <w:rStyle w:val="Hyperlink"/>
            <w:rFonts w:ascii="Arial Narrow" w:hAnsi="Arial Narrow"/>
            <w:sz w:val="20"/>
            <w:szCs w:val="20"/>
          </w:rPr>
          <w:t>rolfe_t@cde.state.co.us</w:t>
        </w:r>
      </w:hyperlink>
      <w:r w:rsidR="00475C27" w:rsidRPr="00475C27">
        <w:rPr>
          <w:rStyle w:val="Hyperlink"/>
          <w:rFonts w:ascii="Arial Narrow" w:hAnsi="Arial Narrow"/>
          <w:color w:val="auto"/>
          <w:sz w:val="20"/>
          <w:szCs w:val="20"/>
          <w:u w:val="none"/>
        </w:rPr>
        <w:t>, by April 15.</w:t>
      </w:r>
    </w:p>
    <w:p w:rsidR="005C6E8C" w:rsidRDefault="00124788" w:rsidP="000629FC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Every </w:t>
      </w:r>
      <w:r w:rsidR="00FA252C">
        <w:rPr>
          <w:rFonts w:ascii="Arial Narrow" w:hAnsi="Arial Narrow"/>
          <w:sz w:val="20"/>
          <w:szCs w:val="20"/>
        </w:rPr>
        <w:t xml:space="preserve">district includes the gifted education </w:t>
      </w:r>
      <w:r w:rsidR="001A6A40">
        <w:rPr>
          <w:rFonts w:ascii="Arial Narrow" w:hAnsi="Arial Narrow"/>
          <w:sz w:val="20"/>
          <w:szCs w:val="20"/>
        </w:rPr>
        <w:t>UIP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addendum (AU joint </w:t>
      </w:r>
      <w:r w:rsidR="001A6A40">
        <w:rPr>
          <w:rFonts w:ascii="Arial Narrow" w:hAnsi="Arial Narrow"/>
          <w:color w:val="000000" w:themeColor="text1"/>
          <w:sz w:val="20"/>
          <w:szCs w:val="20"/>
        </w:rPr>
        <w:t xml:space="preserve">UIP 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addendum or district </w:t>
      </w:r>
      <w:r w:rsidR="001A6A40">
        <w:rPr>
          <w:rFonts w:ascii="Arial Narrow" w:hAnsi="Arial Narrow"/>
          <w:color w:val="000000" w:themeColor="text1"/>
          <w:sz w:val="20"/>
          <w:szCs w:val="20"/>
        </w:rPr>
        <w:t xml:space="preserve">individual </w:t>
      </w:r>
      <w:r w:rsidR="00C41602">
        <w:rPr>
          <w:rFonts w:ascii="Arial Narrow" w:hAnsi="Arial Narrow"/>
          <w:color w:val="000000" w:themeColor="text1"/>
          <w:sz w:val="20"/>
          <w:szCs w:val="20"/>
        </w:rPr>
        <w:t>addendum</w:t>
      </w:r>
      <w:r w:rsidR="00FA252C">
        <w:rPr>
          <w:rFonts w:ascii="Arial Narrow" w:hAnsi="Arial Narrow"/>
          <w:color w:val="000000" w:themeColor="text1"/>
          <w:sz w:val="20"/>
          <w:szCs w:val="20"/>
        </w:rPr>
        <w:t>) with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the district</w:t>
      </w:r>
      <w:r w:rsidR="00C41602">
        <w:rPr>
          <w:rFonts w:ascii="Arial Narrow" w:hAnsi="Arial Narrow"/>
          <w:color w:val="000000" w:themeColor="text1"/>
          <w:sz w:val="20"/>
          <w:szCs w:val="20"/>
        </w:rPr>
        <w:t>’s</w:t>
      </w:r>
      <w:r w:rsidR="00475C27">
        <w:rPr>
          <w:rFonts w:ascii="Arial Narrow" w:hAnsi="Arial Narrow"/>
          <w:color w:val="000000" w:themeColor="text1"/>
          <w:sz w:val="20"/>
          <w:szCs w:val="20"/>
        </w:rPr>
        <w:t xml:space="preserve"> UI</w:t>
      </w:r>
      <w:r w:rsidR="002471D9">
        <w:rPr>
          <w:rFonts w:ascii="Arial Narrow" w:hAnsi="Arial Narrow"/>
          <w:color w:val="000000" w:themeColor="text1"/>
          <w:sz w:val="20"/>
          <w:szCs w:val="20"/>
        </w:rPr>
        <w:t>P</w:t>
      </w:r>
      <w:r w:rsidR="00FA252C">
        <w:rPr>
          <w:rFonts w:ascii="Arial Narrow" w:hAnsi="Arial Narrow"/>
          <w:color w:val="000000" w:themeColor="text1"/>
          <w:sz w:val="20"/>
          <w:szCs w:val="20"/>
        </w:rPr>
        <w:t xml:space="preserve"> submission.</w:t>
      </w:r>
    </w:p>
    <w:p w:rsidR="00675BA3" w:rsidRPr="00447BFB" w:rsidRDefault="00675BA3" w:rsidP="00447BFB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</w:rPr>
      </w:pPr>
    </w:p>
    <w:p w:rsidR="00DA2140" w:rsidRPr="00C36306" w:rsidRDefault="00DA2140" w:rsidP="00DA2140">
      <w:pPr>
        <w:spacing w:after="0" w:line="240" w:lineRule="auto"/>
        <w:rPr>
          <w:rFonts w:ascii="Arial Narrow" w:hAnsi="Arial Narrow"/>
          <w:b/>
        </w:rPr>
      </w:pPr>
      <w:r w:rsidRPr="00945E1D">
        <w:rPr>
          <w:rFonts w:ascii="Arial Narrow" w:hAnsi="Arial Narrow"/>
          <w:b/>
          <w:color w:val="000000" w:themeColor="text1"/>
        </w:rPr>
        <w:t>Gifted Program Assurances</w:t>
      </w:r>
      <w:r w:rsidR="00376EBC">
        <w:rPr>
          <w:rFonts w:ascii="Arial Narrow" w:hAnsi="Arial Narrow"/>
          <w:b/>
          <w:color w:val="000000" w:themeColor="text1"/>
        </w:rPr>
        <w:t xml:space="preserve"> </w:t>
      </w:r>
      <w:r w:rsidR="00447BFB">
        <w:rPr>
          <w:rFonts w:ascii="Arial Narrow" w:hAnsi="Arial Narrow"/>
          <w:b/>
        </w:rPr>
        <w:t xml:space="preserve">for </w:t>
      </w:r>
      <w:r w:rsidR="00C36306">
        <w:rPr>
          <w:rFonts w:ascii="Arial Narrow" w:hAnsi="Arial Narrow"/>
          <w:b/>
        </w:rPr>
        <w:t>AUs and member districts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3"/>
        <w:gridCol w:w="1341"/>
        <w:gridCol w:w="5031"/>
        <w:gridCol w:w="1355"/>
      </w:tblGrid>
      <w:tr w:rsidR="00DA2140" w:rsidRPr="00945E1D" w:rsidTr="00475C27">
        <w:trPr>
          <w:trHeight w:val="467"/>
        </w:trPr>
        <w:tc>
          <w:tcPr>
            <w:tcW w:w="5328" w:type="dxa"/>
            <w:shd w:val="clear" w:color="auto" w:fill="000000" w:themeFill="text1"/>
            <w:vAlign w:val="center"/>
          </w:tcPr>
          <w:p w:rsidR="00DA2140" w:rsidRPr="00945E1D" w:rsidRDefault="00DA2140" w:rsidP="001157C3">
            <w:pPr>
              <w:spacing w:before="60" w:after="60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945E1D">
              <w:rPr>
                <w:rFonts w:ascii="Arial Narrow" w:hAnsi="Arial Narrow"/>
                <w:color w:val="FFFFFF" w:themeColor="background1"/>
              </w:rPr>
              <w:t>Description of General Program Assurances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DA2140" w:rsidRPr="00945E1D" w:rsidRDefault="00DA2140" w:rsidP="001157C3">
            <w:pPr>
              <w:spacing w:beforeLines="60" w:before="144" w:afterLines="60" w:after="144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945E1D">
              <w:rPr>
                <w:rFonts w:ascii="Arial Narrow" w:hAnsi="Arial Narrow"/>
                <w:color w:val="FFFFFF" w:themeColor="background1"/>
              </w:rPr>
              <w:t>Mark one box:</w:t>
            </w:r>
          </w:p>
        </w:tc>
        <w:tc>
          <w:tcPr>
            <w:tcW w:w="5130" w:type="dxa"/>
            <w:shd w:val="clear" w:color="auto" w:fill="000000" w:themeFill="text1"/>
            <w:vAlign w:val="center"/>
          </w:tcPr>
          <w:p w:rsidR="00DA2140" w:rsidRPr="00945E1D" w:rsidRDefault="00DA2140" w:rsidP="001157C3">
            <w:pPr>
              <w:spacing w:before="60" w:after="60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945E1D">
              <w:rPr>
                <w:rFonts w:ascii="Arial Narrow" w:hAnsi="Arial Narrow"/>
                <w:color w:val="FFFFFF" w:themeColor="background1"/>
              </w:rPr>
              <w:t>Description of General Program Assurances</w:t>
            </w:r>
          </w:p>
        </w:tc>
        <w:tc>
          <w:tcPr>
            <w:tcW w:w="1368" w:type="dxa"/>
            <w:shd w:val="clear" w:color="auto" w:fill="000000" w:themeFill="text1"/>
            <w:vAlign w:val="center"/>
          </w:tcPr>
          <w:p w:rsidR="00DA2140" w:rsidRPr="00945E1D" w:rsidRDefault="00DA2140" w:rsidP="001157C3">
            <w:pPr>
              <w:spacing w:beforeLines="60" w:before="144" w:afterLines="60" w:after="144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945E1D">
              <w:rPr>
                <w:rFonts w:ascii="Arial Narrow" w:hAnsi="Arial Narrow"/>
                <w:color w:val="FFFFFF" w:themeColor="background1"/>
              </w:rPr>
              <w:t>Mark one box:</w:t>
            </w:r>
          </w:p>
        </w:tc>
      </w:tr>
      <w:tr w:rsidR="00DA2140" w:rsidRPr="00945E1D" w:rsidTr="00475C27">
        <w:trPr>
          <w:trHeight w:val="1025"/>
        </w:trPr>
        <w:tc>
          <w:tcPr>
            <w:tcW w:w="5328" w:type="dxa"/>
          </w:tcPr>
          <w:p w:rsidR="00DA2140" w:rsidRPr="00945E1D" w:rsidRDefault="00C36306" w:rsidP="001157C3">
            <w:pPr>
              <w:spacing w:before="60" w:afterLines="60" w:after="144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Multiple pathways </w:t>
            </w:r>
            <w:r w:rsidR="00DA2140"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and tools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are used </w:t>
            </w:r>
            <w:r w:rsidR="00DA2140"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>to ensure equal and fair access to identification, especially in traditionally underserved student groups; and makes progress toward proportional representation in the gifted population.</w:t>
            </w:r>
          </w:p>
        </w:tc>
        <w:tc>
          <w:tcPr>
            <w:tcW w:w="1350" w:type="dxa"/>
          </w:tcPr>
          <w:p w:rsidR="00DA2140" w:rsidRPr="00945E1D" w:rsidRDefault="00DA2140" w:rsidP="001157C3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sym w:font="Wingdings" w:char="F0A8"/>
            </w: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Completed</w:t>
            </w:r>
          </w:p>
          <w:p w:rsidR="00DA2140" w:rsidRPr="00945E1D" w:rsidRDefault="00DA2140" w:rsidP="001157C3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sym w:font="Wingdings" w:char="F0A8"/>
            </w: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In progress </w:t>
            </w:r>
          </w:p>
          <w:p w:rsidR="00DA2140" w:rsidRPr="00945E1D" w:rsidRDefault="00DA2140" w:rsidP="001157C3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sym w:font="Wingdings" w:char="F0A8"/>
            </w: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No</w:t>
            </w:r>
          </w:p>
        </w:tc>
        <w:tc>
          <w:tcPr>
            <w:tcW w:w="5130" w:type="dxa"/>
          </w:tcPr>
          <w:p w:rsidR="00DA2140" w:rsidRPr="00945E1D" w:rsidRDefault="00DA2140" w:rsidP="001157C3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>The district/BOCES maintains a local database of gifted students that rec</w:t>
            </w:r>
            <w:r w:rsidRPr="00D237A5">
              <w:rPr>
                <w:rFonts w:ascii="Arial Narrow" w:hAnsi="Arial Narrow"/>
                <w:sz w:val="20"/>
                <w:szCs w:val="20"/>
              </w:rPr>
              <w:t>ords the students’ a</w:t>
            </w: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>rea(s) of strength as defined in regulations: general ability, a specific academic area(s), visual arts, music, performing arts, creativity, and/or leadership.</w:t>
            </w:r>
          </w:p>
        </w:tc>
        <w:tc>
          <w:tcPr>
            <w:tcW w:w="1368" w:type="dxa"/>
          </w:tcPr>
          <w:p w:rsidR="00DA2140" w:rsidRPr="00945E1D" w:rsidRDefault="00DA2140" w:rsidP="001157C3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sym w:font="Wingdings" w:char="F0A8"/>
            </w: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Yes</w:t>
            </w:r>
          </w:p>
          <w:p w:rsidR="00DA2140" w:rsidRPr="00945E1D" w:rsidRDefault="00DA2140" w:rsidP="001157C3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sym w:font="Wingdings" w:char="F0A8"/>
            </w: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In progress</w:t>
            </w:r>
          </w:p>
          <w:p w:rsidR="00DA2140" w:rsidRPr="00945E1D" w:rsidRDefault="00DA2140" w:rsidP="001157C3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sym w:font="Wingdings" w:char="F0A8"/>
            </w: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No</w:t>
            </w:r>
          </w:p>
        </w:tc>
      </w:tr>
      <w:tr w:rsidR="00DA2140" w:rsidRPr="00945E1D" w:rsidTr="00475C27">
        <w:trPr>
          <w:trHeight w:val="1520"/>
        </w:trPr>
        <w:tc>
          <w:tcPr>
            <w:tcW w:w="5328" w:type="dxa"/>
          </w:tcPr>
          <w:p w:rsidR="00DA2140" w:rsidRPr="00945E1D" w:rsidRDefault="00DA2140" w:rsidP="001157C3">
            <w:pPr>
              <w:spacing w:before="60" w:afterLines="60" w:after="144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>Gifted students receive special provisions, Tier II and Tier III, for appropriate instruction and content extensions in the academic standards that align with individual strengths.</w:t>
            </w:r>
          </w:p>
          <w:p w:rsidR="00DA2140" w:rsidRPr="00945E1D" w:rsidRDefault="00DA2140" w:rsidP="00C36306">
            <w:pPr>
              <w:spacing w:before="60" w:afterLines="60" w:after="144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>Note: The AU’s program plan</w:t>
            </w:r>
            <w:r w:rsidR="00C3630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for constituent schools and districts </w:t>
            </w: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>describe</w:t>
            </w:r>
            <w:r w:rsidR="00387006">
              <w:rPr>
                <w:rFonts w:ascii="Arial Narrow" w:hAnsi="Arial Narrow"/>
                <w:color w:val="000000" w:themeColor="text1"/>
                <w:sz w:val="20"/>
                <w:szCs w:val="20"/>
              </w:rPr>
              <w:t>s</w:t>
            </w: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the key programming options matched to areas of giftedness and utilized in serving gifted students. </w:t>
            </w:r>
          </w:p>
        </w:tc>
        <w:tc>
          <w:tcPr>
            <w:tcW w:w="1350" w:type="dxa"/>
          </w:tcPr>
          <w:p w:rsidR="00DA2140" w:rsidRPr="00945E1D" w:rsidRDefault="00DA2140" w:rsidP="001157C3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sym w:font="Wingdings" w:char="F0A8"/>
            </w: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Yes</w:t>
            </w:r>
          </w:p>
          <w:p w:rsidR="00DA2140" w:rsidRPr="00945E1D" w:rsidRDefault="00DA2140" w:rsidP="001157C3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sym w:font="Wingdings" w:char="F0A8"/>
            </w: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In progress</w:t>
            </w:r>
          </w:p>
          <w:p w:rsidR="00DA2140" w:rsidRPr="00945E1D" w:rsidRDefault="00DA2140" w:rsidP="001157C3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sym w:font="Wingdings" w:char="F0A8"/>
            </w: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No</w:t>
            </w:r>
          </w:p>
        </w:tc>
        <w:tc>
          <w:tcPr>
            <w:tcW w:w="5130" w:type="dxa"/>
          </w:tcPr>
          <w:p w:rsidR="00DA2140" w:rsidRPr="00945E1D" w:rsidRDefault="00DA2140" w:rsidP="001157C3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>ALPS are implemented and annually reviewed for every gifted student for monitoring indivi</w:t>
            </w:r>
            <w:r w:rsidRPr="00447BF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dual achievement and affective </w:t>
            </w: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>goals. (Districts may choose to substitute the ALP with the School Readiness Plan at the kindergarten level; and with the ICAP at the secondary level, if conditions of individual affective and achievement goals and parental engagement are fulfilled.)</w:t>
            </w:r>
          </w:p>
        </w:tc>
        <w:tc>
          <w:tcPr>
            <w:tcW w:w="1368" w:type="dxa"/>
          </w:tcPr>
          <w:p w:rsidR="00DA2140" w:rsidRPr="00945E1D" w:rsidRDefault="00DA2140" w:rsidP="001157C3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sym w:font="Wingdings" w:char="F0A8"/>
            </w: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Yes</w:t>
            </w:r>
          </w:p>
          <w:p w:rsidR="00DA2140" w:rsidRPr="00945E1D" w:rsidRDefault="00DA2140" w:rsidP="001157C3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sym w:font="Wingdings" w:char="F0A8"/>
            </w: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In progress</w:t>
            </w:r>
          </w:p>
          <w:p w:rsidR="00DA2140" w:rsidRPr="00945E1D" w:rsidRDefault="00DA2140" w:rsidP="001157C3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sym w:font="Wingdings" w:char="F0A8"/>
            </w: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No</w:t>
            </w:r>
          </w:p>
        </w:tc>
      </w:tr>
      <w:tr w:rsidR="00475C27" w:rsidRPr="00945E1D" w:rsidTr="00475C27">
        <w:trPr>
          <w:trHeight w:val="1862"/>
        </w:trPr>
        <w:tc>
          <w:tcPr>
            <w:tcW w:w="5328" w:type="dxa"/>
          </w:tcPr>
          <w:p w:rsidR="00475C27" w:rsidRPr="00945E1D" w:rsidRDefault="00475C27" w:rsidP="001157C3">
            <w:pPr>
              <w:spacing w:before="60" w:afterLines="60" w:after="144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The budget and improvement planning process is collaboration among stakeholders of schools or districts within the administrative unit. </w:t>
            </w:r>
          </w:p>
        </w:tc>
        <w:tc>
          <w:tcPr>
            <w:tcW w:w="1350" w:type="dxa"/>
          </w:tcPr>
          <w:p w:rsidR="00475C27" w:rsidRPr="00945E1D" w:rsidRDefault="00475C27" w:rsidP="001157C3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sym w:font="Wingdings" w:char="F0A8"/>
            </w: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Yes</w:t>
            </w:r>
          </w:p>
          <w:p w:rsidR="00475C27" w:rsidRPr="00945E1D" w:rsidRDefault="00475C27" w:rsidP="001157C3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sym w:font="Wingdings" w:char="F0A8"/>
            </w: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In progress</w:t>
            </w:r>
          </w:p>
          <w:p w:rsidR="00475C27" w:rsidRPr="00945E1D" w:rsidRDefault="00475C27" w:rsidP="001157C3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sym w:font="Wingdings" w:char="F0A8"/>
            </w: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No</w:t>
            </w:r>
          </w:p>
        </w:tc>
        <w:tc>
          <w:tcPr>
            <w:tcW w:w="5130" w:type="dxa"/>
          </w:tcPr>
          <w:p w:rsidR="00475C27" w:rsidRDefault="00475C27" w:rsidP="001157C3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>The district/BOCES provides a certified person</w:t>
            </w:r>
            <w:r w:rsidR="00447BF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or a qualified person in gifted education</w:t>
            </w: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to administer the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gifted education program plan, and </w:t>
            </w: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>pr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ovide professional development;</w:t>
            </w:r>
            <w:r w:rsidR="00447BF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387006" w:rsidRDefault="00387006" w:rsidP="00475C27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475C27" w:rsidRPr="00945E1D" w:rsidRDefault="00475C27" w:rsidP="00475C27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The gifted program supports literacy of the advanced reader and prevention of reading difficulties (READ ACT) </w:t>
            </w:r>
          </w:p>
        </w:tc>
        <w:tc>
          <w:tcPr>
            <w:tcW w:w="1368" w:type="dxa"/>
          </w:tcPr>
          <w:p w:rsidR="00475C27" w:rsidRPr="00945E1D" w:rsidRDefault="00475C27" w:rsidP="009478B6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sym w:font="Wingdings" w:char="F0A8"/>
            </w: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Yes</w:t>
            </w:r>
          </w:p>
          <w:p w:rsidR="00475C27" w:rsidRPr="00945E1D" w:rsidRDefault="00475C27" w:rsidP="009478B6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sym w:font="Wingdings" w:char="F0A8"/>
            </w: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In progress</w:t>
            </w:r>
          </w:p>
          <w:p w:rsidR="00475C27" w:rsidRDefault="00475C27" w:rsidP="009478B6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sym w:font="Wingdings" w:char="F0A8"/>
            </w: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No</w:t>
            </w:r>
          </w:p>
          <w:p w:rsidR="00475C27" w:rsidRDefault="00475C27" w:rsidP="00475C27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475C27" w:rsidRPr="00945E1D" w:rsidRDefault="00475C27" w:rsidP="00475C27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sym w:font="Wingdings" w:char="F0A8"/>
            </w: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Yes</w:t>
            </w:r>
          </w:p>
          <w:p w:rsidR="00475C27" w:rsidRPr="00945E1D" w:rsidRDefault="00475C27" w:rsidP="00475C27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sym w:font="Wingdings" w:char="F0A8"/>
            </w: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In progress</w:t>
            </w:r>
          </w:p>
          <w:p w:rsidR="00475C27" w:rsidRPr="00945E1D" w:rsidRDefault="00475C27" w:rsidP="009478B6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sym w:font="Wingdings" w:char="F0A8"/>
            </w:r>
            <w:r w:rsidRPr="00945E1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No</w:t>
            </w:r>
          </w:p>
        </w:tc>
      </w:tr>
    </w:tbl>
    <w:p w:rsidR="00F54819" w:rsidRPr="00387006" w:rsidRDefault="00F54819" w:rsidP="00DA2140">
      <w:pPr>
        <w:rPr>
          <w:color w:val="000000" w:themeColor="text1"/>
        </w:rPr>
      </w:pPr>
    </w:p>
    <w:sectPr w:rsidR="00F54819" w:rsidRPr="00387006" w:rsidSect="00D53539">
      <w:headerReference w:type="default" r:id="rId11"/>
      <w:footerReference w:type="default" r:id="rId12"/>
      <w:pgSz w:w="15840" w:h="12240" w:orient="landscape"/>
      <w:pgMar w:top="855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48A" w:rsidRDefault="0002448A" w:rsidP="00737D23">
      <w:pPr>
        <w:spacing w:after="0" w:line="240" w:lineRule="auto"/>
      </w:pPr>
      <w:r>
        <w:separator/>
      </w:r>
    </w:p>
  </w:endnote>
  <w:endnote w:type="continuationSeparator" w:id="0">
    <w:p w:rsidR="0002448A" w:rsidRDefault="0002448A" w:rsidP="0073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770" w:rsidRPr="00E47770" w:rsidRDefault="00E47770" w:rsidP="00E47770">
    <w:pPr>
      <w:pBdr>
        <w:bottom w:val="single" w:sz="6" w:space="1" w:color="auto"/>
      </w:pBdr>
      <w:tabs>
        <w:tab w:val="center" w:pos="-180"/>
        <w:tab w:val="right" w:pos="9360"/>
      </w:tabs>
      <w:spacing w:after="0" w:line="240" w:lineRule="auto"/>
      <w:rPr>
        <w:rFonts w:ascii="Arial Narrow" w:eastAsia="Calibri" w:hAnsi="Arial Narrow" w:cs="Times New Roman"/>
        <w:sz w:val="16"/>
        <w:szCs w:val="16"/>
        <w:lang w:val="x-none" w:eastAsia="x-none"/>
      </w:rPr>
    </w:pPr>
  </w:p>
  <w:p w:rsidR="0059397D" w:rsidRPr="00E47770" w:rsidRDefault="00E47770" w:rsidP="00E47770">
    <w:pPr>
      <w:tabs>
        <w:tab w:val="center" w:pos="-180"/>
        <w:tab w:val="left" w:pos="12780"/>
        <w:tab w:val="left" w:pos="17100"/>
        <w:tab w:val="left" w:pos="17280"/>
      </w:tabs>
      <w:spacing w:after="0" w:line="240" w:lineRule="auto"/>
      <w:rPr>
        <w:rFonts w:ascii="Arial Narrow" w:eastAsia="Calibri" w:hAnsi="Arial Narrow" w:cs="Times New Roman"/>
        <w:sz w:val="16"/>
        <w:szCs w:val="16"/>
        <w:lang w:eastAsia="x-none"/>
      </w:rPr>
    </w:pPr>
    <w:r>
      <w:rPr>
        <w:rFonts w:ascii="Arial Narrow" w:eastAsia="Calibri" w:hAnsi="Arial Narrow" w:cs="Times New Roman"/>
        <w:sz w:val="16"/>
        <w:szCs w:val="16"/>
        <w:lang w:eastAsia="x-none"/>
      </w:rPr>
      <w:t>Gifted Education Program</w:t>
    </w:r>
    <w:r w:rsidRPr="00E47770">
      <w:rPr>
        <w:rFonts w:ascii="Arial Narrow" w:eastAsia="Calibri" w:hAnsi="Arial Narrow" w:cs="Times New Roman"/>
        <w:sz w:val="16"/>
        <w:szCs w:val="16"/>
        <w:lang w:val="x-none" w:eastAsia="x-none"/>
      </w:rPr>
      <w:t xml:space="preserve"> </w:t>
    </w:r>
    <w:r>
      <w:rPr>
        <w:rFonts w:ascii="Arial Narrow" w:eastAsia="Calibri" w:hAnsi="Arial Narrow" w:cs="Times New Roman"/>
        <w:sz w:val="16"/>
        <w:szCs w:val="16"/>
        <w:lang w:eastAsia="x-none"/>
      </w:rPr>
      <w:t xml:space="preserve">Addendum </w:t>
    </w:r>
    <w:r w:rsidRPr="00E47770">
      <w:rPr>
        <w:rFonts w:ascii="Arial Narrow" w:eastAsia="Calibri" w:hAnsi="Arial Narrow" w:cs="Times New Roman"/>
        <w:sz w:val="16"/>
        <w:szCs w:val="16"/>
        <w:lang w:val="x-none" w:eastAsia="x-none"/>
      </w:rPr>
      <w:t xml:space="preserve">for CDE Improvement Planning Template for </w:t>
    </w:r>
    <w:r>
      <w:rPr>
        <w:rFonts w:ascii="Arial Narrow" w:eastAsia="Calibri" w:hAnsi="Arial Narrow" w:cs="Times New Roman"/>
        <w:sz w:val="16"/>
        <w:szCs w:val="16"/>
        <w:lang w:eastAsia="x-none"/>
      </w:rPr>
      <w:t>Districts</w:t>
    </w:r>
    <w:r w:rsidRPr="00E47770">
      <w:rPr>
        <w:rFonts w:ascii="Arial Narrow" w:eastAsia="Calibri" w:hAnsi="Arial Narrow" w:cs="Times New Roman"/>
        <w:sz w:val="16"/>
        <w:szCs w:val="16"/>
        <w:lang w:val="x-none" w:eastAsia="x-none"/>
      </w:rPr>
      <w:t xml:space="preserve"> (Version </w:t>
    </w:r>
    <w:r w:rsidRPr="00E47770">
      <w:rPr>
        <w:rFonts w:ascii="Arial Narrow" w:eastAsia="Calibri" w:hAnsi="Arial Narrow" w:cs="Times New Roman"/>
        <w:sz w:val="16"/>
        <w:szCs w:val="16"/>
        <w:lang w:eastAsia="x-none"/>
      </w:rPr>
      <w:t>3</w:t>
    </w:r>
    <w:r w:rsidRPr="00E47770">
      <w:rPr>
        <w:rFonts w:ascii="Arial Narrow" w:eastAsia="Calibri" w:hAnsi="Arial Narrow" w:cs="Times New Roman"/>
        <w:sz w:val="16"/>
        <w:szCs w:val="16"/>
        <w:lang w:val="x-none" w:eastAsia="x-none"/>
      </w:rPr>
      <w:t xml:space="preserve">.0 -- Last updated: </w:t>
    </w:r>
    <w:r w:rsidRPr="00E47770">
      <w:rPr>
        <w:rFonts w:ascii="Arial Narrow" w:eastAsia="Calibri" w:hAnsi="Arial Narrow" w:cs="Times New Roman"/>
        <w:sz w:val="16"/>
        <w:szCs w:val="16"/>
        <w:lang w:eastAsia="x-none"/>
      </w:rPr>
      <w:t xml:space="preserve">July </w:t>
    </w:r>
    <w:r w:rsidR="00943D3D">
      <w:rPr>
        <w:rFonts w:ascii="Arial Narrow" w:eastAsia="Calibri" w:hAnsi="Arial Narrow" w:cs="Times New Roman"/>
        <w:sz w:val="16"/>
        <w:szCs w:val="16"/>
        <w:lang w:eastAsia="x-none"/>
      </w:rPr>
      <w:t>17, 2015</w:t>
    </w:r>
    <w:r w:rsidRPr="00E47770">
      <w:rPr>
        <w:rFonts w:ascii="Arial Narrow" w:eastAsia="Calibri" w:hAnsi="Arial Narrow" w:cs="Times New Roman"/>
        <w:sz w:val="16"/>
        <w:szCs w:val="16"/>
        <w:lang w:val="x-none" w:eastAsia="x-none"/>
      </w:rPr>
      <w:t>)</w:t>
    </w:r>
  </w:p>
  <w:p w:rsidR="0094072D" w:rsidRPr="00D40249" w:rsidRDefault="0094072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48A" w:rsidRDefault="0002448A" w:rsidP="00737D23">
      <w:pPr>
        <w:spacing w:after="0" w:line="240" w:lineRule="auto"/>
      </w:pPr>
      <w:r>
        <w:separator/>
      </w:r>
    </w:p>
  </w:footnote>
  <w:footnote w:type="continuationSeparator" w:id="0">
    <w:p w:rsidR="0002448A" w:rsidRDefault="0002448A" w:rsidP="00737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0BE" w:rsidRDefault="006F50BE" w:rsidP="008B73C2">
    <w:pPr>
      <w:pStyle w:val="Header"/>
      <w:tabs>
        <w:tab w:val="clear" w:pos="4680"/>
        <w:tab w:val="clear" w:pos="9360"/>
        <w:tab w:val="center" w:pos="0"/>
        <w:tab w:val="left" w:pos="2715"/>
        <w:tab w:val="left" w:pos="3165"/>
        <w:tab w:val="left" w:pos="5040"/>
        <w:tab w:val="right" w:pos="1449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7451090</wp:posOffset>
          </wp:positionH>
          <wp:positionV relativeFrom="margin">
            <wp:posOffset>-595157</wp:posOffset>
          </wp:positionV>
          <wp:extent cx="820420" cy="448945"/>
          <wp:effectExtent l="0" t="0" r="0" b="8255"/>
          <wp:wrapSquare wrapText="bothSides"/>
          <wp:docPr id="3" name="Picture 3" descr="K:\Statewide Support\UIP 2015 - 2016\Template 2015-16\For EDAC\EDAC Stamp OFP-135 15-1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Statewide Support\UIP 2015 - 2016\Template 2015-16\For EDAC\EDAC Stamp OFP-135 15-16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D58">
      <w:rPr>
        <w:noProof/>
      </w:rPr>
      <w:drawing>
        <wp:inline distT="0" distB="0" distL="0" distR="0">
          <wp:extent cx="1499235" cy="276225"/>
          <wp:effectExtent l="0" t="0" r="571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8B73C2">
      <w:tab/>
    </w:r>
  </w:p>
  <w:p w:rsidR="0094072D" w:rsidRPr="006F50BE" w:rsidRDefault="0094072D" w:rsidP="006F50BE">
    <w:pPr>
      <w:pStyle w:val="Header"/>
      <w:tabs>
        <w:tab w:val="clear" w:pos="4680"/>
        <w:tab w:val="clear" w:pos="9360"/>
        <w:tab w:val="center" w:pos="-360"/>
        <w:tab w:val="right" w:pos="129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DE_Logo_NoText.jpg" style="width:24.75pt;height:9.75pt;visibility:visible;mso-wrap-style:square" o:bullet="t">
        <v:imagedata r:id="rId1" o:title="CDE_Logo_NoText"/>
      </v:shape>
    </w:pict>
  </w:numPicBullet>
  <w:abstractNum w:abstractNumId="0">
    <w:nsid w:val="06035060"/>
    <w:multiLevelType w:val="hybridMultilevel"/>
    <w:tmpl w:val="506A6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3067A7"/>
    <w:multiLevelType w:val="hybridMultilevel"/>
    <w:tmpl w:val="A47E21E4"/>
    <w:lvl w:ilvl="0" w:tplc="6F30E7AE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9B4BB4"/>
    <w:multiLevelType w:val="hybridMultilevel"/>
    <w:tmpl w:val="242C1ECA"/>
    <w:lvl w:ilvl="0" w:tplc="75EC5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125CD"/>
    <w:multiLevelType w:val="hybridMultilevel"/>
    <w:tmpl w:val="CBB2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613A8"/>
    <w:multiLevelType w:val="hybridMultilevel"/>
    <w:tmpl w:val="A75E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B1B7A"/>
    <w:multiLevelType w:val="hybridMultilevel"/>
    <w:tmpl w:val="7550F03C"/>
    <w:lvl w:ilvl="0" w:tplc="BE122A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887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E69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8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20A8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9021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564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AF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446D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97459C2"/>
    <w:multiLevelType w:val="hybridMultilevel"/>
    <w:tmpl w:val="66F4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41538"/>
    <w:multiLevelType w:val="hybridMultilevel"/>
    <w:tmpl w:val="8A62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70912"/>
    <w:multiLevelType w:val="hybridMultilevel"/>
    <w:tmpl w:val="61C63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A3"/>
    <w:rsid w:val="000018FF"/>
    <w:rsid w:val="000031AD"/>
    <w:rsid w:val="00007E9B"/>
    <w:rsid w:val="00015563"/>
    <w:rsid w:val="0002092B"/>
    <w:rsid w:val="0002448A"/>
    <w:rsid w:val="00026542"/>
    <w:rsid w:val="00031972"/>
    <w:rsid w:val="00031A67"/>
    <w:rsid w:val="000629FC"/>
    <w:rsid w:val="00070353"/>
    <w:rsid w:val="00082754"/>
    <w:rsid w:val="000E60B6"/>
    <w:rsid w:val="000F15E6"/>
    <w:rsid w:val="00103C65"/>
    <w:rsid w:val="00105069"/>
    <w:rsid w:val="001062D8"/>
    <w:rsid w:val="00124788"/>
    <w:rsid w:val="0013082B"/>
    <w:rsid w:val="00136D6E"/>
    <w:rsid w:val="00147AF0"/>
    <w:rsid w:val="0016509F"/>
    <w:rsid w:val="00182195"/>
    <w:rsid w:val="00187D7A"/>
    <w:rsid w:val="00197921"/>
    <w:rsid w:val="001A6A40"/>
    <w:rsid w:val="001C35A3"/>
    <w:rsid w:val="001C50E8"/>
    <w:rsid w:val="001D15EE"/>
    <w:rsid w:val="001F6A24"/>
    <w:rsid w:val="00217ACC"/>
    <w:rsid w:val="002471D9"/>
    <w:rsid w:val="002565CF"/>
    <w:rsid w:val="00257215"/>
    <w:rsid w:val="0027698F"/>
    <w:rsid w:val="00285131"/>
    <w:rsid w:val="00292865"/>
    <w:rsid w:val="002A1725"/>
    <w:rsid w:val="002C055B"/>
    <w:rsid w:val="002E7107"/>
    <w:rsid w:val="0031153E"/>
    <w:rsid w:val="00344239"/>
    <w:rsid w:val="00376EBC"/>
    <w:rsid w:val="00387006"/>
    <w:rsid w:val="003A37D7"/>
    <w:rsid w:val="003E1901"/>
    <w:rsid w:val="00412FAA"/>
    <w:rsid w:val="00444E91"/>
    <w:rsid w:val="004468FD"/>
    <w:rsid w:val="00447BFB"/>
    <w:rsid w:val="00455A92"/>
    <w:rsid w:val="00474271"/>
    <w:rsid w:val="00475C27"/>
    <w:rsid w:val="004827D0"/>
    <w:rsid w:val="004D4551"/>
    <w:rsid w:val="004D6336"/>
    <w:rsid w:val="004E3CD9"/>
    <w:rsid w:val="004F6215"/>
    <w:rsid w:val="00500162"/>
    <w:rsid w:val="0050029E"/>
    <w:rsid w:val="005127C9"/>
    <w:rsid w:val="005242BB"/>
    <w:rsid w:val="00533C5D"/>
    <w:rsid w:val="00540F52"/>
    <w:rsid w:val="0055010B"/>
    <w:rsid w:val="00574105"/>
    <w:rsid w:val="00574BF5"/>
    <w:rsid w:val="0057763C"/>
    <w:rsid w:val="0059397D"/>
    <w:rsid w:val="0059446C"/>
    <w:rsid w:val="005A4471"/>
    <w:rsid w:val="005A7D9D"/>
    <w:rsid w:val="005C211B"/>
    <w:rsid w:val="005C6E8C"/>
    <w:rsid w:val="005D2779"/>
    <w:rsid w:val="005D29EC"/>
    <w:rsid w:val="005D3379"/>
    <w:rsid w:val="005D5EA2"/>
    <w:rsid w:val="005E4A4E"/>
    <w:rsid w:val="005E72AF"/>
    <w:rsid w:val="005F19E1"/>
    <w:rsid w:val="00600434"/>
    <w:rsid w:val="006176CE"/>
    <w:rsid w:val="00625921"/>
    <w:rsid w:val="00627570"/>
    <w:rsid w:val="00632133"/>
    <w:rsid w:val="00653336"/>
    <w:rsid w:val="00656157"/>
    <w:rsid w:val="0066218C"/>
    <w:rsid w:val="00674131"/>
    <w:rsid w:val="00675BA3"/>
    <w:rsid w:val="00677CBF"/>
    <w:rsid w:val="00683D1A"/>
    <w:rsid w:val="00691BBE"/>
    <w:rsid w:val="006A1AC1"/>
    <w:rsid w:val="006A79F2"/>
    <w:rsid w:val="006C7D5F"/>
    <w:rsid w:val="006D1E07"/>
    <w:rsid w:val="006F389A"/>
    <w:rsid w:val="006F50BE"/>
    <w:rsid w:val="00721FF0"/>
    <w:rsid w:val="007256F1"/>
    <w:rsid w:val="007347F1"/>
    <w:rsid w:val="00735CDF"/>
    <w:rsid w:val="00737D23"/>
    <w:rsid w:val="00761746"/>
    <w:rsid w:val="00767AD2"/>
    <w:rsid w:val="007A73C4"/>
    <w:rsid w:val="007C4127"/>
    <w:rsid w:val="007C7AC3"/>
    <w:rsid w:val="007D4730"/>
    <w:rsid w:val="007D7FEE"/>
    <w:rsid w:val="007E66DE"/>
    <w:rsid w:val="007F216A"/>
    <w:rsid w:val="008103E3"/>
    <w:rsid w:val="00812552"/>
    <w:rsid w:val="008130F1"/>
    <w:rsid w:val="00816F1C"/>
    <w:rsid w:val="0083367F"/>
    <w:rsid w:val="00851C91"/>
    <w:rsid w:val="008535CF"/>
    <w:rsid w:val="0085652D"/>
    <w:rsid w:val="00861BCA"/>
    <w:rsid w:val="008629A1"/>
    <w:rsid w:val="00891559"/>
    <w:rsid w:val="008A7B3E"/>
    <w:rsid w:val="008B374B"/>
    <w:rsid w:val="008B73C2"/>
    <w:rsid w:val="008C096E"/>
    <w:rsid w:val="008D120E"/>
    <w:rsid w:val="00931C71"/>
    <w:rsid w:val="0094072D"/>
    <w:rsid w:val="00943D3D"/>
    <w:rsid w:val="00945E1D"/>
    <w:rsid w:val="00946727"/>
    <w:rsid w:val="00960C5A"/>
    <w:rsid w:val="00974B3E"/>
    <w:rsid w:val="009968A7"/>
    <w:rsid w:val="009A2A3C"/>
    <w:rsid w:val="009B022D"/>
    <w:rsid w:val="009B2AC0"/>
    <w:rsid w:val="009B315E"/>
    <w:rsid w:val="009D3973"/>
    <w:rsid w:val="009D7316"/>
    <w:rsid w:val="009D7BD0"/>
    <w:rsid w:val="00A03BC6"/>
    <w:rsid w:val="00A53A9C"/>
    <w:rsid w:val="00A56295"/>
    <w:rsid w:val="00A864E6"/>
    <w:rsid w:val="00A90CA6"/>
    <w:rsid w:val="00AA00F4"/>
    <w:rsid w:val="00AB51EF"/>
    <w:rsid w:val="00AC1F12"/>
    <w:rsid w:val="00AC3AA3"/>
    <w:rsid w:val="00AE3CB0"/>
    <w:rsid w:val="00AF3472"/>
    <w:rsid w:val="00B02DF7"/>
    <w:rsid w:val="00B143A7"/>
    <w:rsid w:val="00B15273"/>
    <w:rsid w:val="00B219BA"/>
    <w:rsid w:val="00B306AF"/>
    <w:rsid w:val="00B52464"/>
    <w:rsid w:val="00B5668F"/>
    <w:rsid w:val="00B633B4"/>
    <w:rsid w:val="00B76189"/>
    <w:rsid w:val="00B76E40"/>
    <w:rsid w:val="00B8270C"/>
    <w:rsid w:val="00BB480D"/>
    <w:rsid w:val="00BD6207"/>
    <w:rsid w:val="00BD7EF8"/>
    <w:rsid w:val="00BE7192"/>
    <w:rsid w:val="00C20784"/>
    <w:rsid w:val="00C36306"/>
    <w:rsid w:val="00C41602"/>
    <w:rsid w:val="00C5496A"/>
    <w:rsid w:val="00C71BA5"/>
    <w:rsid w:val="00C83ED3"/>
    <w:rsid w:val="00CA482B"/>
    <w:rsid w:val="00CC1AF1"/>
    <w:rsid w:val="00CC7E5D"/>
    <w:rsid w:val="00D05705"/>
    <w:rsid w:val="00D26B43"/>
    <w:rsid w:val="00D37896"/>
    <w:rsid w:val="00D40249"/>
    <w:rsid w:val="00D53539"/>
    <w:rsid w:val="00D6048C"/>
    <w:rsid w:val="00D64B54"/>
    <w:rsid w:val="00D94A3D"/>
    <w:rsid w:val="00D9538F"/>
    <w:rsid w:val="00DA2140"/>
    <w:rsid w:val="00DC68ED"/>
    <w:rsid w:val="00DE0484"/>
    <w:rsid w:val="00DF4C54"/>
    <w:rsid w:val="00E04149"/>
    <w:rsid w:val="00E46DCB"/>
    <w:rsid w:val="00E47770"/>
    <w:rsid w:val="00E52F1C"/>
    <w:rsid w:val="00E548A8"/>
    <w:rsid w:val="00E84472"/>
    <w:rsid w:val="00E91745"/>
    <w:rsid w:val="00EA3A57"/>
    <w:rsid w:val="00F00ECD"/>
    <w:rsid w:val="00F138AC"/>
    <w:rsid w:val="00F2462E"/>
    <w:rsid w:val="00F255BC"/>
    <w:rsid w:val="00F41AA1"/>
    <w:rsid w:val="00F44890"/>
    <w:rsid w:val="00F45660"/>
    <w:rsid w:val="00F50C33"/>
    <w:rsid w:val="00F54819"/>
    <w:rsid w:val="00F61BBE"/>
    <w:rsid w:val="00F66178"/>
    <w:rsid w:val="00F75045"/>
    <w:rsid w:val="00F92F12"/>
    <w:rsid w:val="00F93651"/>
    <w:rsid w:val="00F95169"/>
    <w:rsid w:val="00FA252C"/>
    <w:rsid w:val="00FC5747"/>
    <w:rsid w:val="00F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409F66A-82DF-4E50-8ECB-6501CFED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23"/>
  </w:style>
  <w:style w:type="paragraph" w:styleId="Footer">
    <w:name w:val="footer"/>
    <w:basedOn w:val="Normal"/>
    <w:link w:val="FooterChar"/>
    <w:uiPriority w:val="99"/>
    <w:unhideWhenUsed/>
    <w:rsid w:val="00737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23"/>
  </w:style>
  <w:style w:type="paragraph" w:styleId="BalloonText">
    <w:name w:val="Balloon Text"/>
    <w:basedOn w:val="Normal"/>
    <w:link w:val="BalloonTextChar"/>
    <w:uiPriority w:val="99"/>
    <w:semiHidden/>
    <w:unhideWhenUsed/>
    <w:rsid w:val="00AE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6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7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A00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g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lfe_t@cde.state.co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lfe_t@cde.state.co.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62ADC-F39B-41EF-8F48-CDD2E52A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Medina, Jacquelin</dc:creator>
  <cp:lastModifiedBy>Steffen, Lisa</cp:lastModifiedBy>
  <cp:revision>4</cp:revision>
  <cp:lastPrinted>2013-07-08T14:44:00Z</cp:lastPrinted>
  <dcterms:created xsi:type="dcterms:W3CDTF">2015-06-24T21:59:00Z</dcterms:created>
  <dcterms:modified xsi:type="dcterms:W3CDTF">2015-10-07T18:38:00Z</dcterms:modified>
</cp:coreProperties>
</file>