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C0F6" w14:textId="77777777" w:rsidR="00186A3E" w:rsidRPr="00E841E5" w:rsidRDefault="00186A3E" w:rsidP="00186A3E">
      <w:pPr>
        <w:pStyle w:val="Heading1"/>
      </w:pPr>
      <w:bookmarkStart w:id="0" w:name="_Toc82010309"/>
      <w:r w:rsidRPr="00E841E5">
        <w:t>Allowable Use of Funds</w:t>
      </w:r>
      <w:bookmarkEnd w:id="0"/>
    </w:p>
    <w:p w14:paraId="2CDC5A10" w14:textId="13A3ACE6" w:rsidR="00186A3E" w:rsidRPr="00186A3E" w:rsidRDefault="00186A3E" w:rsidP="00186A3E">
      <w:pPr>
        <w:rPr>
          <w:rStyle w:val="Hyperlink"/>
          <w:rFonts w:ascii="Calibri" w:eastAsia="MS PGothic" w:hAnsi="Calibri" w:cs="Calibri"/>
          <w:bCs/>
          <w:szCs w:val="24"/>
        </w:rPr>
      </w:pPr>
      <w:r w:rsidRPr="00E841E5">
        <w:rPr>
          <w:rFonts w:ascii="Calibri" w:eastAsia="MS PGothic" w:hAnsi="Calibri" w:cs="Calibri"/>
          <w:bCs/>
          <w:color w:val="auto"/>
          <w:szCs w:val="24"/>
        </w:rPr>
        <w:t xml:space="preserve">Funding under this program must be used for the purposes of identifying homeless children and youth and providing homeless children and youth with (A) wrap-around services </w:t>
      </w:r>
      <w:proofErr w:type="gramStart"/>
      <w:r w:rsidRPr="00E841E5">
        <w:rPr>
          <w:rFonts w:ascii="Calibri" w:eastAsia="MS PGothic" w:hAnsi="Calibri" w:cs="Calibri"/>
          <w:bCs/>
          <w:color w:val="auto"/>
          <w:szCs w:val="24"/>
        </w:rPr>
        <w:t>in light of</w:t>
      </w:r>
      <w:proofErr w:type="gramEnd"/>
      <w:r w:rsidRPr="00E841E5">
        <w:rPr>
          <w:rFonts w:ascii="Calibri" w:eastAsia="MS PGothic" w:hAnsi="Calibri" w:cs="Calibri"/>
          <w:bCs/>
          <w:color w:val="auto"/>
          <w:szCs w:val="24"/>
        </w:rPr>
        <w:t xml:space="preserve"> the challenges of COVID–19; and (B) assistance needed to enable homeless children and youth to attend school and participate fully in school activities. Funding provided under ARP Homeless II must follow the </w:t>
      </w:r>
      <w:r>
        <w:rPr>
          <w:rFonts w:ascii="Calibri" w:eastAsia="MS PGothic" w:hAnsi="Calibri" w:cs="Calibri"/>
          <w:bCs/>
          <w:szCs w:val="24"/>
        </w:rPr>
        <w:fldChar w:fldCharType="begin"/>
      </w:r>
      <w:r>
        <w:rPr>
          <w:rFonts w:ascii="Calibri" w:eastAsia="MS PGothic" w:hAnsi="Calibri" w:cs="Calibri"/>
          <w:bCs/>
          <w:szCs w:val="24"/>
        </w:rPr>
        <w:instrText xml:space="preserve"> HYPERLINK "https://oese.ed.gov/offices/american-rescue-plan/american-rescue-plan-elementary-secondary-school-emergency-relief-homeless-children-youth-arp-hcy/" </w:instrText>
      </w:r>
      <w:r>
        <w:rPr>
          <w:rFonts w:ascii="Calibri" w:eastAsia="MS PGothic" w:hAnsi="Calibri" w:cs="Calibri"/>
          <w:bCs/>
          <w:szCs w:val="24"/>
        </w:rPr>
      </w:r>
      <w:r>
        <w:rPr>
          <w:rFonts w:ascii="Calibri" w:eastAsia="MS PGothic" w:hAnsi="Calibri" w:cs="Calibri"/>
          <w:bCs/>
          <w:szCs w:val="24"/>
        </w:rPr>
        <w:fldChar w:fldCharType="separate"/>
      </w:r>
      <w:r w:rsidRPr="00186A3E">
        <w:rPr>
          <w:rStyle w:val="Hyperlink"/>
          <w:rFonts w:ascii="Calibri" w:eastAsia="MS PGothic" w:hAnsi="Calibri" w:cs="Calibri"/>
          <w:bCs/>
          <w:szCs w:val="24"/>
        </w:rPr>
        <w:t xml:space="preserve">final requirements of the American Rescue Plan Act </w:t>
      </w:r>
      <w:r w:rsidRPr="00186A3E">
        <w:rPr>
          <w:rStyle w:val="Hyperlink"/>
          <w:rFonts w:ascii="Calibri" w:eastAsia="MS PGothic" w:hAnsi="Calibri" w:cs="Calibri"/>
          <w:bCs/>
          <w:szCs w:val="24"/>
        </w:rPr>
        <w:t>Homeless Children and Youth Program.</w:t>
      </w:r>
    </w:p>
    <w:p w14:paraId="1C77D03C" w14:textId="63EC2FA1" w:rsidR="00186A3E" w:rsidRPr="00E841E5" w:rsidRDefault="00186A3E" w:rsidP="00186A3E">
      <w:pPr>
        <w:rPr>
          <w:rFonts w:ascii="Calibri" w:eastAsia="MS PGothic" w:hAnsi="Calibri" w:cs="Calibri"/>
          <w:bCs/>
          <w:color w:val="auto"/>
          <w:szCs w:val="24"/>
        </w:rPr>
      </w:pPr>
      <w:r>
        <w:rPr>
          <w:rFonts w:ascii="Calibri" w:eastAsia="MS PGothic" w:hAnsi="Calibri" w:cs="Calibri"/>
          <w:bCs/>
          <w:szCs w:val="24"/>
        </w:rPr>
        <w:fldChar w:fldCharType="end"/>
      </w:r>
    </w:p>
    <w:p w14:paraId="3B7C5F05" w14:textId="77777777" w:rsidR="00186A3E" w:rsidRPr="00E841E5" w:rsidRDefault="00186A3E" w:rsidP="00186A3E">
      <w:pPr>
        <w:rPr>
          <w:rFonts w:ascii="Calibri" w:eastAsia="MS PGothic" w:hAnsi="Calibri" w:cs="Calibri"/>
          <w:bCs/>
          <w:color w:val="auto"/>
          <w:szCs w:val="24"/>
        </w:rPr>
      </w:pPr>
      <w:r w:rsidRPr="00E841E5">
        <w:rPr>
          <w:rFonts w:ascii="Calibri" w:eastAsia="MS PGothic" w:hAnsi="Calibri" w:cs="Calibri"/>
          <w:bCs/>
          <w:color w:val="auto"/>
          <w:szCs w:val="24"/>
        </w:rPr>
        <w:t>Furthermore, funding under the ARP Homeless I and II programs must adhere to the allowable uses of funds described in Title VII-B of the McKinney-Vento Homeless Assistance Act (McKinney-Vento Act). Under section 723(d) of the McKinney-Vento Act, LEAs may use subgrant funds for activities that support the purposes of the program, including:</w:t>
      </w:r>
    </w:p>
    <w:p w14:paraId="2D5618C3" w14:textId="77777777" w:rsidR="00186A3E" w:rsidRPr="00E841E5" w:rsidRDefault="00186A3E" w:rsidP="00186A3E">
      <w:pPr>
        <w:rPr>
          <w:rFonts w:ascii="Calibri" w:eastAsia="MS PGothic" w:hAnsi="Calibri" w:cs="Calibri"/>
          <w:bCs/>
          <w:color w:val="auto"/>
          <w:szCs w:val="24"/>
        </w:rPr>
      </w:pPr>
    </w:p>
    <w:p w14:paraId="5B00B16D"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(1)</w:t>
      </w:r>
      <w:r w:rsidRPr="00E841E5">
        <w:rPr>
          <w:rFonts w:ascii="Calibri" w:eastAsia="MS PGothic" w:hAnsi="Calibri" w:cs="Calibri"/>
          <w:bCs/>
          <w:color w:val="auto"/>
          <w:szCs w:val="24"/>
        </w:rPr>
        <w:tab/>
        <w:t>The provision of tutoring, supplemental instruction, and enriched educational services that are linked to the achievement of the same challenging State academic standards as the State establishes for other children and youths.</w:t>
      </w:r>
    </w:p>
    <w:p w14:paraId="44A39277"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(2)</w:t>
      </w:r>
      <w:r w:rsidRPr="00E841E5">
        <w:rPr>
          <w:rFonts w:ascii="Calibri" w:eastAsia="MS PGothic" w:hAnsi="Calibri" w:cs="Calibri"/>
          <w:bCs/>
          <w:color w:val="auto"/>
          <w:szCs w:val="24"/>
        </w:rPr>
        <w:tab/>
        <w:t>The provision of expedited evaluations of the strengths and needs of homeless children and youths, including needs and eligibility for programs and services (such as educational programs for gifted and talented students, children with disabilities, and English learners, services provided under title I of the ESEA,20 U.S.C. 6301 et seq., or similar State or local programs, programs in career and technical education, and school nutrition programs).</w:t>
      </w:r>
    </w:p>
    <w:p w14:paraId="5236C056"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(3)</w:t>
      </w:r>
      <w:r w:rsidRPr="00E841E5">
        <w:rPr>
          <w:rFonts w:ascii="Calibri" w:eastAsia="MS PGothic" w:hAnsi="Calibri" w:cs="Calibri"/>
          <w:bCs/>
          <w:color w:val="auto"/>
          <w:szCs w:val="24"/>
        </w:rPr>
        <w:tab/>
        <w:t>Professional development and other activities for educators and specialized instructional support personnel that are designed to heighten the understanding and sensitivity of such personnel to the needs of homeless children and youths, the rights of such children and youths under this part, and the specific educational needs of runaway and homeless youths.</w:t>
      </w:r>
    </w:p>
    <w:p w14:paraId="197D8CAB"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(4)</w:t>
      </w:r>
      <w:r w:rsidRPr="00E841E5">
        <w:rPr>
          <w:rFonts w:ascii="Calibri" w:eastAsia="MS PGothic" w:hAnsi="Calibri" w:cs="Calibri"/>
          <w:bCs/>
          <w:color w:val="auto"/>
          <w:szCs w:val="24"/>
        </w:rPr>
        <w:tab/>
        <w:t>The provision of referral services to homeless children and youths for medical, dental, mental, and other health services.</w:t>
      </w:r>
    </w:p>
    <w:p w14:paraId="008A4568"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(5)</w:t>
      </w:r>
      <w:r w:rsidRPr="00E841E5">
        <w:rPr>
          <w:rFonts w:ascii="Calibri" w:eastAsia="MS PGothic" w:hAnsi="Calibri" w:cs="Calibri"/>
          <w:bCs/>
          <w:color w:val="auto"/>
          <w:szCs w:val="24"/>
        </w:rPr>
        <w:tab/>
        <w:t>The provision of assistance to defray the excess cost of transportation for students under section 722(g)(4)(A) of the McKinney-Vento Act, not otherwise provided through Federal, State, or local funding, where necessary to enable students to attend the school selected under section 732(g)(3) of the McKinney-Vento Act.</w:t>
      </w:r>
    </w:p>
    <w:p w14:paraId="53954C9F"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(6)</w:t>
      </w:r>
      <w:r w:rsidRPr="00E841E5">
        <w:rPr>
          <w:rFonts w:ascii="Calibri" w:eastAsia="MS PGothic" w:hAnsi="Calibri" w:cs="Calibri"/>
          <w:bCs/>
          <w:color w:val="auto"/>
          <w:szCs w:val="24"/>
        </w:rPr>
        <w:tab/>
        <w:t>The provision of developmentally appropriate early childhood education programs, not otherwise provided through Federal, State, or local funding, for preschool-aged homeless children.</w:t>
      </w:r>
    </w:p>
    <w:p w14:paraId="21A93F30"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(7)</w:t>
      </w:r>
      <w:r w:rsidRPr="00E841E5">
        <w:rPr>
          <w:rFonts w:ascii="Calibri" w:eastAsia="MS PGothic" w:hAnsi="Calibri" w:cs="Calibri"/>
          <w:bCs/>
          <w:color w:val="auto"/>
          <w:szCs w:val="24"/>
        </w:rPr>
        <w:tab/>
        <w:t xml:space="preserve">The provision of services and assistance to attract, engage, and retain homeless children and youths, particularly homeless children and youths who are not enrolled in school, in public school programs and services provided to non-homeless children and youths. </w:t>
      </w:r>
    </w:p>
    <w:p w14:paraId="74E9E80E"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(8)</w:t>
      </w:r>
      <w:r w:rsidRPr="00E841E5">
        <w:rPr>
          <w:rFonts w:ascii="Calibri" w:eastAsia="MS PGothic" w:hAnsi="Calibri" w:cs="Calibri"/>
          <w:bCs/>
          <w:color w:val="auto"/>
          <w:szCs w:val="24"/>
        </w:rPr>
        <w:tab/>
        <w:t>The provision for homeless children and youths of before- and after-school, mentoring, and summer programs in which a teacher or other qualified individual provides tutoring, homework assistance, and supervision of educational activities.</w:t>
      </w:r>
    </w:p>
    <w:p w14:paraId="4C785633"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(9)</w:t>
      </w:r>
      <w:r w:rsidRPr="00E841E5">
        <w:rPr>
          <w:rFonts w:ascii="Calibri" w:eastAsia="MS PGothic" w:hAnsi="Calibri" w:cs="Calibri"/>
          <w:bCs/>
          <w:color w:val="auto"/>
          <w:szCs w:val="24"/>
        </w:rPr>
        <w:tab/>
        <w:t>If necessary, the payment of fees and other costs associated with tracking, obtaining, and transferring records necessary to enroll homeless children and youths in school, including birth certificates, immunization or other required health records, academic records, guardianship records, and evaluations for special programs or services.</w:t>
      </w:r>
    </w:p>
    <w:p w14:paraId="3F8FB8C5"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(10)</w:t>
      </w:r>
      <w:r w:rsidRPr="00E841E5">
        <w:rPr>
          <w:rFonts w:ascii="Calibri" w:eastAsia="MS PGothic" w:hAnsi="Calibri" w:cs="Calibri"/>
          <w:bCs/>
          <w:color w:val="auto"/>
          <w:szCs w:val="24"/>
        </w:rPr>
        <w:tab/>
        <w:t xml:space="preserve">The provision of education and training to the parents and guardians of homeless children and youths about the rights of, and resources available to, such children and youths, and other </w:t>
      </w:r>
      <w:r w:rsidRPr="00E841E5">
        <w:rPr>
          <w:rFonts w:ascii="Calibri" w:eastAsia="MS PGothic" w:hAnsi="Calibri" w:cs="Calibri"/>
          <w:bCs/>
          <w:color w:val="auto"/>
          <w:szCs w:val="24"/>
        </w:rPr>
        <w:lastRenderedPageBreak/>
        <w:t>activities designed to increase the meaningful involvement of parents and guardians of homeless children or youths in the education of such children or youths.</w:t>
      </w:r>
    </w:p>
    <w:p w14:paraId="07B03A08"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(11)</w:t>
      </w:r>
      <w:r w:rsidRPr="00E841E5">
        <w:rPr>
          <w:rFonts w:ascii="Calibri" w:eastAsia="MS PGothic" w:hAnsi="Calibri" w:cs="Calibri"/>
          <w:bCs/>
          <w:color w:val="auto"/>
          <w:szCs w:val="24"/>
        </w:rPr>
        <w:tab/>
        <w:t>The development of coordination between schools and agencies providing services to homeless children and youths, as described in section 722(g)(5) of the McKinney-Vento Act.</w:t>
      </w:r>
    </w:p>
    <w:p w14:paraId="0EAEFDEE"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(12)</w:t>
      </w:r>
      <w:r w:rsidRPr="00E841E5">
        <w:rPr>
          <w:rFonts w:ascii="Calibri" w:eastAsia="MS PGothic" w:hAnsi="Calibri" w:cs="Calibri"/>
          <w:bCs/>
          <w:color w:val="auto"/>
          <w:szCs w:val="24"/>
        </w:rPr>
        <w:tab/>
        <w:t>The provision of specialized instructional support services (including violence prevention counseling) and referrals for such services.</w:t>
      </w:r>
    </w:p>
    <w:p w14:paraId="6A504FB3"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(13)</w:t>
      </w:r>
      <w:r w:rsidRPr="00E841E5">
        <w:rPr>
          <w:rFonts w:ascii="Calibri" w:eastAsia="MS PGothic" w:hAnsi="Calibri" w:cs="Calibri"/>
          <w:bCs/>
          <w:color w:val="auto"/>
          <w:szCs w:val="24"/>
        </w:rPr>
        <w:tab/>
        <w:t xml:space="preserve">Activities to address the </w:t>
      </w:r>
      <w:proofErr w:type="gramStart"/>
      <w:r w:rsidRPr="00E841E5">
        <w:rPr>
          <w:rFonts w:ascii="Calibri" w:eastAsia="MS PGothic" w:hAnsi="Calibri" w:cs="Calibri"/>
          <w:bCs/>
          <w:color w:val="auto"/>
          <w:szCs w:val="24"/>
        </w:rPr>
        <w:t>particular needs</w:t>
      </w:r>
      <w:proofErr w:type="gramEnd"/>
      <w:r w:rsidRPr="00E841E5">
        <w:rPr>
          <w:rFonts w:ascii="Calibri" w:eastAsia="MS PGothic" w:hAnsi="Calibri" w:cs="Calibri"/>
          <w:bCs/>
          <w:color w:val="auto"/>
          <w:szCs w:val="24"/>
        </w:rPr>
        <w:t xml:space="preserve"> of homeless children and youths that may arise from domestic violence and parental mental health or substance abuse problems.</w:t>
      </w:r>
    </w:p>
    <w:p w14:paraId="260E87BB"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(14)</w:t>
      </w:r>
      <w:r w:rsidRPr="00E841E5">
        <w:rPr>
          <w:rFonts w:ascii="Calibri" w:eastAsia="MS PGothic" w:hAnsi="Calibri" w:cs="Calibri"/>
          <w:bCs/>
          <w:color w:val="auto"/>
          <w:szCs w:val="24"/>
        </w:rPr>
        <w:tab/>
        <w:t xml:space="preserve">The adaptation of space and purchase of supplies for any </w:t>
      </w:r>
      <w:proofErr w:type="spellStart"/>
      <w:r w:rsidRPr="00E841E5">
        <w:rPr>
          <w:rFonts w:ascii="Calibri" w:eastAsia="MS PGothic" w:hAnsi="Calibri" w:cs="Calibri"/>
          <w:bCs/>
          <w:color w:val="auto"/>
          <w:szCs w:val="24"/>
        </w:rPr>
        <w:t>nonschool</w:t>
      </w:r>
      <w:proofErr w:type="spellEnd"/>
      <w:r w:rsidRPr="00E841E5">
        <w:rPr>
          <w:rFonts w:ascii="Calibri" w:eastAsia="MS PGothic" w:hAnsi="Calibri" w:cs="Calibri"/>
          <w:bCs/>
          <w:color w:val="auto"/>
          <w:szCs w:val="24"/>
        </w:rPr>
        <w:t xml:space="preserve"> facilities made available under section 723(a)(2) of the McKinney-Vento Act to provide services under section 723(d) of the McKinney-Vento Act.</w:t>
      </w:r>
    </w:p>
    <w:p w14:paraId="1679D486"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(15)</w:t>
      </w:r>
      <w:r w:rsidRPr="00E841E5">
        <w:rPr>
          <w:rFonts w:ascii="Calibri" w:eastAsia="MS PGothic" w:hAnsi="Calibri" w:cs="Calibri"/>
          <w:bCs/>
          <w:color w:val="auto"/>
          <w:szCs w:val="24"/>
        </w:rPr>
        <w:tab/>
        <w:t>The provision of school supplies, including those supplies to be distributed at shelters or temporary housing facilities, or other appropriate locations.</w:t>
      </w:r>
    </w:p>
    <w:p w14:paraId="5ADAC603" w14:textId="77777777" w:rsidR="00186A3E" w:rsidRPr="00E841E5" w:rsidRDefault="00186A3E" w:rsidP="00186A3E">
      <w:pPr>
        <w:ind w:left="907" w:hanging="547"/>
        <w:rPr>
          <w:rFonts w:ascii="Calibri" w:eastAsia="MS PGothic" w:hAnsi="Calibri" w:cs="Calibri"/>
          <w:bCs/>
          <w:color w:val="auto"/>
          <w:szCs w:val="24"/>
        </w:rPr>
      </w:pPr>
      <w:r w:rsidRPr="00E841E5">
        <w:rPr>
          <w:rFonts w:ascii="Calibri" w:eastAsia="MS PGothic" w:hAnsi="Calibri" w:cs="Calibri"/>
          <w:bCs/>
          <w:color w:val="auto"/>
          <w:szCs w:val="24"/>
        </w:rPr>
        <w:t>(16)</w:t>
      </w:r>
      <w:r w:rsidRPr="00E841E5">
        <w:rPr>
          <w:rFonts w:ascii="Calibri" w:eastAsia="MS PGothic" w:hAnsi="Calibri" w:cs="Calibri"/>
          <w:bCs/>
          <w:color w:val="auto"/>
          <w:szCs w:val="24"/>
        </w:rPr>
        <w:tab/>
        <w:t>The provision of other extraordinary or emergency assistance needed to enable homeless children and youths to attend school and participate fully in school activities.</w:t>
      </w:r>
    </w:p>
    <w:p w14:paraId="15EB36D0" w14:textId="77777777" w:rsidR="00186A3E" w:rsidRPr="00E841E5" w:rsidRDefault="00186A3E" w:rsidP="00186A3E">
      <w:pPr>
        <w:rPr>
          <w:rFonts w:ascii="Calibri" w:eastAsia="MS PGothic" w:hAnsi="Calibri" w:cs="Calibri"/>
          <w:bCs/>
          <w:color w:val="auto"/>
          <w:szCs w:val="24"/>
        </w:rPr>
      </w:pPr>
    </w:p>
    <w:p w14:paraId="7BA2753E" w14:textId="77777777" w:rsidR="00186A3E" w:rsidRPr="00E841E5" w:rsidRDefault="00186A3E" w:rsidP="00186A3E">
      <w:pPr>
        <w:rPr>
          <w:rFonts w:ascii="Calibri" w:eastAsia="MS PGothic" w:hAnsi="Calibri" w:cs="Calibri"/>
          <w:bCs/>
          <w:color w:val="auto"/>
          <w:szCs w:val="24"/>
        </w:rPr>
      </w:pPr>
      <w:r w:rsidRPr="00E841E5">
        <w:rPr>
          <w:rFonts w:ascii="Calibri" w:eastAsia="MS PGothic" w:hAnsi="Calibri" w:cs="Calibri"/>
          <w:bCs/>
          <w:color w:val="auto"/>
          <w:szCs w:val="24"/>
        </w:rPr>
        <w:t xml:space="preserve">Activities under ARP-HCY II may include any expenses necessary to facilitate the identification, enrollment, retention, or educational success of homeless children and youth </w:t>
      </w:r>
      <w:proofErr w:type="gramStart"/>
      <w:r w:rsidRPr="00E841E5">
        <w:rPr>
          <w:rFonts w:ascii="Calibri" w:eastAsia="MS PGothic" w:hAnsi="Calibri" w:cs="Calibri"/>
          <w:bCs/>
          <w:color w:val="auto"/>
          <w:szCs w:val="24"/>
        </w:rPr>
        <w:t>in order to</w:t>
      </w:r>
      <w:proofErr w:type="gramEnd"/>
      <w:r w:rsidRPr="00E841E5">
        <w:rPr>
          <w:rFonts w:ascii="Calibri" w:eastAsia="MS PGothic" w:hAnsi="Calibri" w:cs="Calibri"/>
          <w:bCs/>
          <w:color w:val="auto"/>
          <w:szCs w:val="24"/>
        </w:rPr>
        <w:t xml:space="preserve"> enable homeless children and youth to attend school and participate fully in school activities, such as:</w:t>
      </w:r>
    </w:p>
    <w:p w14:paraId="2278C7C2" w14:textId="77777777" w:rsidR="00186A3E" w:rsidRPr="00E841E5" w:rsidRDefault="00186A3E" w:rsidP="00186A3E">
      <w:pPr>
        <w:rPr>
          <w:rFonts w:ascii="Calibri" w:eastAsia="MS PGothic" w:hAnsi="Calibri" w:cs="Calibri"/>
          <w:bCs/>
          <w:color w:val="auto"/>
          <w:szCs w:val="24"/>
        </w:rPr>
      </w:pPr>
    </w:p>
    <w:p w14:paraId="0E941740" w14:textId="77777777" w:rsidR="00186A3E" w:rsidRPr="00E841E5" w:rsidRDefault="00186A3E" w:rsidP="00186A3E">
      <w:pPr>
        <w:pStyle w:val="ListParagraph"/>
        <w:numPr>
          <w:ilvl w:val="0"/>
          <w:numId w:val="1"/>
        </w:numPr>
        <w:rPr>
          <w:rFonts w:ascii="Calibri" w:eastAsia="MS PGothic" w:hAnsi="Calibri" w:cs="Calibri"/>
          <w:bCs/>
          <w:color w:val="auto"/>
          <w:szCs w:val="24"/>
        </w:rPr>
      </w:pPr>
      <w:r w:rsidRPr="00E841E5">
        <w:rPr>
          <w:rFonts w:ascii="Calibri" w:eastAsia="MS PGothic" w:hAnsi="Calibri" w:cs="Calibri"/>
          <w:bCs/>
          <w:color w:val="auto"/>
          <w:szCs w:val="24"/>
        </w:rPr>
        <w:t>providing wraparound services (which could be provided in collaboration with and/or through contracts with community-based organizations, and could include academic supports, trauma-informed care, social-emotional support, and mental health services</w:t>
      </w:r>
      <w:proofErr w:type="gramStart"/>
      <w:r w:rsidRPr="00E841E5">
        <w:rPr>
          <w:rFonts w:ascii="Calibri" w:eastAsia="MS PGothic" w:hAnsi="Calibri" w:cs="Calibri"/>
          <w:bCs/>
          <w:color w:val="auto"/>
          <w:szCs w:val="24"/>
        </w:rPr>
        <w:t>);</w:t>
      </w:r>
      <w:proofErr w:type="gramEnd"/>
    </w:p>
    <w:p w14:paraId="624CA773" w14:textId="77777777" w:rsidR="00186A3E" w:rsidRPr="00E841E5" w:rsidRDefault="00186A3E" w:rsidP="00186A3E">
      <w:pPr>
        <w:pStyle w:val="ListParagraph"/>
        <w:numPr>
          <w:ilvl w:val="0"/>
          <w:numId w:val="1"/>
        </w:numPr>
        <w:rPr>
          <w:rFonts w:ascii="Calibri" w:eastAsia="MS PGothic" w:hAnsi="Calibri" w:cs="Calibri"/>
          <w:bCs/>
          <w:color w:val="auto"/>
          <w:szCs w:val="24"/>
        </w:rPr>
      </w:pPr>
      <w:r w:rsidRPr="00E841E5">
        <w:rPr>
          <w:rFonts w:ascii="Calibri" w:eastAsia="MS PGothic" w:hAnsi="Calibri" w:cs="Calibri"/>
          <w:bCs/>
          <w:color w:val="auto"/>
          <w:szCs w:val="24"/>
        </w:rPr>
        <w:t>purchasing needed supplies (e.g., personal protective equipment, eyeglasses, school supplies, personal care items</w:t>
      </w:r>
      <w:proofErr w:type="gramStart"/>
      <w:r w:rsidRPr="00E841E5">
        <w:rPr>
          <w:rFonts w:ascii="Calibri" w:eastAsia="MS PGothic" w:hAnsi="Calibri" w:cs="Calibri"/>
          <w:bCs/>
          <w:color w:val="auto"/>
          <w:szCs w:val="24"/>
        </w:rPr>
        <w:t>);</w:t>
      </w:r>
      <w:proofErr w:type="gramEnd"/>
    </w:p>
    <w:p w14:paraId="31C0BF45" w14:textId="77777777" w:rsidR="00186A3E" w:rsidRPr="00E841E5" w:rsidRDefault="00186A3E" w:rsidP="00186A3E">
      <w:pPr>
        <w:pStyle w:val="ListParagraph"/>
        <w:numPr>
          <w:ilvl w:val="0"/>
          <w:numId w:val="1"/>
        </w:numPr>
        <w:rPr>
          <w:rFonts w:ascii="Calibri" w:eastAsia="MS PGothic" w:hAnsi="Calibri" w:cs="Calibri"/>
          <w:bCs/>
          <w:color w:val="auto"/>
          <w:szCs w:val="24"/>
        </w:rPr>
      </w:pPr>
      <w:r w:rsidRPr="00E841E5">
        <w:rPr>
          <w:rFonts w:ascii="Calibri" w:eastAsia="MS PGothic" w:hAnsi="Calibri" w:cs="Calibri"/>
          <w:bCs/>
          <w:color w:val="auto"/>
          <w:szCs w:val="24"/>
        </w:rPr>
        <w:t xml:space="preserve">providing transportation to enable homeless children and youth to attend school and participate fully in school </w:t>
      </w:r>
      <w:proofErr w:type="gramStart"/>
      <w:r w:rsidRPr="00E841E5">
        <w:rPr>
          <w:rFonts w:ascii="Calibri" w:eastAsia="MS PGothic" w:hAnsi="Calibri" w:cs="Calibri"/>
          <w:bCs/>
          <w:color w:val="auto"/>
          <w:szCs w:val="24"/>
        </w:rPr>
        <w:t>activities;</w:t>
      </w:r>
      <w:proofErr w:type="gramEnd"/>
      <w:r w:rsidRPr="00E841E5">
        <w:rPr>
          <w:rFonts w:ascii="Calibri" w:eastAsia="MS PGothic" w:hAnsi="Calibri" w:cs="Calibri"/>
          <w:bCs/>
          <w:color w:val="auto"/>
          <w:szCs w:val="24"/>
        </w:rPr>
        <w:t xml:space="preserve"> </w:t>
      </w:r>
    </w:p>
    <w:p w14:paraId="4A768166" w14:textId="77777777" w:rsidR="00186A3E" w:rsidRPr="00E841E5" w:rsidRDefault="00186A3E" w:rsidP="00186A3E">
      <w:pPr>
        <w:pStyle w:val="ListParagraph"/>
        <w:numPr>
          <w:ilvl w:val="0"/>
          <w:numId w:val="1"/>
        </w:numPr>
        <w:rPr>
          <w:rFonts w:ascii="Calibri" w:eastAsia="MS PGothic" w:hAnsi="Calibri" w:cs="Calibri"/>
          <w:bCs/>
          <w:color w:val="auto"/>
          <w:szCs w:val="24"/>
        </w:rPr>
      </w:pPr>
      <w:r w:rsidRPr="00E841E5">
        <w:rPr>
          <w:rFonts w:ascii="Calibri" w:eastAsia="MS PGothic" w:hAnsi="Calibri" w:cs="Calibri"/>
          <w:bCs/>
          <w:color w:val="auto"/>
          <w:szCs w:val="24"/>
        </w:rPr>
        <w:t xml:space="preserve">purchasing cell phones or other technological devices for unaccompanied, homeless children and youth to enable such children and youth to attend school and fully participate in school </w:t>
      </w:r>
      <w:proofErr w:type="gramStart"/>
      <w:r w:rsidRPr="00E841E5">
        <w:rPr>
          <w:rFonts w:ascii="Calibri" w:eastAsia="MS PGothic" w:hAnsi="Calibri" w:cs="Calibri"/>
          <w:bCs/>
          <w:color w:val="auto"/>
          <w:szCs w:val="24"/>
        </w:rPr>
        <w:t>activities;</w:t>
      </w:r>
      <w:proofErr w:type="gramEnd"/>
    </w:p>
    <w:p w14:paraId="3F4EFCE6" w14:textId="77777777" w:rsidR="00186A3E" w:rsidRPr="00E841E5" w:rsidRDefault="00186A3E" w:rsidP="00186A3E">
      <w:pPr>
        <w:pStyle w:val="ListParagraph"/>
        <w:numPr>
          <w:ilvl w:val="0"/>
          <w:numId w:val="1"/>
        </w:numPr>
        <w:rPr>
          <w:rFonts w:ascii="Calibri" w:eastAsia="MS PGothic" w:hAnsi="Calibri" w:cs="Calibri"/>
          <w:bCs/>
          <w:color w:val="auto"/>
          <w:szCs w:val="24"/>
        </w:rPr>
      </w:pPr>
      <w:r w:rsidRPr="00E841E5">
        <w:rPr>
          <w:rFonts w:ascii="Calibri" w:eastAsia="MS PGothic" w:hAnsi="Calibri" w:cs="Calibri"/>
          <w:bCs/>
          <w:color w:val="auto"/>
          <w:szCs w:val="24"/>
        </w:rPr>
        <w:t xml:space="preserve">providing access to reliable, high-speed internet for students through the purchase of internet-connected devices/equipment, mobile hotspots, wireless service plans, or installation of Community Wi-Fi Hotspots (e.g., at homeless shelters), especially in underserved </w:t>
      </w:r>
      <w:proofErr w:type="gramStart"/>
      <w:r w:rsidRPr="00E841E5">
        <w:rPr>
          <w:rFonts w:ascii="Calibri" w:eastAsia="MS PGothic" w:hAnsi="Calibri" w:cs="Calibri"/>
          <w:bCs/>
          <w:color w:val="auto"/>
          <w:szCs w:val="24"/>
        </w:rPr>
        <w:t>communities;</w:t>
      </w:r>
      <w:proofErr w:type="gramEnd"/>
    </w:p>
    <w:p w14:paraId="5448CB09" w14:textId="77777777" w:rsidR="00186A3E" w:rsidRPr="00E841E5" w:rsidRDefault="00186A3E" w:rsidP="00186A3E">
      <w:pPr>
        <w:pStyle w:val="ListParagraph"/>
        <w:numPr>
          <w:ilvl w:val="0"/>
          <w:numId w:val="1"/>
        </w:numPr>
        <w:rPr>
          <w:rFonts w:ascii="Calibri" w:eastAsia="MS PGothic" w:hAnsi="Calibri" w:cs="Calibri"/>
          <w:bCs/>
          <w:color w:val="auto"/>
          <w:szCs w:val="24"/>
        </w:rPr>
      </w:pPr>
      <w:r w:rsidRPr="00E841E5">
        <w:rPr>
          <w:rFonts w:ascii="Calibri" w:eastAsia="MS PGothic" w:hAnsi="Calibri" w:cs="Calibri"/>
          <w:bCs/>
          <w:color w:val="auto"/>
          <w:szCs w:val="24"/>
        </w:rPr>
        <w:t>paying for short-term, temporary housing (e.g., a few days in a motel) when such emergency housing is the only reasonable option for COVID-safe temporary housing and when necessary to enable homeless children and youth to attend school and participate fully in school activities (including summer school); and</w:t>
      </w:r>
    </w:p>
    <w:p w14:paraId="07A1FD0D" w14:textId="77777777" w:rsidR="00186A3E" w:rsidRPr="00E841E5" w:rsidRDefault="00186A3E" w:rsidP="00186A3E">
      <w:pPr>
        <w:pStyle w:val="ListParagraph"/>
        <w:numPr>
          <w:ilvl w:val="0"/>
          <w:numId w:val="1"/>
        </w:numPr>
        <w:rPr>
          <w:rFonts w:ascii="Calibri" w:eastAsia="MS PGothic" w:hAnsi="Calibri" w:cs="Calibri"/>
          <w:bCs/>
          <w:color w:val="auto"/>
          <w:szCs w:val="24"/>
        </w:rPr>
      </w:pPr>
      <w:r w:rsidRPr="00E841E5">
        <w:rPr>
          <w:rFonts w:ascii="Calibri" w:eastAsia="MS PGothic" w:hAnsi="Calibri" w:cs="Calibri"/>
          <w:color w:val="auto"/>
          <w:szCs w:val="24"/>
        </w:rPr>
        <w:t xml:space="preserve">For store cards/prepaid debit cards to purchase materials necessary for students to participate in school activities. Per Colorado requirements, </w:t>
      </w:r>
      <w:r w:rsidRPr="00E841E5">
        <w:rPr>
          <w:rFonts w:ascii="Calibri" w:eastAsia="MS PGothic" w:hAnsi="Calibri" w:cs="Times New Roman"/>
          <w:color w:val="auto"/>
        </w:rPr>
        <w:t xml:space="preserve">store-specific debit cards must be used toward allowable uses of funds or specific intended purposes outlined above. Further, the recipient(s) should be able to provide to the LEA the receipt(s) for items for their files for audit purposes. </w:t>
      </w:r>
    </w:p>
    <w:p w14:paraId="6C759AF6" w14:textId="77777777" w:rsidR="00186A3E" w:rsidRPr="00E841E5" w:rsidRDefault="00186A3E" w:rsidP="00186A3E">
      <w:pPr>
        <w:pStyle w:val="Header"/>
        <w:tabs>
          <w:tab w:val="clear" w:pos="4680"/>
          <w:tab w:val="clear" w:pos="9360"/>
        </w:tabs>
        <w:rPr>
          <w:rFonts w:ascii="Calibri" w:eastAsia="MS PGothic" w:hAnsi="Calibri" w:cs="Calibri"/>
          <w:color w:val="auto"/>
          <w:szCs w:val="24"/>
        </w:rPr>
      </w:pPr>
    </w:p>
    <w:p w14:paraId="76C6B4E4" w14:textId="77777777" w:rsidR="00186A3E" w:rsidRPr="00E841E5" w:rsidRDefault="00186A3E" w:rsidP="00186A3E">
      <w:pPr>
        <w:pStyle w:val="Header"/>
        <w:tabs>
          <w:tab w:val="clear" w:pos="4680"/>
          <w:tab w:val="clear" w:pos="9360"/>
        </w:tabs>
        <w:rPr>
          <w:rFonts w:ascii="Calibri" w:eastAsia="MS PGothic" w:hAnsi="Calibri" w:cs="Calibri"/>
          <w:color w:val="auto"/>
          <w:szCs w:val="24"/>
        </w:rPr>
      </w:pPr>
      <w:r w:rsidRPr="00E841E5">
        <w:rPr>
          <w:rFonts w:ascii="Calibri" w:eastAsia="MS PGothic" w:hAnsi="Calibri" w:cs="Calibri"/>
          <w:color w:val="auto"/>
          <w:szCs w:val="24"/>
        </w:rPr>
        <w:t xml:space="preserve">LEAs must ensure that all costs are reasonable and necessary and that these uses of funds align with the purpose of, and other requirements in, the McKinney-Vento Act. In addition, when considering funding decisions, the U.S. Department of Education wants to emphasize that section 723(d)(16) of the McKinney-Vento Act allows the use of funds for “other extraordinary or emergency assistance needed to enable homeless children and youths to attend school and participate fully in school activities.” </w:t>
      </w:r>
      <w:r w:rsidRPr="00E841E5">
        <w:rPr>
          <w:rFonts w:ascii="Calibri" w:eastAsia="MS PGothic" w:hAnsi="Calibri" w:cs="Calibri"/>
          <w:color w:val="auto"/>
          <w:szCs w:val="24"/>
        </w:rPr>
        <w:lastRenderedPageBreak/>
        <w:t xml:space="preserve">Accordingly, when considering funding decisions, LEAs should analyze the needs of students experiencing homelessness </w:t>
      </w:r>
      <w:proofErr w:type="gramStart"/>
      <w:r w:rsidRPr="00E841E5">
        <w:rPr>
          <w:rFonts w:ascii="Calibri" w:eastAsia="MS PGothic" w:hAnsi="Calibri" w:cs="Calibri"/>
          <w:color w:val="auto"/>
          <w:szCs w:val="24"/>
        </w:rPr>
        <w:t>in light of</w:t>
      </w:r>
      <w:proofErr w:type="gramEnd"/>
      <w:r w:rsidRPr="00E841E5">
        <w:rPr>
          <w:rFonts w:ascii="Calibri" w:eastAsia="MS PGothic" w:hAnsi="Calibri" w:cs="Calibri"/>
          <w:color w:val="auto"/>
          <w:szCs w:val="24"/>
        </w:rPr>
        <w:t xml:space="preserve"> the COVID-19 pandemic and its extraordinary impact.</w:t>
      </w:r>
    </w:p>
    <w:p w14:paraId="401693D3" w14:textId="77777777" w:rsidR="00186A3E" w:rsidRPr="00E841E5" w:rsidRDefault="00186A3E" w:rsidP="00186A3E">
      <w:pPr>
        <w:rPr>
          <w:rFonts w:cstheme="minorHAnsi"/>
        </w:rPr>
      </w:pPr>
    </w:p>
    <w:p w14:paraId="46BAC5BC" w14:textId="77777777" w:rsidR="00C043AA" w:rsidRDefault="00C043AA"/>
    <w:sectPr w:rsidR="00C04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5606A"/>
    <w:multiLevelType w:val="hybridMultilevel"/>
    <w:tmpl w:val="0E2E7F16"/>
    <w:lvl w:ilvl="0" w:tplc="F6025B0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63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3E"/>
    <w:rsid w:val="00186A3E"/>
    <w:rsid w:val="008F6930"/>
    <w:rsid w:val="00A55669"/>
    <w:rsid w:val="00C0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5F6E"/>
  <w15:chartTrackingRefBased/>
  <w15:docId w15:val="{D6740D7A-0FFE-4745-9AE3-6DBCE0D6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3E"/>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186A3E"/>
    <w:pPr>
      <w:pBdr>
        <w:bottom w:val="single" w:sz="4" w:space="1" w:color="auto"/>
      </w:pBdr>
      <w:spacing w:before="120" w:after="12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A3E"/>
    <w:rPr>
      <w:b/>
      <w:color w:val="262626" w:themeColor="text1" w:themeTint="D9"/>
      <w:kern w:val="16"/>
      <w:sz w:val="28"/>
      <w:szCs w:val="28"/>
    </w:rPr>
  </w:style>
  <w:style w:type="character" w:styleId="Hyperlink">
    <w:name w:val="Hyperlink"/>
    <w:basedOn w:val="DefaultParagraphFont"/>
    <w:uiPriority w:val="99"/>
    <w:unhideWhenUsed/>
    <w:rsid w:val="00186A3E"/>
    <w:rPr>
      <w:color w:val="0070C0"/>
      <w:u w:val="single"/>
    </w:rPr>
  </w:style>
  <w:style w:type="paragraph" w:styleId="Header">
    <w:name w:val="header"/>
    <w:basedOn w:val="Normal"/>
    <w:link w:val="HeaderChar"/>
    <w:unhideWhenUsed/>
    <w:rsid w:val="00186A3E"/>
    <w:pPr>
      <w:tabs>
        <w:tab w:val="center" w:pos="4680"/>
        <w:tab w:val="right" w:pos="9360"/>
      </w:tabs>
    </w:pPr>
  </w:style>
  <w:style w:type="character" w:customStyle="1" w:styleId="HeaderChar">
    <w:name w:val="Header Char"/>
    <w:basedOn w:val="DefaultParagraphFont"/>
    <w:link w:val="Header"/>
    <w:rsid w:val="00186A3E"/>
    <w:rPr>
      <w:color w:val="262626" w:themeColor="text1" w:themeTint="D9"/>
      <w:kern w:val="16"/>
    </w:rPr>
  </w:style>
  <w:style w:type="paragraph" w:styleId="ListParagraph">
    <w:name w:val="List Paragraph"/>
    <w:aliases w:val="Indented Text,Indented (Quote)"/>
    <w:basedOn w:val="Normal"/>
    <w:link w:val="ListParagraphChar"/>
    <w:uiPriority w:val="34"/>
    <w:qFormat/>
    <w:rsid w:val="00186A3E"/>
    <w:pPr>
      <w:ind w:left="720"/>
    </w:pPr>
  </w:style>
  <w:style w:type="character" w:customStyle="1" w:styleId="ListParagraphChar">
    <w:name w:val="List Paragraph Char"/>
    <w:aliases w:val="Indented Text Char,Indented (Quote) Char"/>
    <w:link w:val="ListParagraph"/>
    <w:uiPriority w:val="34"/>
    <w:locked/>
    <w:rsid w:val="00186A3E"/>
    <w:rPr>
      <w:color w:val="262626" w:themeColor="text1" w:themeTint="D9"/>
      <w:kern w:val="16"/>
    </w:rPr>
  </w:style>
  <w:style w:type="character" w:styleId="FollowedHyperlink">
    <w:name w:val="FollowedHyperlink"/>
    <w:basedOn w:val="DefaultParagraphFont"/>
    <w:uiPriority w:val="99"/>
    <w:semiHidden/>
    <w:unhideWhenUsed/>
    <w:rsid w:val="00186A3E"/>
    <w:rPr>
      <w:color w:val="954F72" w:themeColor="followedHyperlink"/>
      <w:u w:val="single"/>
    </w:rPr>
  </w:style>
  <w:style w:type="character" w:styleId="UnresolvedMention">
    <w:name w:val="Unresolved Mention"/>
    <w:basedOn w:val="DefaultParagraphFont"/>
    <w:uiPriority w:val="99"/>
    <w:semiHidden/>
    <w:unhideWhenUsed/>
    <w:rsid w:val="0018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Gumina, Paula</dc:creator>
  <cp:keywords/>
  <dc:description/>
  <cp:lastModifiedBy>Gumina, Paula</cp:lastModifiedBy>
  <cp:revision>1</cp:revision>
  <dcterms:created xsi:type="dcterms:W3CDTF">2022-07-13T20:24:00Z</dcterms:created>
  <dcterms:modified xsi:type="dcterms:W3CDTF">2022-07-13T20:32:00Z</dcterms:modified>
</cp:coreProperties>
</file>