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96" w:rsidRPr="00B31345" w:rsidRDefault="00B31345" w:rsidP="003842BF">
      <w:pPr>
        <w:tabs>
          <w:tab w:val="left" w:pos="11430"/>
        </w:tabs>
        <w:rPr>
          <w:rFonts w:eastAsia="Times New Roman" w:cs="Times New Roman"/>
          <w:color w:val="008031"/>
          <w:sz w:val="56"/>
          <w:szCs w:val="56"/>
        </w:rPr>
      </w:pPr>
      <w:r w:rsidRPr="00B31345">
        <w:rPr>
          <w:color w:val="008031"/>
          <w:sz w:val="56"/>
          <w:szCs w:val="56"/>
        </w:rPr>
        <w:t>Special Education Dispute Resolution</w:t>
      </w:r>
      <w:r w:rsidR="003842BF">
        <w:rPr>
          <w:color w:val="008031"/>
          <w:sz w:val="56"/>
          <w:szCs w:val="56"/>
        </w:rPr>
        <w:tab/>
      </w:r>
      <w:r w:rsidR="00111F5F" w:rsidRPr="00B31345">
        <w:rPr>
          <w:noProof/>
          <w:color w:val="008030"/>
          <w:position w:val="-2"/>
        </w:rPr>
        <w:drawing>
          <wp:inline distT="0" distB="0" distL="0" distR="0">
            <wp:extent cx="1850517" cy="338124"/>
            <wp:effectExtent l="0" t="0" r="0" b="5080"/>
            <wp:docPr id="1" name="image1.jpeg"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50517" cy="338124"/>
                    </a:xfrm>
                    <a:prstGeom prst="rect">
                      <a:avLst/>
                    </a:prstGeom>
                  </pic:spPr>
                </pic:pic>
              </a:graphicData>
            </a:graphic>
          </wp:inline>
        </w:drawing>
      </w:r>
    </w:p>
    <w:p w:rsidR="00492596" w:rsidRPr="00B31345" w:rsidRDefault="00F62D28">
      <w:pPr>
        <w:pStyle w:val="BodyText"/>
        <w:rPr>
          <w:sz w:val="20"/>
        </w:rPr>
      </w:pPr>
      <w:r w:rsidRPr="00B31345">
        <w:rPr>
          <w:noProof/>
        </w:rPr>
        <mc:AlternateContent>
          <mc:Choice Requires="wps">
            <w:drawing>
              <wp:inline distT="0" distB="0" distL="0" distR="0" wp14:anchorId="40BF4A68" wp14:editId="05964BC8">
                <wp:extent cx="9144000" cy="287020"/>
                <wp:effectExtent l="0" t="0" r="0" b="0"/>
                <wp:docPr id="2" name="Rectangle 2" title="CDE Bann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287020"/>
                        </a:xfrm>
                        <a:prstGeom prst="rect">
                          <a:avLst/>
                        </a:prstGeom>
                        <a:solidFill>
                          <a:srgbClr val="0094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D28" w:rsidRPr="00B31345" w:rsidRDefault="00B31345" w:rsidP="00F62D28">
                            <w:pPr>
                              <w:rPr>
                                <w:b/>
                                <w:color w:val="FFFFFF" w:themeColor="background1"/>
                                <w:sz w:val="24"/>
                                <w:szCs w:val="24"/>
                              </w:rPr>
                            </w:pPr>
                            <w:r w:rsidRPr="00B31345">
                              <w:rPr>
                                <w:b/>
                                <w:color w:val="FFFFFF" w:themeColor="background1"/>
                                <w:sz w:val="24"/>
                                <w:szCs w:val="24"/>
                              </w:rPr>
                              <w:t>A Brief Overview of Options Available under the IDEA</w:t>
                            </w:r>
                            <w:r w:rsidR="00913B3C" w:rsidRPr="00B31345">
                              <w:rPr>
                                <w:b/>
                                <w:color w:val="FFFFFF" w:themeColor="background1"/>
                                <w:sz w:val="24"/>
                                <w:szCs w:val="24"/>
                              </w:rPr>
                              <w:cr/>
                            </w:r>
                          </w:p>
                        </w:txbxContent>
                      </wps:txbx>
                      <wps:bodyPr rot="0" vert="horz" wrap="square" lIns="91440" tIns="45720" rIns="91440" bIns="45720" anchor="t" anchorCtr="0" upright="1">
                        <a:noAutofit/>
                      </wps:bodyPr>
                    </wps:wsp>
                  </a:graphicData>
                </a:graphic>
              </wp:inline>
            </w:drawing>
          </mc:Choice>
          <mc:Fallback>
            <w:pict>
              <v:rect w14:anchorId="40BF4A68" id="Rectangle 2" o:spid="_x0000_s1026" alt="Title: CDE Banner" style="width:10in;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" fillcolor="#009439" stroked="f">
                <v:textbox>
                  <w:txbxContent>
                    <w:p w:rsidR="00F62D28" w:rsidRPr="00B31345" w:rsidRDefault="00B31345" w:rsidP="00F62D28">
                      <w:pPr>
                        <w:rPr>
                          <w:b/>
                          <w:color w:val="FFFFFF" w:themeColor="background1"/>
                          <w:sz w:val="24"/>
                          <w:szCs w:val="24"/>
                        </w:rPr>
                      </w:pPr>
                      <w:r w:rsidRPr="00B31345">
                        <w:rPr>
                          <w:b/>
                          <w:color w:val="FFFFFF" w:themeColor="background1"/>
                          <w:sz w:val="24"/>
                          <w:szCs w:val="24"/>
                        </w:rPr>
                        <w:t>A Brief Overview of Options Available under the IDEA</w:t>
                      </w:r>
                      <w:r w:rsidR="00913B3C" w:rsidRPr="00B31345">
                        <w:rPr>
                          <w:b/>
                          <w:color w:val="FFFFFF" w:themeColor="background1"/>
                          <w:sz w:val="24"/>
                          <w:szCs w:val="24"/>
                        </w:rPr>
                        <w:cr/>
                      </w:r>
                    </w:p>
                  </w:txbxContent>
                </v:textbox>
                <w10:anchorlock/>
              </v:rect>
            </w:pict>
          </mc:Fallback>
        </mc:AlternateContent>
      </w:r>
    </w:p>
    <w:p w:rsidR="00492596" w:rsidRPr="00B31345" w:rsidRDefault="00492596">
      <w:pPr>
        <w:pStyle w:val="BodyText"/>
        <w:spacing w:before="10"/>
        <w:rPr>
          <w:sz w:val="20"/>
        </w:rPr>
      </w:pPr>
    </w:p>
    <w:tbl>
      <w:tblPr>
        <w:tblStyle w:val="GridTable5Dark-Accent1"/>
        <w:tblW w:w="0" w:type="auto"/>
        <w:tblLayout w:type="fixed"/>
        <w:tblCellMar>
          <w:left w:w="0" w:type="dxa"/>
          <w:right w:w="0" w:type="dxa"/>
        </w:tblCellMar>
        <w:tblLook w:val="04A0" w:firstRow="1" w:lastRow="0" w:firstColumn="1" w:lastColumn="0" w:noHBand="0" w:noVBand="1"/>
        <w:tblCaption w:val="Dispute Resolution Options Table"/>
        <w:tblDescription w:val="A table answering frequently asked questions as the pertain to the three Dispute Resolution Options offered by CDE, namely Mediation, State Complaints, and Due Process Complaints."/>
      </w:tblPr>
      <w:tblGrid>
        <w:gridCol w:w="1255"/>
        <w:gridCol w:w="3780"/>
        <w:gridCol w:w="4500"/>
        <w:gridCol w:w="4860"/>
      </w:tblGrid>
      <w:tr w:rsidR="00492596" w:rsidRPr="00B3443C" w:rsidTr="00BB304B">
        <w:trPr>
          <w:cnfStyle w:val="100000000000" w:firstRow="1" w:lastRow="0" w:firstColumn="0" w:lastColumn="0" w:oddVBand="0" w:evenVBand="0" w:oddHBand="0" w:evenHBand="0" w:firstRowFirstColumn="0" w:firstRowLastColumn="0" w:lastRowFirstColumn="0" w:lastRowLastColumn="0"/>
          <w:trHeight w:hRule="exact" w:val="330"/>
          <w:tblHeader/>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492596" w:rsidP="007A7902">
            <w:pPr>
              <w:jc w:val="center"/>
              <w:rPr>
                <w:sz w:val="20"/>
                <w:szCs w:val="20"/>
              </w:rPr>
            </w:pPr>
          </w:p>
        </w:tc>
        <w:tc>
          <w:tcPr>
            <w:tcW w:w="3780" w:type="dxa"/>
            <w:vAlign w:val="center"/>
          </w:tcPr>
          <w:p w:rsidR="00492596" w:rsidRPr="00B3443C" w:rsidRDefault="00B31345" w:rsidP="007A7902">
            <w:pPr>
              <w:pStyle w:val="TableParagraph"/>
              <w:ind w:left="12" w:right="14"/>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3443C">
              <w:rPr>
                <w:color w:val="FFFFFF"/>
                <w:sz w:val="20"/>
                <w:szCs w:val="20"/>
              </w:rPr>
              <w:t>Mediation</w:t>
            </w:r>
          </w:p>
        </w:tc>
        <w:tc>
          <w:tcPr>
            <w:tcW w:w="4500" w:type="dxa"/>
            <w:vAlign w:val="center"/>
          </w:tcPr>
          <w:p w:rsidR="00492596" w:rsidRPr="00B3443C" w:rsidRDefault="00B31345" w:rsidP="007A7902">
            <w:pPr>
              <w:pStyle w:val="TableParagraph"/>
              <w:ind w:left="6" w:right="9"/>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3443C">
              <w:rPr>
                <w:color w:val="FFFFFF"/>
                <w:sz w:val="20"/>
                <w:szCs w:val="20"/>
              </w:rPr>
              <w:t>State Complaints</w:t>
            </w:r>
          </w:p>
        </w:tc>
        <w:tc>
          <w:tcPr>
            <w:tcW w:w="4860" w:type="dxa"/>
            <w:vAlign w:val="center"/>
          </w:tcPr>
          <w:p w:rsidR="00492596" w:rsidRPr="00B3443C" w:rsidRDefault="00B31345" w:rsidP="007A7902">
            <w:pPr>
              <w:pStyle w:val="TableParagraph"/>
              <w:ind w:left="27" w:right="32"/>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3443C">
              <w:rPr>
                <w:color w:val="FFFFFF"/>
                <w:sz w:val="20"/>
                <w:szCs w:val="20"/>
              </w:rPr>
              <w:t>Due Process (Non‐Expedited) Complaints</w:t>
            </w:r>
          </w:p>
        </w:tc>
      </w:tr>
      <w:tr w:rsidR="00492596" w:rsidRPr="00B3443C" w:rsidTr="007F2E90">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1345" w:rsidP="007A7902">
            <w:pPr>
              <w:pStyle w:val="TableParagraph"/>
              <w:jc w:val="center"/>
              <w:rPr>
                <w:b w:val="0"/>
                <w:sz w:val="20"/>
                <w:szCs w:val="20"/>
              </w:rPr>
            </w:pPr>
            <w:r w:rsidRPr="00B3443C">
              <w:rPr>
                <w:sz w:val="20"/>
                <w:szCs w:val="20"/>
              </w:rPr>
              <w:t>Who can file?</w:t>
            </w:r>
          </w:p>
        </w:tc>
        <w:tc>
          <w:tcPr>
            <w:tcW w:w="3780" w:type="dxa"/>
            <w:vAlign w:val="center"/>
          </w:tcPr>
          <w:p w:rsidR="00492596" w:rsidRPr="00B3443C" w:rsidRDefault="00B3443C" w:rsidP="007A7902">
            <w:pPr>
              <w:pStyle w:val="TableParagraph"/>
              <w:ind w:left="12" w:right="14"/>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A parent or the Administrative Unit (AU) may request it, but both parties must voluntarily agree to mediation before it can go forward.</w:t>
            </w:r>
          </w:p>
        </w:tc>
        <w:tc>
          <w:tcPr>
            <w:tcW w:w="4500" w:type="dxa"/>
            <w:vAlign w:val="center"/>
          </w:tcPr>
          <w:p w:rsidR="00492596" w:rsidRPr="00B3443C" w:rsidRDefault="00B3443C" w:rsidP="007A7902">
            <w:pPr>
              <w:pStyle w:val="TableParagraph"/>
              <w:ind w:left="6" w:right="9"/>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Any individual or organization.</w:t>
            </w:r>
          </w:p>
        </w:tc>
        <w:tc>
          <w:tcPr>
            <w:tcW w:w="4860" w:type="dxa"/>
            <w:vAlign w:val="center"/>
          </w:tcPr>
          <w:p w:rsidR="00492596" w:rsidRPr="00B3443C" w:rsidRDefault="00B3443C" w:rsidP="007A7902">
            <w:pPr>
              <w:pStyle w:val="TableParagraph"/>
              <w:ind w:left="27" w:right="32"/>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Parents or the AU.</w:t>
            </w:r>
          </w:p>
        </w:tc>
      </w:tr>
      <w:tr w:rsidR="00492596" w:rsidRPr="00B3443C" w:rsidTr="00BB304B">
        <w:trPr>
          <w:trHeight w:hRule="exact" w:val="1269"/>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color w:val="FFFFFF"/>
                <w:sz w:val="20"/>
                <w:szCs w:val="20"/>
              </w:rPr>
            </w:pPr>
            <w:r w:rsidRPr="00B3443C">
              <w:rPr>
                <w:color w:val="FFFFFF"/>
                <w:sz w:val="20"/>
                <w:szCs w:val="20"/>
              </w:rPr>
              <w:t>For what issues?</w:t>
            </w:r>
          </w:p>
        </w:tc>
        <w:tc>
          <w:tcPr>
            <w:tcW w:w="3780" w:type="dxa"/>
            <w:vAlign w:val="center"/>
          </w:tcPr>
          <w:p w:rsidR="00492596" w:rsidRPr="00B3443C" w:rsidRDefault="00B3443C" w:rsidP="007A7902">
            <w:pPr>
              <w:pStyle w:val="TableParagraph"/>
              <w:ind w:left="12" w:right="14"/>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Disputes concerning matters protected under the Individuals with Disabilities Education Act (IDEA) or the Exceptional Children’s Educational Act (ECEA).</w:t>
            </w:r>
          </w:p>
        </w:tc>
        <w:tc>
          <w:tcPr>
            <w:tcW w:w="4500" w:type="dxa"/>
            <w:vAlign w:val="center"/>
          </w:tcPr>
          <w:p w:rsidR="00492596" w:rsidRPr="00B3443C" w:rsidRDefault="00B3443C" w:rsidP="007A7902">
            <w:pPr>
              <w:pStyle w:val="TableParagraph"/>
              <w:ind w:left="6" w:right="9"/>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Any alleged IDEA or ECEA violation that occurred not more than one year prior to the date of a properly filed complaint.</w:t>
            </w:r>
          </w:p>
        </w:tc>
        <w:tc>
          <w:tcPr>
            <w:tcW w:w="4860" w:type="dxa"/>
            <w:vAlign w:val="center"/>
          </w:tcPr>
          <w:p w:rsidR="00492596" w:rsidRPr="00B3443C" w:rsidRDefault="00B3443C" w:rsidP="007A7902">
            <w:pPr>
              <w:pStyle w:val="TableParagraph"/>
              <w:ind w:left="27" w:right="32"/>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Any alleged IDEA or ECEA violation that occurred within the past two years concerning the identification, evaluation or educational placement of a child with a disability or the provision of a free appropriate public education (FAPE).</w:t>
            </w:r>
          </w:p>
        </w:tc>
      </w:tr>
      <w:tr w:rsidR="00492596" w:rsidRPr="00B3443C" w:rsidTr="00BB304B">
        <w:trPr>
          <w:cnfStyle w:val="000000100000" w:firstRow="0" w:lastRow="0" w:firstColumn="0" w:lastColumn="0" w:oddVBand="0" w:evenVBand="0" w:oddHBand="1" w:evenHBand="0" w:firstRowFirstColumn="0" w:firstRowLastColumn="0" w:lastRowFirstColumn="0" w:lastRowLastColumn="0"/>
          <w:trHeight w:hRule="exact" w:val="671"/>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b w:val="0"/>
                <w:sz w:val="20"/>
                <w:szCs w:val="20"/>
              </w:rPr>
            </w:pPr>
            <w:r w:rsidRPr="00B3443C">
              <w:rPr>
                <w:color w:val="FFFFFF"/>
                <w:sz w:val="20"/>
                <w:szCs w:val="20"/>
              </w:rPr>
              <w:t>Cost?</w:t>
            </w:r>
          </w:p>
        </w:tc>
        <w:tc>
          <w:tcPr>
            <w:tcW w:w="3780" w:type="dxa"/>
            <w:vAlign w:val="center"/>
          </w:tcPr>
          <w:p w:rsidR="00492596" w:rsidRPr="00B3443C" w:rsidRDefault="00B3443C" w:rsidP="007A7902">
            <w:pPr>
              <w:pStyle w:val="TableParagraph"/>
              <w:ind w:left="12" w:right="14"/>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Free to the parties. The Department pays for the Mediator’s services.</w:t>
            </w:r>
          </w:p>
        </w:tc>
        <w:tc>
          <w:tcPr>
            <w:tcW w:w="4500" w:type="dxa"/>
            <w:vAlign w:val="center"/>
          </w:tcPr>
          <w:p w:rsidR="00492596" w:rsidRPr="00B3443C" w:rsidRDefault="00B3443C" w:rsidP="007A7902">
            <w:pPr>
              <w:pStyle w:val="TableParagraph"/>
              <w:ind w:left="6" w:right="9"/>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No filing fees. Each party must pay for any attorney fees and costs that they incur.</w:t>
            </w:r>
          </w:p>
        </w:tc>
        <w:tc>
          <w:tcPr>
            <w:tcW w:w="4860" w:type="dxa"/>
            <w:vAlign w:val="center"/>
          </w:tcPr>
          <w:p w:rsidR="00492596" w:rsidRPr="00B3443C" w:rsidRDefault="00B3443C" w:rsidP="00B3443C">
            <w:pPr>
              <w:pStyle w:val="TableParagraph"/>
              <w:ind w:left="27" w:right="32"/>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No filing fees. Each party must pay for any attorney fees and costs that they incur.</w:t>
            </w:r>
          </w:p>
        </w:tc>
      </w:tr>
      <w:tr w:rsidR="00492596" w:rsidRPr="00B3443C" w:rsidTr="00BB304B">
        <w:trPr>
          <w:trHeight w:hRule="exact" w:val="486"/>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color w:val="FFFFFF"/>
                <w:sz w:val="20"/>
                <w:szCs w:val="20"/>
              </w:rPr>
            </w:pPr>
            <w:r w:rsidRPr="00B3443C">
              <w:rPr>
                <w:color w:val="FFFFFF"/>
                <w:sz w:val="20"/>
                <w:szCs w:val="20"/>
              </w:rPr>
              <w:t>Who decides?</w:t>
            </w:r>
          </w:p>
        </w:tc>
        <w:tc>
          <w:tcPr>
            <w:tcW w:w="3780" w:type="dxa"/>
            <w:vAlign w:val="center"/>
          </w:tcPr>
          <w:p w:rsidR="00492596" w:rsidRPr="00B3443C" w:rsidRDefault="00B3443C" w:rsidP="007A7902">
            <w:pPr>
              <w:pStyle w:val="TableParagraph"/>
              <w:ind w:left="12" w:right="14"/>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The parties control the outcome.</w:t>
            </w:r>
          </w:p>
        </w:tc>
        <w:tc>
          <w:tcPr>
            <w:tcW w:w="4500" w:type="dxa"/>
            <w:vAlign w:val="center"/>
          </w:tcPr>
          <w:p w:rsidR="00492596" w:rsidRPr="00B3443C" w:rsidRDefault="00B3443C" w:rsidP="007A7902">
            <w:pPr>
              <w:pStyle w:val="TableParagraph"/>
              <w:ind w:left="6" w:right="9"/>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The State Complaints Officer (SCO).</w:t>
            </w:r>
          </w:p>
        </w:tc>
        <w:tc>
          <w:tcPr>
            <w:tcW w:w="4860" w:type="dxa"/>
            <w:vAlign w:val="center"/>
          </w:tcPr>
          <w:p w:rsidR="00492596" w:rsidRPr="00B3443C" w:rsidRDefault="00B3443C" w:rsidP="007A7902">
            <w:pPr>
              <w:pStyle w:val="TableParagraph"/>
              <w:ind w:left="27" w:right="32"/>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The Administrative Law Judge (ALJ).</w:t>
            </w:r>
          </w:p>
        </w:tc>
      </w:tr>
      <w:tr w:rsidR="00492596" w:rsidRPr="00B3443C" w:rsidTr="00BB304B">
        <w:trPr>
          <w:cnfStyle w:val="000000100000" w:firstRow="0" w:lastRow="0" w:firstColumn="0" w:lastColumn="0" w:oddVBand="0" w:evenVBand="0" w:oddHBand="1" w:evenHBand="0" w:firstRowFirstColumn="0" w:firstRowLastColumn="0" w:lastRowFirstColumn="0" w:lastRowLastColumn="0"/>
          <w:trHeight w:hRule="exact" w:val="1308"/>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color w:val="FFFFFF"/>
                <w:sz w:val="20"/>
                <w:szCs w:val="20"/>
              </w:rPr>
            </w:pPr>
            <w:r w:rsidRPr="00B3443C">
              <w:rPr>
                <w:color w:val="FFFFFF"/>
                <w:sz w:val="20"/>
                <w:szCs w:val="20"/>
              </w:rPr>
              <w:t>What happens?</w:t>
            </w:r>
          </w:p>
        </w:tc>
        <w:tc>
          <w:tcPr>
            <w:tcW w:w="3780" w:type="dxa"/>
            <w:vAlign w:val="center"/>
          </w:tcPr>
          <w:p w:rsidR="00492596" w:rsidRPr="00B3443C" w:rsidRDefault="00B3443C" w:rsidP="007A7902">
            <w:pPr>
              <w:pStyle w:val="TableParagraph"/>
              <w:ind w:left="12" w:right="14"/>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An impartial Mediator is assigned to assist the parties in resolving their dispute. The Mediator helps the parties to express their views and positions but remains neutral and does not take the side of either party.</w:t>
            </w:r>
          </w:p>
        </w:tc>
        <w:tc>
          <w:tcPr>
            <w:tcW w:w="4500" w:type="dxa"/>
            <w:vAlign w:val="center"/>
          </w:tcPr>
          <w:p w:rsidR="00492596" w:rsidRPr="00B3443C" w:rsidRDefault="00B3443C" w:rsidP="007A7902">
            <w:pPr>
              <w:pStyle w:val="TableParagraph"/>
              <w:ind w:left="6" w:right="9"/>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A party files a state complaint and documentation. The other party then files a response. The complaining party can then file a reply to the response. The assigned SCO conducts an investigation, including interviews and review of the relevant documentation.</w:t>
            </w:r>
          </w:p>
        </w:tc>
        <w:tc>
          <w:tcPr>
            <w:tcW w:w="4860" w:type="dxa"/>
            <w:vAlign w:val="center"/>
          </w:tcPr>
          <w:p w:rsidR="00492596" w:rsidRPr="00B3443C" w:rsidRDefault="00B3443C" w:rsidP="007A7902">
            <w:pPr>
              <w:pStyle w:val="TableParagraph"/>
              <w:ind w:left="27" w:right="32"/>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A party files a due process complaint and documentation. An ALJ is assigned. The AU must conduct a resolution meeting. Any unresolved issu</w:t>
            </w:r>
            <w:r w:rsidR="00BB304B">
              <w:rPr>
                <w:sz w:val="20"/>
                <w:szCs w:val="20"/>
              </w:rPr>
              <w:t xml:space="preserve">es are heard by the ALJ. </w:t>
            </w:r>
            <w:r w:rsidRPr="00B3443C">
              <w:rPr>
                <w:sz w:val="20"/>
                <w:szCs w:val="20"/>
              </w:rPr>
              <w:t>At the hearing, each party presents evidence, gives testimony and cross examines witnesses.</w:t>
            </w:r>
          </w:p>
        </w:tc>
      </w:tr>
      <w:tr w:rsidR="00492596" w:rsidRPr="00B3443C" w:rsidTr="00DC7A36">
        <w:trPr>
          <w:trHeight w:hRule="exact" w:val="1224"/>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b w:val="0"/>
                <w:sz w:val="20"/>
                <w:szCs w:val="20"/>
              </w:rPr>
            </w:pPr>
            <w:r w:rsidRPr="00B3443C">
              <w:rPr>
                <w:color w:val="FFFFFF"/>
                <w:sz w:val="20"/>
                <w:szCs w:val="20"/>
              </w:rPr>
              <w:t>Timeline</w:t>
            </w:r>
          </w:p>
        </w:tc>
        <w:tc>
          <w:tcPr>
            <w:tcW w:w="3780" w:type="dxa"/>
            <w:vAlign w:val="center"/>
          </w:tcPr>
          <w:p w:rsidR="00492596" w:rsidRPr="00B3443C" w:rsidRDefault="00B3443C" w:rsidP="007A7902">
            <w:pPr>
              <w:pStyle w:val="TableParagraph"/>
              <w:ind w:left="12" w:right="14"/>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Mediations must be scheduled in a timely manner. Typically, mediations are completed within 30 calendar days of a mediation request.</w:t>
            </w:r>
          </w:p>
        </w:tc>
        <w:tc>
          <w:tcPr>
            <w:tcW w:w="4500" w:type="dxa"/>
            <w:vAlign w:val="center"/>
          </w:tcPr>
          <w:p w:rsidR="00492596" w:rsidRPr="00B3443C" w:rsidRDefault="00B3443C" w:rsidP="007A7902">
            <w:pPr>
              <w:pStyle w:val="TableParagraph"/>
              <w:ind w:left="6" w:right="9"/>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 xml:space="preserve">A written decision is issued within 60 calendar days </w:t>
            </w:r>
            <w:r w:rsidR="007F2E90" w:rsidRPr="00B3443C">
              <w:rPr>
                <w:sz w:val="20"/>
                <w:szCs w:val="20"/>
              </w:rPr>
              <w:t>after a</w:t>
            </w:r>
            <w:r w:rsidRPr="00B3443C">
              <w:rPr>
                <w:sz w:val="20"/>
                <w:szCs w:val="20"/>
              </w:rPr>
              <w:t xml:space="preserve"> properly filed complaint was received by the </w:t>
            </w:r>
            <w:r w:rsidR="007F2E90" w:rsidRPr="00B3443C">
              <w:rPr>
                <w:sz w:val="20"/>
                <w:szCs w:val="20"/>
              </w:rPr>
              <w:t>SCO and</w:t>
            </w:r>
            <w:r w:rsidRPr="00B3443C">
              <w:rPr>
                <w:sz w:val="20"/>
                <w:szCs w:val="20"/>
              </w:rPr>
              <w:t xml:space="preserve"> the AU.</w:t>
            </w:r>
          </w:p>
        </w:tc>
        <w:tc>
          <w:tcPr>
            <w:tcW w:w="4860" w:type="dxa"/>
            <w:vAlign w:val="center"/>
          </w:tcPr>
          <w:p w:rsidR="00492596" w:rsidRPr="00B3443C" w:rsidRDefault="00B3443C" w:rsidP="007A7902">
            <w:pPr>
              <w:pStyle w:val="TableParagraph"/>
              <w:ind w:left="27" w:right="32"/>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 xml:space="preserve">The AU must convene a resolution meeting within 15 days of a properly filed complaint. The resolution period may continue for up to 30 days. If no resolution is reached, a hearing must be conducted and a decision issued </w:t>
            </w:r>
            <w:r w:rsidR="007F2E90" w:rsidRPr="00B3443C">
              <w:rPr>
                <w:sz w:val="20"/>
                <w:szCs w:val="20"/>
              </w:rPr>
              <w:t>within 45</w:t>
            </w:r>
            <w:r w:rsidRPr="00B3443C">
              <w:rPr>
                <w:sz w:val="20"/>
                <w:szCs w:val="20"/>
              </w:rPr>
              <w:t xml:space="preserve"> days.</w:t>
            </w:r>
          </w:p>
        </w:tc>
      </w:tr>
      <w:tr w:rsidR="00492596" w:rsidRPr="00B3443C" w:rsidTr="00DC7A36">
        <w:trPr>
          <w:cnfStyle w:val="000000100000" w:firstRow="0" w:lastRow="0" w:firstColumn="0" w:lastColumn="0" w:oddVBand="0" w:evenVBand="0" w:oddHBand="1" w:evenHBand="0" w:firstRowFirstColumn="0" w:firstRowLastColumn="0" w:lastRowFirstColumn="0" w:lastRowLastColumn="0"/>
          <w:trHeight w:hRule="exact" w:val="2061"/>
        </w:trPr>
        <w:tc>
          <w:tcPr>
            <w:cnfStyle w:val="001000000000" w:firstRow="0" w:lastRow="0" w:firstColumn="1" w:lastColumn="0" w:oddVBand="0" w:evenVBand="0" w:oddHBand="0" w:evenHBand="0" w:firstRowFirstColumn="0" w:firstRowLastColumn="0" w:lastRowFirstColumn="0" w:lastRowLastColumn="0"/>
            <w:tcW w:w="1255" w:type="dxa"/>
            <w:vAlign w:val="center"/>
          </w:tcPr>
          <w:p w:rsidR="00B3443C" w:rsidRPr="00B3443C" w:rsidRDefault="00B3443C" w:rsidP="00B3443C">
            <w:pPr>
              <w:pStyle w:val="TableParagraph"/>
              <w:jc w:val="center"/>
              <w:rPr>
                <w:color w:val="FFFFFF"/>
                <w:sz w:val="20"/>
                <w:szCs w:val="20"/>
              </w:rPr>
            </w:pPr>
            <w:r w:rsidRPr="00B3443C">
              <w:rPr>
                <w:color w:val="FFFFFF"/>
                <w:sz w:val="20"/>
                <w:szCs w:val="20"/>
              </w:rPr>
              <w:t>Outcomes</w:t>
            </w:r>
          </w:p>
          <w:p w:rsidR="00492596" w:rsidRPr="00B3443C" w:rsidRDefault="00B3443C" w:rsidP="00B3443C">
            <w:pPr>
              <w:pStyle w:val="TableParagraph"/>
              <w:jc w:val="center"/>
              <w:rPr>
                <w:b w:val="0"/>
                <w:sz w:val="20"/>
                <w:szCs w:val="20"/>
              </w:rPr>
            </w:pPr>
            <w:r w:rsidRPr="00B3443C">
              <w:rPr>
                <w:color w:val="FFFFFF"/>
                <w:sz w:val="20"/>
                <w:szCs w:val="20"/>
              </w:rPr>
              <w:t>&amp; Remedies</w:t>
            </w:r>
            <w:bookmarkStart w:id="0" w:name="_GoBack"/>
            <w:bookmarkEnd w:id="0"/>
          </w:p>
        </w:tc>
        <w:tc>
          <w:tcPr>
            <w:tcW w:w="3780" w:type="dxa"/>
            <w:vAlign w:val="center"/>
          </w:tcPr>
          <w:p w:rsidR="00492596" w:rsidRPr="00B3443C" w:rsidRDefault="00B3443C" w:rsidP="007A7902">
            <w:pPr>
              <w:pStyle w:val="TableParagraph"/>
              <w:ind w:left="12" w:right="14"/>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To be enforceable, any agreements reached must be reduced to a written settlement agreement and signed by both parties during the mediation. As to unresolved disputes, a party may file a state and/or due process complaint.</w:t>
            </w:r>
          </w:p>
        </w:tc>
        <w:tc>
          <w:tcPr>
            <w:tcW w:w="4500" w:type="dxa"/>
            <w:vAlign w:val="center"/>
          </w:tcPr>
          <w:p w:rsidR="00492596" w:rsidRPr="00B3443C" w:rsidRDefault="00B3443C" w:rsidP="006F6C18">
            <w:pPr>
              <w:pStyle w:val="TableParagraph"/>
              <w:ind w:left="6" w:right="9"/>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The SCO issues a written decision. If the SCO determines that IDEA violations require remedies, the SCO enters orders that the AU must follow to correct the violations, including, but not limited to, a corrective action plan, compensatory services, reconvening of the IEP meeting, etc. If the SCO determines that no IDEA violations occurred, no remedies are ordered.</w:t>
            </w:r>
          </w:p>
        </w:tc>
        <w:tc>
          <w:tcPr>
            <w:tcW w:w="4860" w:type="dxa"/>
            <w:vAlign w:val="center"/>
          </w:tcPr>
          <w:p w:rsidR="00492596" w:rsidRPr="00B3443C" w:rsidRDefault="00B3443C" w:rsidP="006F6C18">
            <w:pPr>
              <w:pStyle w:val="TableParagraph"/>
              <w:ind w:left="27" w:right="32"/>
              <w:jc w:val="center"/>
              <w:cnfStyle w:val="000000100000" w:firstRow="0" w:lastRow="0" w:firstColumn="0" w:lastColumn="0" w:oddVBand="0" w:evenVBand="0" w:oddHBand="1" w:evenHBand="0" w:firstRowFirstColumn="0" w:firstRowLastColumn="0" w:lastRowFirstColumn="0" w:lastRowLastColumn="0"/>
              <w:rPr>
                <w:sz w:val="20"/>
                <w:szCs w:val="20"/>
              </w:rPr>
            </w:pPr>
            <w:r w:rsidRPr="00B3443C">
              <w:rPr>
                <w:sz w:val="20"/>
                <w:szCs w:val="20"/>
              </w:rPr>
              <w:t>The ALJ issues a written decision. If the ALJ determines that IDEA violations require remedies, the ALJ enters orders that must be taken to correct the violations, including, but not limited to, compensatory services, reconvening of the IEP meeting, etc. If the ALJ determines that no IDEA violations occurred, no remedies are ordered.</w:t>
            </w:r>
          </w:p>
        </w:tc>
      </w:tr>
      <w:tr w:rsidR="00492596" w:rsidRPr="00B3443C" w:rsidTr="00BB304B">
        <w:trPr>
          <w:trHeight w:hRule="exact" w:val="1026"/>
        </w:trPr>
        <w:tc>
          <w:tcPr>
            <w:cnfStyle w:val="001000000000" w:firstRow="0" w:lastRow="0" w:firstColumn="1" w:lastColumn="0" w:oddVBand="0" w:evenVBand="0" w:oddHBand="0" w:evenHBand="0" w:firstRowFirstColumn="0" w:firstRowLastColumn="0" w:lastRowFirstColumn="0" w:lastRowLastColumn="0"/>
            <w:tcW w:w="1255" w:type="dxa"/>
            <w:vAlign w:val="center"/>
          </w:tcPr>
          <w:p w:rsidR="00492596" w:rsidRPr="00B3443C" w:rsidRDefault="00B3443C" w:rsidP="007A7902">
            <w:pPr>
              <w:pStyle w:val="TableParagraph"/>
              <w:jc w:val="center"/>
              <w:rPr>
                <w:b w:val="0"/>
                <w:sz w:val="20"/>
                <w:szCs w:val="20"/>
              </w:rPr>
            </w:pPr>
            <w:r w:rsidRPr="00B3443C">
              <w:rPr>
                <w:color w:val="FFFFFF"/>
                <w:sz w:val="20"/>
                <w:szCs w:val="20"/>
              </w:rPr>
              <w:t>Appeal?</w:t>
            </w:r>
          </w:p>
        </w:tc>
        <w:tc>
          <w:tcPr>
            <w:tcW w:w="3780" w:type="dxa"/>
            <w:vAlign w:val="center"/>
          </w:tcPr>
          <w:p w:rsidR="00492596" w:rsidRPr="00B3443C" w:rsidRDefault="00B3443C" w:rsidP="006F6C18">
            <w:pPr>
              <w:pStyle w:val="TableParagraph"/>
              <w:ind w:left="12" w:right="14"/>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If a party alleges that a settlement agreement has been breached, that party may seek enforcement of the agreement in state or federal court.</w:t>
            </w:r>
          </w:p>
        </w:tc>
        <w:tc>
          <w:tcPr>
            <w:tcW w:w="4500" w:type="dxa"/>
            <w:vAlign w:val="center"/>
          </w:tcPr>
          <w:p w:rsidR="00492596" w:rsidRPr="00B3443C" w:rsidRDefault="00B3443C" w:rsidP="006F6C18">
            <w:pPr>
              <w:pStyle w:val="TableParagraph"/>
              <w:ind w:left="6" w:right="9"/>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The SCO’s decision cannot be appealed but either party may file a due process complaint on the same issue(s).</w:t>
            </w:r>
          </w:p>
        </w:tc>
        <w:tc>
          <w:tcPr>
            <w:tcW w:w="4860" w:type="dxa"/>
            <w:vAlign w:val="center"/>
          </w:tcPr>
          <w:p w:rsidR="00492596" w:rsidRPr="00B3443C" w:rsidRDefault="00B3443C" w:rsidP="006F6C18">
            <w:pPr>
              <w:pStyle w:val="TableParagraph"/>
              <w:ind w:left="27" w:right="32"/>
              <w:jc w:val="center"/>
              <w:cnfStyle w:val="000000000000" w:firstRow="0" w:lastRow="0" w:firstColumn="0" w:lastColumn="0" w:oddVBand="0" w:evenVBand="0" w:oddHBand="0" w:evenHBand="0" w:firstRowFirstColumn="0" w:firstRowLastColumn="0" w:lastRowFirstColumn="0" w:lastRowLastColumn="0"/>
              <w:rPr>
                <w:sz w:val="20"/>
                <w:szCs w:val="20"/>
              </w:rPr>
            </w:pPr>
            <w:r w:rsidRPr="00B3443C">
              <w:rPr>
                <w:sz w:val="20"/>
                <w:szCs w:val="20"/>
              </w:rPr>
              <w:t>The ALJ’s decision may be appealed in state or federal district court within 90 days of the date of the decision.</w:t>
            </w:r>
          </w:p>
        </w:tc>
      </w:tr>
    </w:tbl>
    <w:p w:rsidR="00CA4A7A" w:rsidRPr="00B31345" w:rsidRDefault="00CA4A7A"/>
    <w:sectPr w:rsidR="00CA4A7A" w:rsidRPr="00B31345">
      <w:type w:val="continuous"/>
      <w:pgSz w:w="15840" w:h="12240" w:orient="landscape"/>
      <w:pgMar w:top="8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96"/>
    <w:rsid w:val="00003BCE"/>
    <w:rsid w:val="00111F5F"/>
    <w:rsid w:val="003842BF"/>
    <w:rsid w:val="00492596"/>
    <w:rsid w:val="006F6C18"/>
    <w:rsid w:val="007A7902"/>
    <w:rsid w:val="007F2E90"/>
    <w:rsid w:val="00884768"/>
    <w:rsid w:val="00913B3C"/>
    <w:rsid w:val="00A8631B"/>
    <w:rsid w:val="00AF53F0"/>
    <w:rsid w:val="00B31345"/>
    <w:rsid w:val="00B3443C"/>
    <w:rsid w:val="00BB304B"/>
    <w:rsid w:val="00BD5A79"/>
    <w:rsid w:val="00CA4A7A"/>
    <w:rsid w:val="00DC7A36"/>
    <w:rsid w:val="00F6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B2763B7"/>
  <w15:docId w15:val="{B4C3799F-3101-47E2-9EF6-2387BFF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GridTable5Dark-Accent1">
    <w:name w:val="Grid Table 5 Dark Accent 1"/>
    <w:basedOn w:val="TableNormal"/>
    <w:uiPriority w:val="50"/>
    <w:rsid w:val="00F62D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7820">
      <w:bodyDiv w:val="1"/>
      <w:marLeft w:val="0"/>
      <w:marRight w:val="0"/>
      <w:marTop w:val="0"/>
      <w:marBottom w:val="0"/>
      <w:divBdr>
        <w:top w:val="none" w:sz="0" w:space="0" w:color="auto"/>
        <w:left w:val="none" w:sz="0" w:space="0" w:color="auto"/>
        <w:bottom w:val="none" w:sz="0" w:space="0" w:color="auto"/>
        <w:right w:val="none" w:sz="0" w:space="0" w:color="auto"/>
      </w:divBdr>
    </w:div>
    <w:div w:id="114912905">
      <w:bodyDiv w:val="1"/>
      <w:marLeft w:val="0"/>
      <w:marRight w:val="0"/>
      <w:marTop w:val="0"/>
      <w:marBottom w:val="0"/>
      <w:divBdr>
        <w:top w:val="none" w:sz="0" w:space="0" w:color="auto"/>
        <w:left w:val="none" w:sz="0" w:space="0" w:color="auto"/>
        <w:bottom w:val="none" w:sz="0" w:space="0" w:color="auto"/>
        <w:right w:val="none" w:sz="0" w:space="0" w:color="auto"/>
      </w:divBdr>
    </w:div>
    <w:div w:id="254482041">
      <w:bodyDiv w:val="1"/>
      <w:marLeft w:val="0"/>
      <w:marRight w:val="0"/>
      <w:marTop w:val="0"/>
      <w:marBottom w:val="0"/>
      <w:divBdr>
        <w:top w:val="none" w:sz="0" w:space="0" w:color="auto"/>
        <w:left w:val="none" w:sz="0" w:space="0" w:color="auto"/>
        <w:bottom w:val="none" w:sz="0" w:space="0" w:color="auto"/>
        <w:right w:val="none" w:sz="0" w:space="0" w:color="auto"/>
      </w:divBdr>
    </w:div>
    <w:div w:id="256254850">
      <w:bodyDiv w:val="1"/>
      <w:marLeft w:val="0"/>
      <w:marRight w:val="0"/>
      <w:marTop w:val="0"/>
      <w:marBottom w:val="0"/>
      <w:divBdr>
        <w:top w:val="none" w:sz="0" w:space="0" w:color="auto"/>
        <w:left w:val="none" w:sz="0" w:space="0" w:color="auto"/>
        <w:bottom w:val="none" w:sz="0" w:space="0" w:color="auto"/>
        <w:right w:val="none" w:sz="0" w:space="0" w:color="auto"/>
      </w:divBdr>
    </w:div>
    <w:div w:id="271131389">
      <w:bodyDiv w:val="1"/>
      <w:marLeft w:val="0"/>
      <w:marRight w:val="0"/>
      <w:marTop w:val="0"/>
      <w:marBottom w:val="0"/>
      <w:divBdr>
        <w:top w:val="none" w:sz="0" w:space="0" w:color="auto"/>
        <w:left w:val="none" w:sz="0" w:space="0" w:color="auto"/>
        <w:bottom w:val="none" w:sz="0" w:space="0" w:color="auto"/>
        <w:right w:val="none" w:sz="0" w:space="0" w:color="auto"/>
      </w:divBdr>
    </w:div>
    <w:div w:id="313608071">
      <w:bodyDiv w:val="1"/>
      <w:marLeft w:val="0"/>
      <w:marRight w:val="0"/>
      <w:marTop w:val="0"/>
      <w:marBottom w:val="0"/>
      <w:divBdr>
        <w:top w:val="none" w:sz="0" w:space="0" w:color="auto"/>
        <w:left w:val="none" w:sz="0" w:space="0" w:color="auto"/>
        <w:bottom w:val="none" w:sz="0" w:space="0" w:color="auto"/>
        <w:right w:val="none" w:sz="0" w:space="0" w:color="auto"/>
      </w:divBdr>
    </w:div>
    <w:div w:id="376052973">
      <w:bodyDiv w:val="1"/>
      <w:marLeft w:val="0"/>
      <w:marRight w:val="0"/>
      <w:marTop w:val="0"/>
      <w:marBottom w:val="0"/>
      <w:divBdr>
        <w:top w:val="none" w:sz="0" w:space="0" w:color="auto"/>
        <w:left w:val="none" w:sz="0" w:space="0" w:color="auto"/>
        <w:bottom w:val="none" w:sz="0" w:space="0" w:color="auto"/>
        <w:right w:val="none" w:sz="0" w:space="0" w:color="auto"/>
      </w:divBdr>
    </w:div>
    <w:div w:id="417530581">
      <w:bodyDiv w:val="1"/>
      <w:marLeft w:val="0"/>
      <w:marRight w:val="0"/>
      <w:marTop w:val="0"/>
      <w:marBottom w:val="0"/>
      <w:divBdr>
        <w:top w:val="none" w:sz="0" w:space="0" w:color="auto"/>
        <w:left w:val="none" w:sz="0" w:space="0" w:color="auto"/>
        <w:bottom w:val="none" w:sz="0" w:space="0" w:color="auto"/>
        <w:right w:val="none" w:sz="0" w:space="0" w:color="auto"/>
      </w:divBdr>
    </w:div>
    <w:div w:id="424377369">
      <w:bodyDiv w:val="1"/>
      <w:marLeft w:val="0"/>
      <w:marRight w:val="0"/>
      <w:marTop w:val="0"/>
      <w:marBottom w:val="0"/>
      <w:divBdr>
        <w:top w:val="none" w:sz="0" w:space="0" w:color="auto"/>
        <w:left w:val="none" w:sz="0" w:space="0" w:color="auto"/>
        <w:bottom w:val="none" w:sz="0" w:space="0" w:color="auto"/>
        <w:right w:val="none" w:sz="0" w:space="0" w:color="auto"/>
      </w:divBdr>
    </w:div>
    <w:div w:id="522282459">
      <w:bodyDiv w:val="1"/>
      <w:marLeft w:val="0"/>
      <w:marRight w:val="0"/>
      <w:marTop w:val="0"/>
      <w:marBottom w:val="0"/>
      <w:divBdr>
        <w:top w:val="none" w:sz="0" w:space="0" w:color="auto"/>
        <w:left w:val="none" w:sz="0" w:space="0" w:color="auto"/>
        <w:bottom w:val="none" w:sz="0" w:space="0" w:color="auto"/>
        <w:right w:val="none" w:sz="0" w:space="0" w:color="auto"/>
      </w:divBdr>
    </w:div>
    <w:div w:id="579414005">
      <w:bodyDiv w:val="1"/>
      <w:marLeft w:val="0"/>
      <w:marRight w:val="0"/>
      <w:marTop w:val="0"/>
      <w:marBottom w:val="0"/>
      <w:divBdr>
        <w:top w:val="none" w:sz="0" w:space="0" w:color="auto"/>
        <w:left w:val="none" w:sz="0" w:space="0" w:color="auto"/>
        <w:bottom w:val="none" w:sz="0" w:space="0" w:color="auto"/>
        <w:right w:val="none" w:sz="0" w:space="0" w:color="auto"/>
      </w:divBdr>
    </w:div>
    <w:div w:id="596446486">
      <w:bodyDiv w:val="1"/>
      <w:marLeft w:val="0"/>
      <w:marRight w:val="0"/>
      <w:marTop w:val="0"/>
      <w:marBottom w:val="0"/>
      <w:divBdr>
        <w:top w:val="none" w:sz="0" w:space="0" w:color="auto"/>
        <w:left w:val="none" w:sz="0" w:space="0" w:color="auto"/>
        <w:bottom w:val="none" w:sz="0" w:space="0" w:color="auto"/>
        <w:right w:val="none" w:sz="0" w:space="0" w:color="auto"/>
      </w:divBdr>
    </w:div>
    <w:div w:id="602224643">
      <w:bodyDiv w:val="1"/>
      <w:marLeft w:val="0"/>
      <w:marRight w:val="0"/>
      <w:marTop w:val="0"/>
      <w:marBottom w:val="0"/>
      <w:divBdr>
        <w:top w:val="none" w:sz="0" w:space="0" w:color="auto"/>
        <w:left w:val="none" w:sz="0" w:space="0" w:color="auto"/>
        <w:bottom w:val="none" w:sz="0" w:space="0" w:color="auto"/>
        <w:right w:val="none" w:sz="0" w:space="0" w:color="auto"/>
      </w:divBdr>
    </w:div>
    <w:div w:id="607010524">
      <w:bodyDiv w:val="1"/>
      <w:marLeft w:val="0"/>
      <w:marRight w:val="0"/>
      <w:marTop w:val="0"/>
      <w:marBottom w:val="0"/>
      <w:divBdr>
        <w:top w:val="none" w:sz="0" w:space="0" w:color="auto"/>
        <w:left w:val="none" w:sz="0" w:space="0" w:color="auto"/>
        <w:bottom w:val="none" w:sz="0" w:space="0" w:color="auto"/>
        <w:right w:val="none" w:sz="0" w:space="0" w:color="auto"/>
      </w:divBdr>
    </w:div>
    <w:div w:id="616177774">
      <w:bodyDiv w:val="1"/>
      <w:marLeft w:val="0"/>
      <w:marRight w:val="0"/>
      <w:marTop w:val="0"/>
      <w:marBottom w:val="0"/>
      <w:divBdr>
        <w:top w:val="none" w:sz="0" w:space="0" w:color="auto"/>
        <w:left w:val="none" w:sz="0" w:space="0" w:color="auto"/>
        <w:bottom w:val="none" w:sz="0" w:space="0" w:color="auto"/>
        <w:right w:val="none" w:sz="0" w:space="0" w:color="auto"/>
      </w:divBdr>
    </w:div>
    <w:div w:id="620958966">
      <w:bodyDiv w:val="1"/>
      <w:marLeft w:val="0"/>
      <w:marRight w:val="0"/>
      <w:marTop w:val="0"/>
      <w:marBottom w:val="0"/>
      <w:divBdr>
        <w:top w:val="none" w:sz="0" w:space="0" w:color="auto"/>
        <w:left w:val="none" w:sz="0" w:space="0" w:color="auto"/>
        <w:bottom w:val="none" w:sz="0" w:space="0" w:color="auto"/>
        <w:right w:val="none" w:sz="0" w:space="0" w:color="auto"/>
      </w:divBdr>
    </w:div>
    <w:div w:id="627469109">
      <w:bodyDiv w:val="1"/>
      <w:marLeft w:val="0"/>
      <w:marRight w:val="0"/>
      <w:marTop w:val="0"/>
      <w:marBottom w:val="0"/>
      <w:divBdr>
        <w:top w:val="none" w:sz="0" w:space="0" w:color="auto"/>
        <w:left w:val="none" w:sz="0" w:space="0" w:color="auto"/>
        <w:bottom w:val="none" w:sz="0" w:space="0" w:color="auto"/>
        <w:right w:val="none" w:sz="0" w:space="0" w:color="auto"/>
      </w:divBdr>
    </w:div>
    <w:div w:id="690490098">
      <w:bodyDiv w:val="1"/>
      <w:marLeft w:val="0"/>
      <w:marRight w:val="0"/>
      <w:marTop w:val="0"/>
      <w:marBottom w:val="0"/>
      <w:divBdr>
        <w:top w:val="none" w:sz="0" w:space="0" w:color="auto"/>
        <w:left w:val="none" w:sz="0" w:space="0" w:color="auto"/>
        <w:bottom w:val="none" w:sz="0" w:space="0" w:color="auto"/>
        <w:right w:val="none" w:sz="0" w:space="0" w:color="auto"/>
      </w:divBdr>
    </w:div>
    <w:div w:id="784353609">
      <w:bodyDiv w:val="1"/>
      <w:marLeft w:val="0"/>
      <w:marRight w:val="0"/>
      <w:marTop w:val="0"/>
      <w:marBottom w:val="0"/>
      <w:divBdr>
        <w:top w:val="none" w:sz="0" w:space="0" w:color="auto"/>
        <w:left w:val="none" w:sz="0" w:space="0" w:color="auto"/>
        <w:bottom w:val="none" w:sz="0" w:space="0" w:color="auto"/>
        <w:right w:val="none" w:sz="0" w:space="0" w:color="auto"/>
      </w:divBdr>
    </w:div>
    <w:div w:id="801844277">
      <w:bodyDiv w:val="1"/>
      <w:marLeft w:val="0"/>
      <w:marRight w:val="0"/>
      <w:marTop w:val="0"/>
      <w:marBottom w:val="0"/>
      <w:divBdr>
        <w:top w:val="none" w:sz="0" w:space="0" w:color="auto"/>
        <w:left w:val="none" w:sz="0" w:space="0" w:color="auto"/>
        <w:bottom w:val="none" w:sz="0" w:space="0" w:color="auto"/>
        <w:right w:val="none" w:sz="0" w:space="0" w:color="auto"/>
      </w:divBdr>
    </w:div>
    <w:div w:id="821431628">
      <w:bodyDiv w:val="1"/>
      <w:marLeft w:val="0"/>
      <w:marRight w:val="0"/>
      <w:marTop w:val="0"/>
      <w:marBottom w:val="0"/>
      <w:divBdr>
        <w:top w:val="none" w:sz="0" w:space="0" w:color="auto"/>
        <w:left w:val="none" w:sz="0" w:space="0" w:color="auto"/>
        <w:bottom w:val="none" w:sz="0" w:space="0" w:color="auto"/>
        <w:right w:val="none" w:sz="0" w:space="0" w:color="auto"/>
      </w:divBdr>
    </w:div>
    <w:div w:id="827408035">
      <w:bodyDiv w:val="1"/>
      <w:marLeft w:val="0"/>
      <w:marRight w:val="0"/>
      <w:marTop w:val="0"/>
      <w:marBottom w:val="0"/>
      <w:divBdr>
        <w:top w:val="none" w:sz="0" w:space="0" w:color="auto"/>
        <w:left w:val="none" w:sz="0" w:space="0" w:color="auto"/>
        <w:bottom w:val="none" w:sz="0" w:space="0" w:color="auto"/>
        <w:right w:val="none" w:sz="0" w:space="0" w:color="auto"/>
      </w:divBdr>
    </w:div>
    <w:div w:id="925383092">
      <w:bodyDiv w:val="1"/>
      <w:marLeft w:val="0"/>
      <w:marRight w:val="0"/>
      <w:marTop w:val="0"/>
      <w:marBottom w:val="0"/>
      <w:divBdr>
        <w:top w:val="none" w:sz="0" w:space="0" w:color="auto"/>
        <w:left w:val="none" w:sz="0" w:space="0" w:color="auto"/>
        <w:bottom w:val="none" w:sz="0" w:space="0" w:color="auto"/>
        <w:right w:val="none" w:sz="0" w:space="0" w:color="auto"/>
      </w:divBdr>
    </w:div>
    <w:div w:id="1088040686">
      <w:bodyDiv w:val="1"/>
      <w:marLeft w:val="0"/>
      <w:marRight w:val="0"/>
      <w:marTop w:val="0"/>
      <w:marBottom w:val="0"/>
      <w:divBdr>
        <w:top w:val="none" w:sz="0" w:space="0" w:color="auto"/>
        <w:left w:val="none" w:sz="0" w:space="0" w:color="auto"/>
        <w:bottom w:val="none" w:sz="0" w:space="0" w:color="auto"/>
        <w:right w:val="none" w:sz="0" w:space="0" w:color="auto"/>
      </w:divBdr>
    </w:div>
    <w:div w:id="1138837155">
      <w:bodyDiv w:val="1"/>
      <w:marLeft w:val="0"/>
      <w:marRight w:val="0"/>
      <w:marTop w:val="0"/>
      <w:marBottom w:val="0"/>
      <w:divBdr>
        <w:top w:val="none" w:sz="0" w:space="0" w:color="auto"/>
        <w:left w:val="none" w:sz="0" w:space="0" w:color="auto"/>
        <w:bottom w:val="none" w:sz="0" w:space="0" w:color="auto"/>
        <w:right w:val="none" w:sz="0" w:space="0" w:color="auto"/>
      </w:divBdr>
    </w:div>
    <w:div w:id="1239560055">
      <w:bodyDiv w:val="1"/>
      <w:marLeft w:val="0"/>
      <w:marRight w:val="0"/>
      <w:marTop w:val="0"/>
      <w:marBottom w:val="0"/>
      <w:divBdr>
        <w:top w:val="none" w:sz="0" w:space="0" w:color="auto"/>
        <w:left w:val="none" w:sz="0" w:space="0" w:color="auto"/>
        <w:bottom w:val="none" w:sz="0" w:space="0" w:color="auto"/>
        <w:right w:val="none" w:sz="0" w:space="0" w:color="auto"/>
      </w:divBdr>
    </w:div>
    <w:div w:id="1249463388">
      <w:bodyDiv w:val="1"/>
      <w:marLeft w:val="0"/>
      <w:marRight w:val="0"/>
      <w:marTop w:val="0"/>
      <w:marBottom w:val="0"/>
      <w:divBdr>
        <w:top w:val="none" w:sz="0" w:space="0" w:color="auto"/>
        <w:left w:val="none" w:sz="0" w:space="0" w:color="auto"/>
        <w:bottom w:val="none" w:sz="0" w:space="0" w:color="auto"/>
        <w:right w:val="none" w:sz="0" w:space="0" w:color="auto"/>
      </w:divBdr>
    </w:div>
    <w:div w:id="1406801412">
      <w:bodyDiv w:val="1"/>
      <w:marLeft w:val="0"/>
      <w:marRight w:val="0"/>
      <w:marTop w:val="0"/>
      <w:marBottom w:val="0"/>
      <w:divBdr>
        <w:top w:val="none" w:sz="0" w:space="0" w:color="auto"/>
        <w:left w:val="none" w:sz="0" w:space="0" w:color="auto"/>
        <w:bottom w:val="none" w:sz="0" w:space="0" w:color="auto"/>
        <w:right w:val="none" w:sz="0" w:space="0" w:color="auto"/>
      </w:divBdr>
    </w:div>
    <w:div w:id="1419016534">
      <w:bodyDiv w:val="1"/>
      <w:marLeft w:val="0"/>
      <w:marRight w:val="0"/>
      <w:marTop w:val="0"/>
      <w:marBottom w:val="0"/>
      <w:divBdr>
        <w:top w:val="none" w:sz="0" w:space="0" w:color="auto"/>
        <w:left w:val="none" w:sz="0" w:space="0" w:color="auto"/>
        <w:bottom w:val="none" w:sz="0" w:space="0" w:color="auto"/>
        <w:right w:val="none" w:sz="0" w:space="0" w:color="auto"/>
      </w:divBdr>
    </w:div>
    <w:div w:id="1751535601">
      <w:bodyDiv w:val="1"/>
      <w:marLeft w:val="0"/>
      <w:marRight w:val="0"/>
      <w:marTop w:val="0"/>
      <w:marBottom w:val="0"/>
      <w:divBdr>
        <w:top w:val="none" w:sz="0" w:space="0" w:color="auto"/>
        <w:left w:val="none" w:sz="0" w:space="0" w:color="auto"/>
        <w:bottom w:val="none" w:sz="0" w:space="0" w:color="auto"/>
        <w:right w:val="none" w:sz="0" w:space="0" w:color="auto"/>
      </w:divBdr>
    </w:div>
    <w:div w:id="1766850747">
      <w:bodyDiv w:val="1"/>
      <w:marLeft w:val="0"/>
      <w:marRight w:val="0"/>
      <w:marTop w:val="0"/>
      <w:marBottom w:val="0"/>
      <w:divBdr>
        <w:top w:val="none" w:sz="0" w:space="0" w:color="auto"/>
        <w:left w:val="none" w:sz="0" w:space="0" w:color="auto"/>
        <w:bottom w:val="none" w:sz="0" w:space="0" w:color="auto"/>
        <w:right w:val="none" w:sz="0" w:space="0" w:color="auto"/>
      </w:divBdr>
    </w:div>
    <w:div w:id="1811748283">
      <w:bodyDiv w:val="1"/>
      <w:marLeft w:val="0"/>
      <w:marRight w:val="0"/>
      <w:marTop w:val="0"/>
      <w:marBottom w:val="0"/>
      <w:divBdr>
        <w:top w:val="none" w:sz="0" w:space="0" w:color="auto"/>
        <w:left w:val="none" w:sz="0" w:space="0" w:color="auto"/>
        <w:bottom w:val="none" w:sz="0" w:space="0" w:color="auto"/>
        <w:right w:val="none" w:sz="0" w:space="0" w:color="auto"/>
      </w:divBdr>
    </w:div>
    <w:div w:id="1839153288">
      <w:bodyDiv w:val="1"/>
      <w:marLeft w:val="0"/>
      <w:marRight w:val="0"/>
      <w:marTop w:val="0"/>
      <w:marBottom w:val="0"/>
      <w:divBdr>
        <w:top w:val="none" w:sz="0" w:space="0" w:color="auto"/>
        <w:left w:val="none" w:sz="0" w:space="0" w:color="auto"/>
        <w:bottom w:val="none" w:sz="0" w:space="0" w:color="auto"/>
        <w:right w:val="none" w:sz="0" w:space="0" w:color="auto"/>
      </w:divBdr>
    </w:div>
    <w:div w:id="1896114783">
      <w:bodyDiv w:val="1"/>
      <w:marLeft w:val="0"/>
      <w:marRight w:val="0"/>
      <w:marTop w:val="0"/>
      <w:marBottom w:val="0"/>
      <w:divBdr>
        <w:top w:val="none" w:sz="0" w:space="0" w:color="auto"/>
        <w:left w:val="none" w:sz="0" w:space="0" w:color="auto"/>
        <w:bottom w:val="none" w:sz="0" w:space="0" w:color="auto"/>
        <w:right w:val="none" w:sz="0" w:space="0" w:color="auto"/>
      </w:divBdr>
    </w:div>
    <w:div w:id="1898667787">
      <w:bodyDiv w:val="1"/>
      <w:marLeft w:val="0"/>
      <w:marRight w:val="0"/>
      <w:marTop w:val="0"/>
      <w:marBottom w:val="0"/>
      <w:divBdr>
        <w:top w:val="none" w:sz="0" w:space="0" w:color="auto"/>
        <w:left w:val="none" w:sz="0" w:space="0" w:color="auto"/>
        <w:bottom w:val="none" w:sz="0" w:space="0" w:color="auto"/>
        <w:right w:val="none" w:sz="0" w:space="0" w:color="auto"/>
      </w:divBdr>
    </w:div>
    <w:div w:id="1951276194">
      <w:bodyDiv w:val="1"/>
      <w:marLeft w:val="0"/>
      <w:marRight w:val="0"/>
      <w:marTop w:val="0"/>
      <w:marBottom w:val="0"/>
      <w:divBdr>
        <w:top w:val="none" w:sz="0" w:space="0" w:color="auto"/>
        <w:left w:val="none" w:sz="0" w:space="0" w:color="auto"/>
        <w:bottom w:val="none" w:sz="0" w:space="0" w:color="auto"/>
        <w:right w:val="none" w:sz="0" w:space="0" w:color="auto"/>
      </w:divBdr>
    </w:div>
    <w:div w:id="2059742935">
      <w:bodyDiv w:val="1"/>
      <w:marLeft w:val="0"/>
      <w:marRight w:val="0"/>
      <w:marTop w:val="0"/>
      <w:marBottom w:val="0"/>
      <w:divBdr>
        <w:top w:val="none" w:sz="0" w:space="0" w:color="auto"/>
        <w:left w:val="none" w:sz="0" w:space="0" w:color="auto"/>
        <w:bottom w:val="none" w:sz="0" w:space="0" w:color="auto"/>
        <w:right w:val="none" w:sz="0" w:space="0" w:color="auto"/>
      </w:divBdr>
    </w:div>
    <w:div w:id="208255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134C-EE54-4D2D-8BDC-54C89F02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Newman-Matthews</dc:creator>
  <cp:lastModifiedBy>Newman-Matthews, Peter</cp:lastModifiedBy>
  <cp:revision>9</cp:revision>
  <dcterms:created xsi:type="dcterms:W3CDTF">2017-04-17T20:24:00Z</dcterms:created>
  <dcterms:modified xsi:type="dcterms:W3CDTF">2017-04-17T22:36:00Z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Creator">
    <vt:lpwstr>Microsoft® Publisher 2016</vt:lpwstr>
  </property>
  <property fmtid="{D5CDD505-2E9C-101B-9397-08002B2CF9AE}" pid="4" name="LastSaved">
    <vt:filetime>2017-04-17T00:00:00Z</vt:filetime>
  </property>
</Properties>
</file>