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8C" w:rsidRPr="00EA4F7B" w:rsidRDefault="00D82A8C" w:rsidP="00EA4F7B">
      <w:pPr>
        <w:pStyle w:val="Heading1"/>
        <w:spacing w:before="120" w:after="0"/>
        <w:jc w:val="center"/>
        <w:rPr>
          <w:rFonts w:cs="Arial"/>
          <w:smallCaps/>
          <w:color w:val="auto"/>
          <w:sz w:val="28"/>
        </w:rPr>
      </w:pPr>
      <w:r w:rsidRPr="00EA4F7B">
        <w:rPr>
          <w:rFonts w:cs="Arial"/>
          <w:smallCaps/>
          <w:color w:val="auto"/>
          <w:sz w:val="28"/>
        </w:rPr>
        <w:t>Unified Improvement Plan Quality Criteria (District Level)</w:t>
      </w:r>
    </w:p>
    <w:p w:rsidR="00D82A8C" w:rsidRPr="001D6A9F" w:rsidRDefault="00D82A8C" w:rsidP="00791DDA">
      <w:pPr>
        <w:pStyle w:val="Heading1"/>
        <w:rPr>
          <w:rFonts w:ascii="Calibri" w:hAnsi="Calibri"/>
          <w:i/>
          <w:sz w:val="22"/>
          <w:szCs w:val="22"/>
        </w:rPr>
      </w:pPr>
      <w:r w:rsidRPr="001D6A9F">
        <w:rPr>
          <w:rFonts w:ascii="Calibri" w:hAnsi="Calibri"/>
          <w:i/>
          <w:sz w:val="22"/>
          <w:szCs w:val="22"/>
        </w:rPr>
        <w:t>General Directions</w:t>
      </w:r>
    </w:p>
    <w:p w:rsidR="00D82A8C" w:rsidRPr="002C480E" w:rsidRDefault="00D82A8C" w:rsidP="00B83CF8">
      <w:r w:rsidRPr="002C480E">
        <w:t xml:space="preserve">The Unified Improvement Plan is intended to provide </w:t>
      </w:r>
      <w:r>
        <w:t>districts</w:t>
      </w:r>
      <w:r w:rsidRPr="002C480E">
        <w:t xml:space="preserve"> with a consistent format to capture improvement p</w:t>
      </w:r>
      <w:r w:rsidR="00EA4F7B">
        <w:t>lanning efforts that streamline</w:t>
      </w:r>
      <w:r w:rsidRPr="002C480E">
        <w:t xml:space="preserve"> state and federal planning requirements.  To assist with that process, the Quality Criteria </w:t>
      </w:r>
      <w:r>
        <w:t>offer</w:t>
      </w:r>
      <w:r w:rsidRPr="002C480E">
        <w:t xml:space="preserve"> guidance on creating an improvement plan that incorporates all of the state accountability and </w:t>
      </w:r>
      <w:r>
        <w:t xml:space="preserve">federal </w:t>
      </w:r>
      <w:r w:rsidRPr="002C480E">
        <w:t xml:space="preserve">requirements.  </w:t>
      </w:r>
      <w:r w:rsidR="00EA4F7B">
        <w:t>Quality Criteria are provided for S</w:t>
      </w:r>
      <w:r>
        <w:t xml:space="preserve">ection III: Narrative on Data Analysis and Root Cause Identification, and Section IV: Action Plans of the unified improvement planning template.  </w:t>
      </w:r>
      <w:r w:rsidRPr="002C480E">
        <w:t>Th</w:t>
      </w:r>
      <w:r>
        <w:t xml:space="preserve">e criteria are also a resource for </w:t>
      </w:r>
      <w:r w:rsidRPr="002C480E">
        <w:t xml:space="preserve">state and district reviewers </w:t>
      </w:r>
      <w:r>
        <w:t>to</w:t>
      </w:r>
      <w:r w:rsidRPr="002C480E">
        <w:t xml:space="preserve"> use </w:t>
      </w:r>
      <w:r>
        <w:t>in</w:t>
      </w:r>
      <w:r w:rsidRPr="002C480E">
        <w:t xml:space="preserve"> review</w:t>
      </w:r>
      <w:r>
        <w:t>ing</w:t>
      </w:r>
      <w:r w:rsidRPr="002C480E">
        <w:t xml:space="preserve"> the plans.  </w:t>
      </w:r>
    </w:p>
    <w:p w:rsidR="00D82A8C" w:rsidRPr="002C480E" w:rsidRDefault="00D82A8C" w:rsidP="00B83CF8">
      <w:pPr>
        <w:rPr>
          <w:b/>
        </w:rPr>
      </w:pPr>
    </w:p>
    <w:p w:rsidR="00D82A8C" w:rsidRPr="002C480E" w:rsidRDefault="00D82A8C" w:rsidP="00B83CF8">
      <w:pPr>
        <w:rPr>
          <w:b/>
        </w:rPr>
      </w:pPr>
      <w:r w:rsidRPr="002C480E">
        <w:rPr>
          <w:b/>
        </w:rPr>
        <w:t xml:space="preserve">Meeting </w:t>
      </w:r>
      <w:r>
        <w:rPr>
          <w:b/>
        </w:rPr>
        <w:t xml:space="preserve">Specific </w:t>
      </w:r>
      <w:r w:rsidRPr="002C480E">
        <w:rPr>
          <w:b/>
        </w:rPr>
        <w:t>Requirements in the Plan</w:t>
      </w:r>
    </w:p>
    <w:p w:rsidR="00D82A8C" w:rsidRDefault="00D82A8C" w:rsidP="00202E39">
      <w:r>
        <w:t>All districts should respond to the general indicators.  However, o</w:t>
      </w:r>
      <w:r w:rsidRPr="002C480E">
        <w:t xml:space="preserve">n some elements, </w:t>
      </w:r>
      <w:r>
        <w:t>there are additional state and federal requirements</w:t>
      </w:r>
      <w:r w:rsidRPr="002C480E">
        <w:t xml:space="preserve"> that are unique to </w:t>
      </w:r>
      <w:r>
        <w:t>specific</w:t>
      </w:r>
      <w:r w:rsidRPr="002C480E">
        <w:t xml:space="preserve"> program</w:t>
      </w:r>
      <w:r>
        <w:t xml:space="preserve">s (e.g., </w:t>
      </w:r>
      <w:r w:rsidR="00F5362D">
        <w:t>Turnaround under state accountability, Title I Corrective Action</w:t>
      </w:r>
      <w:r>
        <w:t>)</w:t>
      </w:r>
      <w:r w:rsidRPr="002C480E">
        <w:t xml:space="preserve">.  Therefore, clarity around (1) </w:t>
      </w:r>
      <w:r>
        <w:t xml:space="preserve">the district’s accreditation </w:t>
      </w:r>
      <w:r w:rsidR="00EA4F7B">
        <w:t>category</w:t>
      </w:r>
      <w:r>
        <w:t>, (2) whether the district has been identified under other state accountability designations (e.</w:t>
      </w:r>
      <w:r w:rsidR="008B6EA5">
        <w:t>g.</w:t>
      </w:r>
      <w:r>
        <w:t xml:space="preserve">, required to complete a Graduation and Completion plan), and (3) whether </w:t>
      </w:r>
      <w:r w:rsidRPr="002C480E">
        <w:t xml:space="preserve">the </w:t>
      </w:r>
      <w:r>
        <w:t xml:space="preserve">district has been identified under any of the NCLB programs (i.e., Titles I, IIA and/or III).  </w:t>
      </w:r>
      <w:r w:rsidRPr="002C480E">
        <w:t xml:space="preserve">Answer the following questions to ensure that the </w:t>
      </w:r>
      <w:r>
        <w:t xml:space="preserve">district </w:t>
      </w:r>
      <w:r w:rsidRPr="002C480E">
        <w:t xml:space="preserve">plan is addressing all of the appropriate elements.  </w:t>
      </w:r>
    </w:p>
    <w:p w:rsidR="00D82A8C" w:rsidRDefault="00D82A8C" w:rsidP="00B83CF8">
      <w:pPr>
        <w:rPr>
          <w:b/>
        </w:rPr>
      </w:pPr>
    </w:p>
    <w:p w:rsidR="00D82A8C" w:rsidRPr="002C480E" w:rsidRDefault="00D82A8C" w:rsidP="00B4707D">
      <w:pPr>
        <w:shd w:val="clear" w:color="auto" w:fill="4F81BD"/>
        <w:rPr>
          <w:i/>
          <w:color w:val="FFFFFF"/>
        </w:rPr>
      </w:pPr>
      <w:r w:rsidRPr="002C480E">
        <w:rPr>
          <w:i/>
          <w:color w:val="FFFFFF"/>
        </w:rPr>
        <w:t xml:space="preserve">Description of </w:t>
      </w:r>
      <w:r>
        <w:rPr>
          <w:i/>
          <w:color w:val="FFFFFF"/>
        </w:rPr>
        <w:t>District under State Accountability</w:t>
      </w:r>
    </w:p>
    <w:p w:rsidR="00D82A8C" w:rsidRPr="002C480E" w:rsidRDefault="0085578A" w:rsidP="00B4707D">
      <w:pPr>
        <w:shd w:val="clear" w:color="auto" w:fill="DBE5F1"/>
      </w:pPr>
      <w:r>
        <w:t>Which</w:t>
      </w:r>
      <w:r w:rsidR="00D82A8C">
        <w:t xml:space="preserve"> accreditation </w:t>
      </w:r>
      <w:r>
        <w:t>category</w:t>
      </w:r>
      <w:r w:rsidR="00D82A8C">
        <w:t xml:space="preserve"> has been identified for the district?</w:t>
      </w:r>
    </w:p>
    <w:p w:rsidR="00D82A8C" w:rsidRDefault="00D82A8C" w:rsidP="00B0537F">
      <w:pPr>
        <w:shd w:val="clear" w:color="auto" w:fill="DBE5F1"/>
        <w:tabs>
          <w:tab w:val="left" w:pos="360"/>
        </w:tabs>
      </w:pPr>
      <w:r w:rsidRPr="002C480E">
        <w:tab/>
      </w:r>
      <w:r w:rsidRPr="002C480E">
        <w:sym w:font="Wingdings" w:char="F0A8"/>
      </w:r>
      <w:r w:rsidRPr="002C480E">
        <w:t xml:space="preserve">  </w:t>
      </w:r>
      <w:r>
        <w:t>Performance</w:t>
      </w:r>
      <w:r>
        <w:tab/>
      </w:r>
      <w:r w:rsidRPr="002C480E">
        <w:sym w:font="Wingdings" w:char="F0A8"/>
      </w:r>
      <w:r w:rsidRPr="002C480E">
        <w:t xml:space="preserve">  </w:t>
      </w:r>
      <w:r>
        <w:t>Improvement</w:t>
      </w:r>
      <w:r>
        <w:tab/>
      </w:r>
      <w:r w:rsidRPr="002C480E">
        <w:sym w:font="Wingdings" w:char="F0A8"/>
      </w:r>
      <w:r w:rsidRPr="002C480E">
        <w:t xml:space="preserve">  </w:t>
      </w:r>
      <w:r>
        <w:t>Priority Improvement</w:t>
      </w:r>
      <w:r>
        <w:tab/>
      </w:r>
      <w:r w:rsidRPr="002C480E">
        <w:sym w:font="Wingdings" w:char="F0A8"/>
      </w:r>
      <w:r w:rsidRPr="002C480E">
        <w:t xml:space="preserve">  </w:t>
      </w:r>
      <w:r>
        <w:t>Turnaround</w:t>
      </w:r>
    </w:p>
    <w:p w:rsidR="00D82A8C" w:rsidRDefault="00D82A8C" w:rsidP="00D23122">
      <w:pPr>
        <w:shd w:val="clear" w:color="auto" w:fill="DBE5F1"/>
        <w:tabs>
          <w:tab w:val="left" w:pos="360"/>
        </w:tabs>
        <w:rPr>
          <w:sz w:val="18"/>
          <w:szCs w:val="18"/>
        </w:rPr>
      </w:pPr>
      <w:r>
        <w:tab/>
      </w:r>
      <w:r>
        <w:rPr>
          <w:sz w:val="18"/>
          <w:szCs w:val="18"/>
        </w:rPr>
        <w:t>(</w:t>
      </w:r>
      <w:r w:rsidRPr="00FF47FD">
        <w:rPr>
          <w:sz w:val="18"/>
          <w:szCs w:val="18"/>
        </w:rPr>
        <w:t xml:space="preserve">Once finalized, </w:t>
      </w:r>
      <w:r w:rsidR="00CA5ADF">
        <w:rPr>
          <w:sz w:val="18"/>
          <w:szCs w:val="18"/>
        </w:rPr>
        <w:t>accreditation categories</w:t>
      </w:r>
      <w:r w:rsidRPr="00FF47FD">
        <w:rPr>
          <w:sz w:val="18"/>
          <w:szCs w:val="18"/>
        </w:rPr>
        <w:t xml:space="preserve"> will be listed at: </w:t>
      </w:r>
      <w:hyperlink r:id="rId8" w:history="1">
        <w:r w:rsidRPr="007D6787">
          <w:rPr>
            <w:rStyle w:val="Hyperlink"/>
            <w:sz w:val="18"/>
            <w:szCs w:val="18"/>
          </w:rPr>
          <w:t>www.schoolview.org</w:t>
        </w:r>
      </w:hyperlink>
      <w:r w:rsidRPr="00B0537F">
        <w:rPr>
          <w:sz w:val="18"/>
          <w:szCs w:val="18"/>
        </w:rPr>
        <w:t>)</w:t>
      </w:r>
    </w:p>
    <w:p w:rsidR="00D82A8C" w:rsidRDefault="00D82A8C" w:rsidP="00D23122">
      <w:pPr>
        <w:shd w:val="clear" w:color="auto" w:fill="DBE5F1"/>
        <w:tabs>
          <w:tab w:val="left" w:pos="360"/>
        </w:tabs>
        <w:rPr>
          <w:sz w:val="18"/>
          <w:szCs w:val="18"/>
        </w:rPr>
      </w:pPr>
    </w:p>
    <w:p w:rsidR="00D82A8C" w:rsidRDefault="00D82A8C" w:rsidP="00A07958">
      <w:pPr>
        <w:shd w:val="clear" w:color="auto" w:fill="DBE5F1"/>
      </w:pPr>
      <w:r w:rsidRPr="002C480E">
        <w:t xml:space="preserve">Is the </w:t>
      </w:r>
      <w:r>
        <w:t>district</w:t>
      </w:r>
      <w:r w:rsidRPr="002C480E">
        <w:t xml:space="preserve"> identified </w:t>
      </w:r>
      <w:r w:rsidR="0085578A">
        <w:t xml:space="preserve">as a designated Graduation district and required to develop and implement </w:t>
      </w:r>
      <w:r>
        <w:t>a Student Graduation and Completion Plan (Colorado Statute 22-14-107)?</w:t>
      </w:r>
      <w:r w:rsidRPr="002C480E">
        <w:t xml:space="preserve">  </w:t>
      </w:r>
    </w:p>
    <w:p w:rsidR="00D82A8C" w:rsidRDefault="00D82A8C" w:rsidP="00A07958">
      <w:pPr>
        <w:shd w:val="clear" w:color="auto" w:fill="DBE5F1"/>
        <w:ind w:left="360" w:hanging="360"/>
      </w:pPr>
      <w:r>
        <w:tab/>
      </w:r>
      <w:r w:rsidRPr="002C480E">
        <w:sym w:font="Wingdings" w:char="F0A8"/>
      </w:r>
      <w:r w:rsidRPr="002C480E">
        <w:t xml:space="preserve">  </w:t>
      </w:r>
      <w:r>
        <w:t xml:space="preserve">Yes </w:t>
      </w:r>
      <w:r>
        <w:tab/>
      </w:r>
      <w:r w:rsidRPr="002C480E">
        <w:sym w:font="Wingdings" w:char="F0A8"/>
      </w:r>
      <w:r>
        <w:t xml:space="preserve">  No</w:t>
      </w:r>
    </w:p>
    <w:p w:rsidR="00D82A8C" w:rsidRPr="002C480E" w:rsidRDefault="00D82A8C" w:rsidP="00D23122">
      <w:pPr>
        <w:shd w:val="clear" w:color="auto" w:fill="DBE5F1"/>
        <w:tabs>
          <w:tab w:val="left" w:pos="360"/>
        </w:tabs>
      </w:pPr>
    </w:p>
    <w:p w:rsidR="00D82A8C" w:rsidRPr="002C480E" w:rsidRDefault="00D82A8C" w:rsidP="00202E39">
      <w:pPr>
        <w:shd w:val="clear" w:color="auto" w:fill="4F81BD"/>
        <w:rPr>
          <w:i/>
          <w:color w:val="FFFFFF"/>
        </w:rPr>
      </w:pPr>
      <w:r w:rsidRPr="002C480E">
        <w:rPr>
          <w:i/>
          <w:color w:val="FFFFFF"/>
        </w:rPr>
        <w:t xml:space="preserve">Description of </w:t>
      </w:r>
      <w:r>
        <w:rPr>
          <w:i/>
          <w:color w:val="FFFFFF"/>
        </w:rPr>
        <w:t>District</w:t>
      </w:r>
      <w:r w:rsidRPr="002C480E">
        <w:rPr>
          <w:i/>
          <w:color w:val="FFFFFF"/>
        </w:rPr>
        <w:t xml:space="preserve">’s </w:t>
      </w:r>
      <w:r>
        <w:rPr>
          <w:i/>
          <w:color w:val="FFFFFF"/>
        </w:rPr>
        <w:t>NCLB Programs</w:t>
      </w:r>
    </w:p>
    <w:p w:rsidR="00D82A8C" w:rsidRPr="002C480E" w:rsidRDefault="00D82A8C" w:rsidP="00202E39">
      <w:pPr>
        <w:shd w:val="clear" w:color="auto" w:fill="DBE5F1"/>
      </w:pPr>
      <w:r w:rsidRPr="002C480E">
        <w:t xml:space="preserve">Is the </w:t>
      </w:r>
      <w:r>
        <w:t>district</w:t>
      </w:r>
      <w:r w:rsidRPr="002C480E">
        <w:t xml:space="preserve"> identified for improvement under Title I?  What level of improvement?  How long?</w:t>
      </w:r>
    </w:p>
    <w:p w:rsidR="00D82A8C" w:rsidRDefault="00D82A8C" w:rsidP="00B0537F">
      <w:pPr>
        <w:shd w:val="clear" w:color="auto" w:fill="DBE5F1"/>
        <w:ind w:left="360" w:hanging="360"/>
      </w:pPr>
      <w:r w:rsidRPr="002C480E">
        <w:tab/>
      </w:r>
      <w:r w:rsidRPr="002C480E">
        <w:sym w:font="Wingdings" w:char="F0A8"/>
      </w:r>
      <w:r w:rsidRPr="002C480E">
        <w:t xml:space="preserve">  </w:t>
      </w:r>
      <w:r>
        <w:t xml:space="preserve">Program improvement – Year1 or 2  </w:t>
      </w:r>
      <w:r w:rsidRPr="002C480E">
        <w:sym w:font="Wingdings" w:char="F0A8"/>
      </w:r>
      <w:r w:rsidRPr="002C480E">
        <w:t xml:space="preserve">  Corrective Action</w:t>
      </w:r>
      <w:r>
        <w:t>, Number of years:  ____</w:t>
      </w:r>
    </w:p>
    <w:p w:rsidR="00D82A8C" w:rsidRDefault="00D82A8C" w:rsidP="00D23122">
      <w:pPr>
        <w:shd w:val="clear" w:color="auto" w:fill="DBE5F1"/>
        <w:tabs>
          <w:tab w:val="left" w:pos="360"/>
        </w:tabs>
        <w:ind w:left="360" w:hanging="360"/>
        <w:rPr>
          <w:sz w:val="18"/>
          <w:szCs w:val="18"/>
        </w:rPr>
      </w:pPr>
      <w:r>
        <w:rPr>
          <w:sz w:val="18"/>
          <w:szCs w:val="18"/>
        </w:rPr>
        <w:tab/>
      </w:r>
      <w:r w:rsidR="00E7658A">
        <w:rPr>
          <w:sz w:val="18"/>
          <w:szCs w:val="18"/>
        </w:rPr>
        <w:t>(Once Title I designations are finalized, c</w:t>
      </w:r>
      <w:r w:rsidRPr="00B0537F">
        <w:rPr>
          <w:sz w:val="18"/>
          <w:szCs w:val="18"/>
        </w:rPr>
        <w:t xml:space="preserve">onfirm </w:t>
      </w:r>
      <w:r w:rsidR="003955F7">
        <w:rPr>
          <w:sz w:val="18"/>
          <w:szCs w:val="18"/>
        </w:rPr>
        <w:t>on your pre-popu</w:t>
      </w:r>
      <w:r w:rsidR="00F5362D">
        <w:rPr>
          <w:sz w:val="18"/>
          <w:szCs w:val="18"/>
        </w:rPr>
        <w:t xml:space="preserve">lated report for the UIP, p. </w:t>
      </w:r>
      <w:r w:rsidR="003955F7">
        <w:rPr>
          <w:sz w:val="18"/>
          <w:szCs w:val="18"/>
        </w:rPr>
        <w:t>4</w:t>
      </w:r>
      <w:r w:rsidR="00194AA4">
        <w:rPr>
          <w:sz w:val="18"/>
          <w:szCs w:val="18"/>
        </w:rPr>
        <w:t xml:space="preserve"> or on the CDE website at:  </w:t>
      </w:r>
      <w:r w:rsidR="00194AA4" w:rsidRPr="00194AA4">
        <w:rPr>
          <w:sz w:val="18"/>
          <w:szCs w:val="18"/>
        </w:rPr>
        <w:t>www.cde.state.co.us/FedPrograms/danda/aypres.asp</w:t>
      </w:r>
      <w:r w:rsidRPr="00B0537F">
        <w:rPr>
          <w:sz w:val="18"/>
          <w:szCs w:val="18"/>
        </w:rPr>
        <w:t>)</w:t>
      </w:r>
    </w:p>
    <w:p w:rsidR="00D82A8C" w:rsidRDefault="00D82A8C" w:rsidP="00F440FB">
      <w:pPr>
        <w:shd w:val="clear" w:color="auto" w:fill="DBE5F1"/>
      </w:pPr>
    </w:p>
    <w:p w:rsidR="00D82A8C" w:rsidRDefault="00D82A8C" w:rsidP="00F440FB">
      <w:pPr>
        <w:shd w:val="clear" w:color="auto" w:fill="DBE5F1"/>
      </w:pPr>
      <w:r w:rsidRPr="002C480E">
        <w:t xml:space="preserve">Is the </w:t>
      </w:r>
      <w:r>
        <w:t>district</w:t>
      </w:r>
      <w:r w:rsidRPr="002C480E">
        <w:t xml:space="preserve"> identified for </w:t>
      </w:r>
      <w:r>
        <w:t>2141c</w:t>
      </w:r>
      <w:r w:rsidRPr="002C480E">
        <w:t xml:space="preserve"> under Title I</w:t>
      </w:r>
      <w:r>
        <w:t>IA?</w:t>
      </w:r>
    </w:p>
    <w:p w:rsidR="00D82A8C" w:rsidRDefault="00D82A8C" w:rsidP="003955F7">
      <w:pPr>
        <w:shd w:val="clear" w:color="auto" w:fill="DBE5F1"/>
        <w:tabs>
          <w:tab w:val="left" w:pos="360"/>
        </w:tabs>
      </w:pPr>
      <w:r>
        <w:tab/>
      </w:r>
      <w:r w:rsidRPr="002C480E">
        <w:sym w:font="Wingdings" w:char="F0A8"/>
      </w:r>
      <w:r w:rsidRPr="002C480E">
        <w:t xml:space="preserve">  </w:t>
      </w:r>
      <w:r>
        <w:t xml:space="preserve">Yes </w:t>
      </w:r>
      <w:r>
        <w:tab/>
      </w:r>
      <w:r>
        <w:tab/>
      </w:r>
      <w:r w:rsidRPr="002C480E">
        <w:sym w:font="Wingdings" w:char="F0A8"/>
      </w:r>
      <w:r>
        <w:t xml:space="preserve">  No</w:t>
      </w:r>
    </w:p>
    <w:p w:rsidR="00D82A8C" w:rsidRPr="00F440FB" w:rsidRDefault="00E7658A" w:rsidP="00E7658A">
      <w:pPr>
        <w:shd w:val="clear" w:color="auto" w:fill="DBE5F1"/>
        <w:tabs>
          <w:tab w:val="left" w:pos="360"/>
        </w:tabs>
        <w:ind w:left="360" w:hanging="360"/>
        <w:rPr>
          <w:sz w:val="18"/>
          <w:szCs w:val="18"/>
        </w:rPr>
      </w:pPr>
      <w:r>
        <w:rPr>
          <w:sz w:val="18"/>
          <w:szCs w:val="18"/>
        </w:rPr>
        <w:tab/>
        <w:t>(Once Title IIA designations are finalized, c</w:t>
      </w:r>
      <w:r w:rsidR="00D82A8C" w:rsidRPr="00F440FB">
        <w:rPr>
          <w:sz w:val="18"/>
          <w:szCs w:val="18"/>
        </w:rPr>
        <w:t xml:space="preserve">onfirm on </w:t>
      </w:r>
      <w:r w:rsidR="003955F7">
        <w:rPr>
          <w:sz w:val="18"/>
          <w:szCs w:val="18"/>
        </w:rPr>
        <w:t>your pre-popu</w:t>
      </w:r>
      <w:r w:rsidR="00F5362D">
        <w:rPr>
          <w:sz w:val="18"/>
          <w:szCs w:val="18"/>
        </w:rPr>
        <w:t xml:space="preserve">lated report for the UIP, p. </w:t>
      </w:r>
      <w:r w:rsidR="003955F7">
        <w:rPr>
          <w:sz w:val="18"/>
          <w:szCs w:val="18"/>
        </w:rPr>
        <w:t xml:space="preserve">4 or on </w:t>
      </w:r>
      <w:r w:rsidR="0085578A">
        <w:rPr>
          <w:sz w:val="18"/>
          <w:szCs w:val="18"/>
        </w:rPr>
        <w:t xml:space="preserve">the CDE website at: </w:t>
      </w:r>
      <w:r w:rsidR="00D82A8C" w:rsidRPr="00F440FB">
        <w:rPr>
          <w:sz w:val="18"/>
          <w:szCs w:val="18"/>
        </w:rPr>
        <w:t>www.cde.state.co.us/FedPrograms/tii/a.asp)</w:t>
      </w:r>
    </w:p>
    <w:p w:rsidR="00D82A8C" w:rsidRDefault="00D82A8C" w:rsidP="00F440FB">
      <w:pPr>
        <w:shd w:val="clear" w:color="auto" w:fill="DBE5F1"/>
      </w:pPr>
    </w:p>
    <w:p w:rsidR="00D82A8C" w:rsidRDefault="00D82A8C" w:rsidP="00F440FB">
      <w:pPr>
        <w:shd w:val="clear" w:color="auto" w:fill="DBE5F1"/>
      </w:pPr>
      <w:r w:rsidRPr="002C480E">
        <w:t xml:space="preserve">Is the </w:t>
      </w:r>
      <w:r>
        <w:t>district</w:t>
      </w:r>
      <w:r w:rsidR="00F5362D">
        <w:t xml:space="preserve"> or consortium</w:t>
      </w:r>
      <w:r w:rsidRPr="002C480E">
        <w:t xml:space="preserve"> identified for </w:t>
      </w:r>
      <w:r>
        <w:t xml:space="preserve">Title III Program </w:t>
      </w:r>
      <w:r w:rsidRPr="002C480E">
        <w:t xml:space="preserve">improvement?  </w:t>
      </w:r>
    </w:p>
    <w:p w:rsidR="00D82A8C" w:rsidRDefault="00D82A8C" w:rsidP="003955F7">
      <w:pPr>
        <w:shd w:val="clear" w:color="auto" w:fill="DBE5F1"/>
        <w:tabs>
          <w:tab w:val="left" w:pos="360"/>
        </w:tabs>
      </w:pPr>
      <w:r>
        <w:tab/>
      </w:r>
      <w:r w:rsidRPr="002C480E">
        <w:sym w:font="Wingdings" w:char="F0A8"/>
      </w:r>
      <w:r w:rsidRPr="002C480E">
        <w:t xml:space="preserve">  </w:t>
      </w:r>
      <w:r>
        <w:t xml:space="preserve">Yes </w:t>
      </w:r>
      <w:r>
        <w:tab/>
      </w:r>
      <w:r>
        <w:tab/>
      </w:r>
      <w:r w:rsidRPr="002C480E">
        <w:sym w:font="Wingdings" w:char="F0A8"/>
      </w:r>
      <w:r>
        <w:t xml:space="preserve">  No</w:t>
      </w:r>
    </w:p>
    <w:p w:rsidR="00D82A8C" w:rsidRPr="00F440FB" w:rsidRDefault="00E7658A" w:rsidP="003955F7">
      <w:pPr>
        <w:shd w:val="clear" w:color="auto" w:fill="DBE5F1"/>
        <w:tabs>
          <w:tab w:val="left" w:pos="360"/>
        </w:tabs>
        <w:rPr>
          <w:sz w:val="18"/>
          <w:szCs w:val="18"/>
        </w:rPr>
      </w:pPr>
      <w:r>
        <w:rPr>
          <w:sz w:val="18"/>
          <w:szCs w:val="18"/>
        </w:rPr>
        <w:tab/>
        <w:t>(Once Title III designations are finalized, c</w:t>
      </w:r>
      <w:r w:rsidR="00D82A8C" w:rsidRPr="00F440FB">
        <w:rPr>
          <w:sz w:val="18"/>
          <w:szCs w:val="18"/>
        </w:rPr>
        <w:t xml:space="preserve">onfirm on </w:t>
      </w:r>
      <w:r w:rsidR="003955F7">
        <w:rPr>
          <w:sz w:val="18"/>
          <w:szCs w:val="18"/>
        </w:rPr>
        <w:t>your pre-popu</w:t>
      </w:r>
      <w:r w:rsidR="00F5362D">
        <w:rPr>
          <w:sz w:val="18"/>
          <w:szCs w:val="18"/>
        </w:rPr>
        <w:t xml:space="preserve">lated report for the UIP, p. </w:t>
      </w:r>
      <w:r w:rsidR="003955F7">
        <w:rPr>
          <w:sz w:val="18"/>
          <w:szCs w:val="18"/>
        </w:rPr>
        <w:t>4)</w:t>
      </w:r>
    </w:p>
    <w:p w:rsidR="00D82A8C" w:rsidRDefault="00D82A8C" w:rsidP="00B83CF8">
      <w:pPr>
        <w:rPr>
          <w:sz w:val="18"/>
          <w:szCs w:val="18"/>
        </w:rPr>
      </w:pPr>
    </w:p>
    <w:p w:rsidR="00D82A8C" w:rsidRDefault="00D82A8C" w:rsidP="00B83CF8"/>
    <w:p w:rsidR="00D82A8C" w:rsidRDefault="00D82A8C">
      <w:r>
        <w:br w:type="page"/>
      </w:r>
    </w:p>
    <w:p w:rsidR="00D82A8C" w:rsidRDefault="00D82A8C" w:rsidP="00B83CF8">
      <w:r>
        <w:lastRenderedPageBreak/>
        <w:t>In addition to addressing the general indicators, districts should look for the following symbols that apply to the district and address additional requirements for the programs identified above.</w:t>
      </w:r>
    </w:p>
    <w:p w:rsidR="00D82A8C" w:rsidRPr="002C480E" w:rsidRDefault="00D82A8C" w:rsidP="00B83CF8"/>
    <w:tbl>
      <w:tblPr>
        <w:tblW w:w="0" w:type="auto"/>
        <w:tblLook w:val="00A0"/>
      </w:tblPr>
      <w:tblGrid>
        <w:gridCol w:w="1998"/>
        <w:gridCol w:w="7578"/>
      </w:tblGrid>
      <w:tr w:rsidR="00D82A8C" w:rsidRPr="00632845" w:rsidTr="00D51416">
        <w:trPr>
          <w:trHeight w:val="822"/>
        </w:trPr>
        <w:tc>
          <w:tcPr>
            <w:tcW w:w="1998" w:type="dxa"/>
          </w:tcPr>
          <w:p w:rsidR="00D82A8C" w:rsidRPr="00632845" w:rsidRDefault="00E90F82" w:rsidP="00D51416">
            <w:pPr>
              <w:pStyle w:val="Heading1"/>
              <w:spacing w:before="0"/>
              <w:rPr>
                <w:rFonts w:ascii="Calibri" w:hAnsi="Calibri"/>
                <w:sz w:val="22"/>
                <w:szCs w:val="22"/>
              </w:rPr>
            </w:pPr>
            <w:r w:rsidRPr="00E90F82">
              <w:rPr>
                <w:noProof/>
              </w:rPr>
              <w:pict>
                <v:group id="_x0000_s1026" style="position:absolute;margin-left:18.75pt;margin-top:39.4pt;width:46.5pt;height:21.75pt;z-index:251650560" coordorigin="2010,3030" coordsize="930,435">
                  <v:oval id="_x0000_s1027" style="position:absolute;left:2010;top:3090;width:915;height:315" o:regroupid="1" fillcolor="#4f81bd" strokeweight="1.5pt">
                    <v:shadow on="t" type="perspective" color="#243f60" opacity=".5" offset="1pt" offset2="-1pt"/>
                  </v:oval>
                  <v:shapetype id="_x0000_t202" coordsize="21600,21600" o:spt="202" path="m,l,21600r21600,l21600,xe">
                    <v:stroke joinstyle="miter"/>
                    <v:path gradientshapeok="t" o:connecttype="rect"/>
                  </v:shapetype>
                  <v:shape id="_x0000_s1028" type="#_x0000_t202" style="position:absolute;left:2025;top:3030;width:915;height:435" o:regroupid="1" filled="f" stroked="f">
                    <v:textbox style="mso-next-textbox:#_x0000_s1028">
                      <w:txbxContent>
                        <w:p w:rsidR="001E5EFB" w:rsidRPr="00144352" w:rsidRDefault="001E5EFB" w:rsidP="00951031">
                          <w:pPr>
                            <w:rPr>
                              <w:color w:val="FFFFFF"/>
                            </w:rPr>
                          </w:pPr>
                          <w:r w:rsidRPr="00144352">
                            <w:rPr>
                              <w:color w:val="FFFFFF"/>
                            </w:rPr>
                            <w:t>SGCP</w:t>
                          </w:r>
                        </w:p>
                      </w:txbxContent>
                    </v:textbox>
                  </v:shape>
                </v:group>
              </w:pict>
            </w:r>
            <w:r w:rsidRPr="00E90F82">
              <w:rPr>
                <w:noProof/>
              </w:rPr>
              <w:pict>
                <v:group id="_x0000_s1029" style="position:absolute;margin-left:16.5pt;margin-top:.4pt;width:47.25pt;height:21.75pt;z-index:251649536" coordorigin="1950,7201" coordsize="945,435">
                  <v:oval id="_x0000_s1030" style="position:absolute;left:1980;top:7261;width:915;height:315" fillcolor="#e5b8b7" strokeweight="1.5pt">
                    <v:shadow on="t" type="perspective" color="#243f60" opacity=".5" offset="1pt" offset2="-1pt"/>
                  </v:oval>
                  <v:shape id="_x0000_s1031" type="#_x0000_t202" style="position:absolute;left:1950;top:7201;width:915;height:435" filled="f" stroked="f">
                    <v:textbox style="mso-next-textbox:#_x0000_s1031">
                      <w:txbxContent>
                        <w:p w:rsidR="001E5EFB" w:rsidRDefault="001E5EFB" w:rsidP="00C72AFE">
                          <w:pPr>
                            <w:jc w:val="center"/>
                          </w:pPr>
                          <w:r>
                            <w:t>St - T</w:t>
                          </w:r>
                        </w:p>
                      </w:txbxContent>
                    </v:textbox>
                  </v:shape>
                </v:group>
              </w:pict>
            </w:r>
          </w:p>
        </w:tc>
        <w:tc>
          <w:tcPr>
            <w:tcW w:w="7578" w:type="dxa"/>
          </w:tcPr>
          <w:p w:rsidR="00D82A8C" w:rsidRDefault="00D82A8C" w:rsidP="00652586">
            <w:pPr>
              <w:pStyle w:val="Heading1"/>
              <w:spacing w:before="60"/>
              <w:rPr>
                <w:rFonts w:ascii="Calibri" w:hAnsi="Calibri"/>
                <w:b w:val="0"/>
                <w:color w:val="auto"/>
                <w:sz w:val="22"/>
                <w:szCs w:val="22"/>
              </w:rPr>
            </w:pPr>
            <w:r w:rsidRPr="00632845">
              <w:rPr>
                <w:rFonts w:ascii="Calibri" w:hAnsi="Calibri"/>
                <w:b w:val="0"/>
                <w:color w:val="auto"/>
                <w:sz w:val="22"/>
                <w:szCs w:val="22"/>
              </w:rPr>
              <w:t>Turnaround Plan Type under State Accountability System</w:t>
            </w:r>
            <w:r w:rsidR="0085578A">
              <w:rPr>
                <w:rStyle w:val="FootnoteReference"/>
                <w:rFonts w:ascii="Calibri" w:hAnsi="Calibri"/>
                <w:b w:val="0"/>
                <w:color w:val="auto"/>
                <w:sz w:val="22"/>
                <w:szCs w:val="22"/>
              </w:rPr>
              <w:footnoteReference w:id="1"/>
            </w:r>
          </w:p>
          <w:p w:rsidR="00D82A8C" w:rsidRPr="007C41BE" w:rsidRDefault="00D82A8C" w:rsidP="00652586">
            <w:pPr>
              <w:spacing w:before="60" w:after="60"/>
            </w:pPr>
          </w:p>
        </w:tc>
      </w:tr>
      <w:tr w:rsidR="00D82A8C" w:rsidRPr="00632845" w:rsidTr="00361494">
        <w:trPr>
          <w:trHeight w:val="821"/>
        </w:trPr>
        <w:tc>
          <w:tcPr>
            <w:tcW w:w="1998" w:type="dxa"/>
          </w:tcPr>
          <w:p w:rsidR="00D82A8C" w:rsidRPr="00C814E8" w:rsidRDefault="00E90F82" w:rsidP="00361494">
            <w:pPr>
              <w:pStyle w:val="Heading1"/>
              <w:spacing w:before="0"/>
              <w:rPr>
                <w:rFonts w:ascii="Calibri" w:hAnsi="Calibri"/>
                <w:b w:val="0"/>
                <w:noProof/>
                <w:color w:val="auto"/>
                <w:sz w:val="22"/>
                <w:szCs w:val="22"/>
              </w:rPr>
            </w:pPr>
            <w:r w:rsidRPr="00E90F82">
              <w:rPr>
                <w:noProof/>
              </w:rPr>
              <w:pict>
                <v:group id="_x0000_s1032" style="position:absolute;margin-left:18.75pt;margin-top:40.3pt;width:47.25pt;height:21.75pt;z-index:251646464;mso-position-horizontal-relative:text;mso-position-vertical-relative:text" coordorigin="1950,9398" coordsize="945,435">
                  <v:oval id="_x0000_s1033" style="position:absolute;left:1980;top:9443;width:915;height:315" fillcolor="#92d050" strokeweight="1.5pt">
                    <v:shadow on="t" type="perspective" color="#243f60" opacity=".5" offset="1pt" offset2="-1pt"/>
                  </v:oval>
                  <v:shape id="_x0000_s1034" type="#_x0000_t202" style="position:absolute;left:1950;top:9398;width:915;height:435" filled="f" stroked="f">
                    <v:textbox style="mso-next-textbox:#_x0000_s1034">
                      <w:txbxContent>
                        <w:p w:rsidR="001E5EFB" w:rsidRPr="007C41BE" w:rsidRDefault="001E5EFB" w:rsidP="007C41BE">
                          <w:r>
                            <w:t>TI - PI</w:t>
                          </w:r>
                        </w:p>
                      </w:txbxContent>
                    </v:textbox>
                  </v:shape>
                </v:group>
              </w:pict>
            </w:r>
          </w:p>
        </w:tc>
        <w:tc>
          <w:tcPr>
            <w:tcW w:w="7578" w:type="dxa"/>
          </w:tcPr>
          <w:p w:rsidR="00D82A8C" w:rsidRPr="00951031" w:rsidRDefault="00D82A8C" w:rsidP="00652586">
            <w:pPr>
              <w:spacing w:before="60" w:after="60"/>
            </w:pPr>
            <w:r w:rsidRPr="00951031">
              <w:t>Identified for Student</w:t>
            </w:r>
            <w:r>
              <w:t xml:space="preserve"> Graduation and Completion Plan </w:t>
            </w:r>
          </w:p>
          <w:p w:rsidR="00D82A8C" w:rsidRPr="00632845" w:rsidRDefault="00D82A8C" w:rsidP="00652586">
            <w:pPr>
              <w:pStyle w:val="Heading1"/>
              <w:spacing w:before="60"/>
              <w:rPr>
                <w:rFonts w:ascii="Calibri" w:hAnsi="Calibri"/>
                <w:b w:val="0"/>
                <w:color w:val="auto"/>
                <w:sz w:val="22"/>
                <w:szCs w:val="22"/>
              </w:rPr>
            </w:pPr>
          </w:p>
        </w:tc>
      </w:tr>
      <w:tr w:rsidR="00D82A8C" w:rsidRPr="00632845" w:rsidTr="00632845">
        <w:tc>
          <w:tcPr>
            <w:tcW w:w="1998" w:type="dxa"/>
          </w:tcPr>
          <w:p w:rsidR="00D82A8C" w:rsidRPr="00632845" w:rsidRDefault="00D82A8C" w:rsidP="00632845">
            <w:pPr>
              <w:pStyle w:val="Heading1"/>
              <w:spacing w:before="0"/>
              <w:rPr>
                <w:rFonts w:ascii="Calibri" w:hAnsi="Calibri"/>
                <w:sz w:val="22"/>
                <w:szCs w:val="22"/>
              </w:rPr>
            </w:pPr>
          </w:p>
        </w:tc>
        <w:tc>
          <w:tcPr>
            <w:tcW w:w="7578" w:type="dxa"/>
          </w:tcPr>
          <w:p w:rsidR="00D82A8C" w:rsidRPr="007C41BE" w:rsidRDefault="00D82A8C" w:rsidP="00652586">
            <w:pPr>
              <w:spacing w:before="60" w:after="60"/>
            </w:pPr>
            <w:r w:rsidRPr="007C41BE">
              <w:t>Identified for Program Improvement  under Title I</w:t>
            </w:r>
            <w:r>
              <w:t xml:space="preserve"> (Year 1 or 2)</w:t>
            </w:r>
          </w:p>
        </w:tc>
      </w:tr>
      <w:tr w:rsidR="00D82A8C" w:rsidRPr="00632845" w:rsidTr="00632845">
        <w:tc>
          <w:tcPr>
            <w:tcW w:w="1998" w:type="dxa"/>
          </w:tcPr>
          <w:p w:rsidR="00D82A8C" w:rsidRPr="00632845" w:rsidRDefault="00D82A8C" w:rsidP="00632845">
            <w:pPr>
              <w:pStyle w:val="Heading1"/>
              <w:spacing w:before="0"/>
              <w:rPr>
                <w:rFonts w:ascii="Calibri" w:hAnsi="Calibri"/>
                <w:sz w:val="22"/>
                <w:szCs w:val="22"/>
              </w:rPr>
            </w:pPr>
          </w:p>
        </w:tc>
        <w:tc>
          <w:tcPr>
            <w:tcW w:w="7578" w:type="dxa"/>
          </w:tcPr>
          <w:p w:rsidR="00D82A8C" w:rsidRPr="000D24E8" w:rsidRDefault="00D82A8C" w:rsidP="00652586">
            <w:pPr>
              <w:pStyle w:val="Heading1"/>
              <w:spacing w:before="60"/>
            </w:pPr>
          </w:p>
        </w:tc>
      </w:tr>
      <w:tr w:rsidR="00D82A8C" w:rsidRPr="00632845" w:rsidTr="00632845">
        <w:tc>
          <w:tcPr>
            <w:tcW w:w="1998" w:type="dxa"/>
          </w:tcPr>
          <w:p w:rsidR="00D82A8C" w:rsidRPr="00632845" w:rsidRDefault="00E90F82" w:rsidP="00632845">
            <w:pPr>
              <w:pStyle w:val="Heading1"/>
              <w:spacing w:before="0"/>
              <w:rPr>
                <w:rFonts w:ascii="Calibri" w:hAnsi="Calibri"/>
                <w:sz w:val="22"/>
                <w:szCs w:val="22"/>
              </w:rPr>
            </w:pPr>
            <w:r w:rsidRPr="00E90F82">
              <w:rPr>
                <w:noProof/>
              </w:rPr>
              <w:pict>
                <v:group id="_x0000_s1035" style="position:absolute;margin-left:19.5pt;margin-top:35.25pt;width:47.25pt;height:21.75pt;z-index:251648512;mso-position-horizontal-relative:text;mso-position-vertical-relative:text" coordorigin="1950,9398" coordsize="945,435">
                  <v:oval id="_x0000_s1036" style="position:absolute;left:1980;top:9443;width:915;height:315" fillcolor="#92d050" strokeweight="1.5pt">
                    <v:shadow on="t" type="perspective" color="#243f60" opacity=".5" offset="1pt" offset2="-1pt"/>
                  </v:oval>
                  <v:shape id="_x0000_s1037" type="#_x0000_t202" style="position:absolute;left:1950;top:9398;width:915;height:435" filled="f" stroked="f">
                    <v:textbox style="mso-next-textbox:#_x0000_s1037">
                      <w:txbxContent>
                        <w:p w:rsidR="001E5EFB" w:rsidRDefault="001E5EFB" w:rsidP="00C72AFE">
                          <w:pPr>
                            <w:jc w:val="center"/>
                          </w:pPr>
                          <w:r>
                            <w:t>TI-CA4</w:t>
                          </w:r>
                        </w:p>
                      </w:txbxContent>
                    </v:textbox>
                  </v:shape>
                </v:group>
              </w:pict>
            </w:r>
            <w:r w:rsidRPr="00E90F82">
              <w:rPr>
                <w:noProof/>
              </w:rPr>
              <w:pict>
                <v:group id="_x0000_s1038" style="position:absolute;margin-left:18.75pt;margin-top:.65pt;width:47.25pt;height:21.75pt;z-index:251647488;mso-position-horizontal-relative:text;mso-position-vertical-relative:text" coordorigin="1950,9398" coordsize="945,435">
                  <v:oval id="_x0000_s1039" style="position:absolute;left:1980;top:9443;width:915;height:315" fillcolor="#92d050" strokeweight="1.5pt">
                    <v:shadow on="t" type="perspective" color="#243f60" opacity=".5" offset="1pt" offset2="-1pt"/>
                  </v:oval>
                  <v:shape id="_x0000_s1040" type="#_x0000_t202" style="position:absolute;left:1950;top:9398;width:915;height:435" filled="f" stroked="f">
                    <v:textbox style="mso-next-textbox:#_x0000_s1040">
                      <w:txbxContent>
                        <w:p w:rsidR="001E5EFB" w:rsidRDefault="001E5EFB" w:rsidP="00C72AFE">
                          <w:pPr>
                            <w:jc w:val="center"/>
                          </w:pPr>
                          <w:r>
                            <w:t>TI-CA</w:t>
                          </w:r>
                        </w:p>
                      </w:txbxContent>
                    </v:textbox>
                  </v:shape>
                </v:group>
              </w:pict>
            </w:r>
          </w:p>
        </w:tc>
        <w:tc>
          <w:tcPr>
            <w:tcW w:w="7578" w:type="dxa"/>
          </w:tcPr>
          <w:p w:rsidR="00D82A8C" w:rsidRPr="00632845" w:rsidRDefault="00D82A8C" w:rsidP="00652586">
            <w:pPr>
              <w:pStyle w:val="Heading1"/>
              <w:spacing w:before="60"/>
              <w:rPr>
                <w:rFonts w:ascii="Calibri" w:hAnsi="Calibri"/>
                <w:b w:val="0"/>
                <w:color w:val="auto"/>
                <w:sz w:val="22"/>
                <w:szCs w:val="22"/>
              </w:rPr>
            </w:pPr>
            <w:r w:rsidRPr="00632845">
              <w:rPr>
                <w:rFonts w:ascii="Calibri" w:hAnsi="Calibri"/>
                <w:b w:val="0"/>
                <w:color w:val="auto"/>
                <w:sz w:val="22"/>
                <w:szCs w:val="22"/>
              </w:rPr>
              <w:t>Identified for Corrective Action under Title I</w:t>
            </w:r>
            <w:r>
              <w:rPr>
                <w:rFonts w:ascii="Calibri" w:hAnsi="Calibri"/>
                <w:b w:val="0"/>
                <w:color w:val="auto"/>
                <w:sz w:val="22"/>
                <w:szCs w:val="22"/>
              </w:rPr>
              <w:t xml:space="preserve"> (Year 1 through 3)</w:t>
            </w:r>
          </w:p>
          <w:p w:rsidR="00D82A8C" w:rsidRPr="000D24E8" w:rsidRDefault="00D82A8C" w:rsidP="00652586">
            <w:pPr>
              <w:spacing w:before="60" w:after="60"/>
            </w:pPr>
          </w:p>
        </w:tc>
      </w:tr>
      <w:tr w:rsidR="00D82A8C" w:rsidRPr="00632845" w:rsidTr="00632845">
        <w:tc>
          <w:tcPr>
            <w:tcW w:w="1998" w:type="dxa"/>
          </w:tcPr>
          <w:p w:rsidR="00D82A8C" w:rsidRPr="00632845" w:rsidRDefault="00D82A8C" w:rsidP="00632845">
            <w:pPr>
              <w:pStyle w:val="Heading1"/>
              <w:spacing w:before="0"/>
              <w:rPr>
                <w:rFonts w:ascii="Calibri" w:hAnsi="Calibri"/>
                <w:sz w:val="22"/>
                <w:szCs w:val="22"/>
              </w:rPr>
            </w:pPr>
          </w:p>
        </w:tc>
        <w:tc>
          <w:tcPr>
            <w:tcW w:w="7578" w:type="dxa"/>
          </w:tcPr>
          <w:p w:rsidR="00D82A8C" w:rsidRPr="00632845" w:rsidRDefault="00D82A8C" w:rsidP="00652586">
            <w:pPr>
              <w:pStyle w:val="Heading1"/>
              <w:spacing w:before="60"/>
              <w:rPr>
                <w:rFonts w:ascii="Calibri" w:hAnsi="Calibri"/>
                <w:b w:val="0"/>
                <w:color w:val="auto"/>
                <w:sz w:val="22"/>
                <w:szCs w:val="22"/>
              </w:rPr>
            </w:pPr>
            <w:r w:rsidRPr="00632845">
              <w:rPr>
                <w:rFonts w:ascii="Calibri" w:hAnsi="Calibri"/>
                <w:b w:val="0"/>
                <w:color w:val="auto"/>
                <w:sz w:val="22"/>
                <w:szCs w:val="22"/>
              </w:rPr>
              <w:t xml:space="preserve">Identified for </w:t>
            </w:r>
            <w:r>
              <w:rPr>
                <w:rFonts w:ascii="Calibri" w:hAnsi="Calibri"/>
                <w:b w:val="0"/>
                <w:color w:val="auto"/>
                <w:sz w:val="22"/>
                <w:szCs w:val="22"/>
              </w:rPr>
              <w:t xml:space="preserve">Corrective Action </w:t>
            </w:r>
            <w:r w:rsidRPr="00632845">
              <w:rPr>
                <w:rFonts w:ascii="Calibri" w:hAnsi="Calibri"/>
                <w:b w:val="0"/>
                <w:color w:val="auto"/>
                <w:sz w:val="22"/>
                <w:szCs w:val="22"/>
              </w:rPr>
              <w:t>under Title I</w:t>
            </w:r>
            <w:r>
              <w:rPr>
                <w:rFonts w:ascii="Calibri" w:hAnsi="Calibri"/>
                <w:b w:val="0"/>
                <w:color w:val="auto"/>
                <w:sz w:val="22"/>
                <w:szCs w:val="22"/>
              </w:rPr>
              <w:t xml:space="preserve"> (Year 4 or higher)</w:t>
            </w:r>
          </w:p>
          <w:p w:rsidR="00D82A8C" w:rsidRPr="000D24E8" w:rsidRDefault="00D82A8C" w:rsidP="00652586">
            <w:pPr>
              <w:spacing w:before="60" w:after="60"/>
            </w:pPr>
          </w:p>
        </w:tc>
      </w:tr>
      <w:tr w:rsidR="00D82A8C" w:rsidRPr="00632845" w:rsidTr="00632845">
        <w:trPr>
          <w:trHeight w:val="821"/>
        </w:trPr>
        <w:tc>
          <w:tcPr>
            <w:tcW w:w="1998" w:type="dxa"/>
          </w:tcPr>
          <w:p w:rsidR="00D82A8C" w:rsidRPr="00C814E8" w:rsidRDefault="00E90F82" w:rsidP="00632845">
            <w:pPr>
              <w:pStyle w:val="Heading1"/>
              <w:spacing w:before="0"/>
              <w:rPr>
                <w:rFonts w:ascii="Calibri" w:hAnsi="Calibri"/>
                <w:b w:val="0"/>
                <w:noProof/>
                <w:color w:val="auto"/>
                <w:sz w:val="22"/>
                <w:szCs w:val="22"/>
              </w:rPr>
            </w:pPr>
            <w:r w:rsidRPr="00E90F82">
              <w:rPr>
                <w:noProof/>
              </w:rPr>
              <w:pict>
                <v:group id="_x0000_s1041" style="position:absolute;margin-left:20.25pt;margin-top:1.3pt;width:46.5pt;height:21.75pt;z-index:251651584;mso-position-horizontal-relative:text;mso-position-vertical-relative:text" coordorigin="1860,5790" coordsize="930,435">
                  <v:oval id="_x0000_s1042" style="position:absolute;left:1860;top:5835;width:915;height:315" o:regroupid="2" fillcolor="#943634" strokeweight="1.5pt">
                    <v:shadow on="t" type="perspective" color="#243f60" opacity=".5" offset="1pt" offset2="-1pt"/>
                  </v:oval>
                  <v:shape id="_x0000_s1043" type="#_x0000_t202" style="position:absolute;left:1875;top:5790;width:915;height:435" o:regroupid="2" filled="f" stroked="f">
                    <v:textbox style="mso-next-textbox:#_x0000_s1043">
                      <w:txbxContent>
                        <w:p w:rsidR="001E5EFB" w:rsidRPr="00144352" w:rsidRDefault="001E5EFB" w:rsidP="00B17078">
                          <w:pPr>
                            <w:rPr>
                              <w:color w:val="FFFFFF"/>
                            </w:rPr>
                          </w:pPr>
                          <w:r w:rsidRPr="00144352">
                            <w:rPr>
                              <w:color w:val="FFFFFF"/>
                            </w:rPr>
                            <w:t>2141c</w:t>
                          </w:r>
                        </w:p>
                      </w:txbxContent>
                    </v:textbox>
                  </v:shape>
                </v:group>
              </w:pict>
            </w:r>
          </w:p>
        </w:tc>
        <w:tc>
          <w:tcPr>
            <w:tcW w:w="7578" w:type="dxa"/>
          </w:tcPr>
          <w:p w:rsidR="00D82A8C" w:rsidRPr="00951031" w:rsidRDefault="00D82A8C" w:rsidP="00652586">
            <w:pPr>
              <w:spacing w:before="60" w:after="60"/>
            </w:pPr>
            <w:r w:rsidRPr="00951031">
              <w:t xml:space="preserve">Identified for 2141c under Title IIA </w:t>
            </w:r>
          </w:p>
          <w:p w:rsidR="00D82A8C" w:rsidRPr="00632845" w:rsidRDefault="00D82A8C" w:rsidP="00652586">
            <w:pPr>
              <w:pStyle w:val="Heading1"/>
              <w:spacing w:before="60"/>
              <w:rPr>
                <w:rFonts w:ascii="Calibri" w:hAnsi="Calibri"/>
                <w:b w:val="0"/>
                <w:color w:val="auto"/>
                <w:sz w:val="22"/>
                <w:szCs w:val="22"/>
              </w:rPr>
            </w:pPr>
          </w:p>
        </w:tc>
      </w:tr>
      <w:tr w:rsidR="00D82A8C" w:rsidRPr="00632845" w:rsidTr="00632845">
        <w:trPr>
          <w:trHeight w:val="821"/>
        </w:trPr>
        <w:tc>
          <w:tcPr>
            <w:tcW w:w="1998" w:type="dxa"/>
          </w:tcPr>
          <w:p w:rsidR="00D82A8C" w:rsidRPr="00C814E8" w:rsidRDefault="00E90F82" w:rsidP="00632845">
            <w:pPr>
              <w:pStyle w:val="Heading1"/>
              <w:spacing w:before="0"/>
              <w:rPr>
                <w:rFonts w:ascii="Calibri" w:hAnsi="Calibri"/>
                <w:b w:val="0"/>
                <w:noProof/>
                <w:color w:val="auto"/>
                <w:sz w:val="22"/>
                <w:szCs w:val="22"/>
              </w:rPr>
            </w:pPr>
            <w:r w:rsidRPr="00E90F82">
              <w:rPr>
                <w:noProof/>
              </w:rPr>
              <w:pict>
                <v:group id="_x0000_s1044" style="position:absolute;margin-left:18pt;margin-top:1.5pt;width:46.5pt;height:21.75pt;z-index:251654656;mso-position-horizontal-relative:text;mso-position-vertical-relative:text" coordorigin="1890,6872" coordsize="930,435">
                  <v:oval id="_x0000_s1045" style="position:absolute;left:1905;top:6932;width:915;height:315" o:regroupid="6" fillcolor="#ff6" strokeweight="1.5pt">
                    <v:shadow on="t" type="perspective" color="#243f60" opacity=".5" offset="1pt" offset2="-1pt"/>
                  </v:oval>
                  <v:shape id="_x0000_s1046" type="#_x0000_t202" style="position:absolute;left:1890;top:6872;width:915;height:435" o:regroupid="6" filled="f" stroked="f">
                    <v:textbox style="mso-next-textbox:#_x0000_s1046">
                      <w:txbxContent>
                        <w:p w:rsidR="001E5EFB" w:rsidRDefault="001E5EFB" w:rsidP="007C41BE">
                          <w:r w:rsidRPr="00652586">
                            <w:t>TIII-PI</w:t>
                          </w:r>
                        </w:p>
                        <w:p w:rsidR="001E5EFB" w:rsidRDefault="001E5EFB"/>
                      </w:txbxContent>
                    </v:textbox>
                  </v:shape>
                </v:group>
              </w:pict>
            </w:r>
          </w:p>
        </w:tc>
        <w:tc>
          <w:tcPr>
            <w:tcW w:w="7578" w:type="dxa"/>
          </w:tcPr>
          <w:p w:rsidR="00D82A8C" w:rsidRPr="00951031" w:rsidRDefault="00D82A8C" w:rsidP="00652586">
            <w:pPr>
              <w:spacing w:before="60" w:after="60"/>
            </w:pPr>
            <w:r w:rsidRPr="00951031">
              <w:t xml:space="preserve">Identified for Title III Program improvement </w:t>
            </w:r>
          </w:p>
          <w:p w:rsidR="00D82A8C" w:rsidRPr="00632845" w:rsidRDefault="00D82A8C" w:rsidP="00652586">
            <w:pPr>
              <w:pStyle w:val="Heading1"/>
              <w:spacing w:before="60"/>
              <w:rPr>
                <w:rFonts w:ascii="Calibri" w:hAnsi="Calibri"/>
                <w:b w:val="0"/>
                <w:color w:val="auto"/>
                <w:sz w:val="22"/>
                <w:szCs w:val="22"/>
              </w:rPr>
            </w:pPr>
          </w:p>
        </w:tc>
      </w:tr>
    </w:tbl>
    <w:p w:rsidR="00D82A8C" w:rsidRPr="006163C6" w:rsidRDefault="00D82A8C" w:rsidP="006163C6">
      <w:pPr>
        <w:pStyle w:val="Subtitle"/>
        <w:rPr>
          <w:sz w:val="28"/>
          <w:szCs w:val="28"/>
        </w:rPr>
      </w:pPr>
      <w:r w:rsidRPr="006163C6">
        <w:rPr>
          <w:sz w:val="28"/>
          <w:szCs w:val="28"/>
        </w:rPr>
        <w:t xml:space="preserve"> Section III: Narrative on Data Analysis and Root Cause Identification</w:t>
      </w:r>
    </w:p>
    <w:p w:rsidR="006D4D95" w:rsidRDefault="006D4D95" w:rsidP="006D4D95">
      <w:pPr>
        <w:rPr>
          <w:b/>
        </w:rPr>
      </w:pPr>
    </w:p>
    <w:p w:rsidR="006D4D95" w:rsidRDefault="00D82A8C" w:rsidP="006D4D95">
      <w:r w:rsidRPr="002C480E">
        <w:rPr>
          <w:b/>
        </w:rPr>
        <w:t>Data Narrative</w:t>
      </w:r>
      <w:r w:rsidRPr="002C480E">
        <w:t xml:space="preserve"> </w:t>
      </w:r>
      <w:r w:rsidRPr="002C480E">
        <w:br/>
      </w:r>
    </w:p>
    <w:p w:rsidR="001F48BF" w:rsidRPr="002C480E" w:rsidRDefault="006D4D95" w:rsidP="001F48BF">
      <w:r w:rsidRPr="002C480E">
        <w:t xml:space="preserve">The purpose of the data narrative is to </w:t>
      </w:r>
      <w:r>
        <w:t>describe the process and results of the analysis of the data for school improvement. This includes: identifying where the school did not at least meet minimum state and federal accountability expectations, describing progress towards targets for the prior school year, describing what performance data were used in the analysis of trends, identifying trends and priority performance challenges (negative trends), describing how performance challenges were prioritized, identifying the root causes of performance challenges, describing how the root causes were identified and verified (with more than one data source)</w:t>
      </w:r>
      <w:r w:rsidR="001F48BF">
        <w:t>,</w:t>
      </w:r>
      <w:r>
        <w:t xml:space="preserve"> what data were used,</w:t>
      </w:r>
      <w:r w:rsidR="001F48BF">
        <w:t xml:space="preserve"> and</w:t>
      </w:r>
      <w:r>
        <w:t xml:space="preserve"> stakeholder involvement in the analysis. The data narrative </w:t>
      </w:r>
      <w:r w:rsidRPr="002C480E">
        <w:t xml:space="preserve">should not include a description of major improvement strategies, action steps, etc. The narrative should meet the </w:t>
      </w:r>
      <w:r>
        <w:t xml:space="preserve">overall </w:t>
      </w:r>
      <w:r w:rsidRPr="002C480E">
        <w:t xml:space="preserve">criteria </w:t>
      </w:r>
      <w:r>
        <w:t xml:space="preserve">as well as the criteria specific to </w:t>
      </w:r>
      <w:r w:rsidRPr="002C480E">
        <w:t xml:space="preserve">trends, priority </w:t>
      </w:r>
      <w:r>
        <w:t>performance challenges</w:t>
      </w:r>
      <w:r w:rsidRPr="002C480E">
        <w:t>, and root causes. A short (bulleted list) of trends, priority</w:t>
      </w:r>
      <w:r>
        <w:t xml:space="preserve"> performance challenges,</w:t>
      </w:r>
      <w:r w:rsidRPr="002C480E">
        <w:t xml:space="preserve"> and root causes should also be included in the </w:t>
      </w:r>
      <w:r w:rsidRPr="002C480E">
        <w:rPr>
          <w:b/>
        </w:rPr>
        <w:t>data analysis worksheet</w:t>
      </w:r>
      <w:r w:rsidRPr="002C480E">
        <w:t xml:space="preserve">. </w:t>
      </w:r>
      <w:r>
        <w:t xml:space="preserve">Information about progress towards the prior year’s performance targets should be included in the </w:t>
      </w:r>
      <w:r>
        <w:rPr>
          <w:b/>
        </w:rPr>
        <w:t>monitoring progress of prior year’s performance targets</w:t>
      </w:r>
      <w:r>
        <w:t xml:space="preserve"> </w:t>
      </w:r>
      <w:r w:rsidRPr="001E7AB4">
        <w:rPr>
          <w:b/>
        </w:rPr>
        <w:t>worksheet</w:t>
      </w:r>
      <w:r>
        <w:t>.</w:t>
      </w:r>
      <w:r w:rsidR="001F48BF" w:rsidRPr="001F48BF">
        <w:t xml:space="preserve"> </w:t>
      </w:r>
      <w:r w:rsidR="001F48BF">
        <w:t>There should be a logical connection among the elements listed in the columns of the worksheet.</w:t>
      </w:r>
    </w:p>
    <w:p w:rsidR="006D4D95" w:rsidRPr="00943CFC" w:rsidRDefault="006D4D95" w:rsidP="006D4D95"/>
    <w:p w:rsidR="00D82A8C" w:rsidRPr="002C480E" w:rsidRDefault="00D82A8C" w:rsidP="00791DDA"/>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A0"/>
      </w:tblPr>
      <w:tblGrid>
        <w:gridCol w:w="2178"/>
        <w:gridCol w:w="7297"/>
      </w:tblGrid>
      <w:tr w:rsidR="00D82A8C" w:rsidRPr="002C480E" w:rsidTr="001F48BF">
        <w:trPr>
          <w:cantSplit/>
          <w:trHeight w:val="442"/>
          <w:tblHeader/>
        </w:trPr>
        <w:tc>
          <w:tcPr>
            <w:tcW w:w="2178" w:type="dxa"/>
            <w:tcBorders>
              <w:bottom w:val="single" w:sz="8" w:space="0" w:color="7BA0CD"/>
              <w:right w:val="nil"/>
            </w:tcBorders>
            <w:shd w:val="clear" w:color="auto" w:fill="4F81BD"/>
          </w:tcPr>
          <w:p w:rsidR="00D82A8C" w:rsidRPr="002C480E" w:rsidRDefault="00D82A8C" w:rsidP="004A6F25">
            <w:pPr>
              <w:pStyle w:val="Heading2"/>
              <w:rPr>
                <w:rFonts w:ascii="Calibri" w:hAnsi="Calibri"/>
                <w:b w:val="0"/>
                <w:bCs w:val="0"/>
                <w:color w:val="FFFFFF"/>
                <w:sz w:val="22"/>
                <w:szCs w:val="22"/>
              </w:rPr>
            </w:pPr>
            <w:r w:rsidRPr="002C480E">
              <w:rPr>
                <w:rFonts w:ascii="Calibri" w:hAnsi="Calibri"/>
                <w:b w:val="0"/>
                <w:bCs w:val="0"/>
                <w:color w:val="FFFFFF"/>
                <w:sz w:val="22"/>
                <w:szCs w:val="22"/>
              </w:rPr>
              <w:lastRenderedPageBreak/>
              <w:t>Required Element</w:t>
            </w:r>
          </w:p>
          <w:p w:rsidR="00D82A8C" w:rsidRPr="002C480E" w:rsidRDefault="00D82A8C" w:rsidP="00EE1A39">
            <w:pPr>
              <w:rPr>
                <w:i/>
                <w:color w:val="FFFFFF"/>
              </w:rPr>
            </w:pPr>
            <w:r w:rsidRPr="002C480E">
              <w:rPr>
                <w:i/>
                <w:color w:val="FFFFFF"/>
              </w:rPr>
              <w:t>(definition)</w:t>
            </w:r>
          </w:p>
        </w:tc>
        <w:tc>
          <w:tcPr>
            <w:tcW w:w="7297" w:type="dxa"/>
            <w:tcBorders>
              <w:left w:val="nil"/>
            </w:tcBorders>
            <w:shd w:val="clear" w:color="auto" w:fill="4F81BD"/>
          </w:tcPr>
          <w:p w:rsidR="00D82A8C" w:rsidRPr="002C480E" w:rsidRDefault="00D82A8C" w:rsidP="004A6F25">
            <w:pPr>
              <w:pStyle w:val="Heading2"/>
              <w:rPr>
                <w:rFonts w:ascii="Calibri" w:hAnsi="Calibri"/>
                <w:b w:val="0"/>
                <w:bCs w:val="0"/>
                <w:color w:val="FFFFFF"/>
                <w:sz w:val="22"/>
                <w:szCs w:val="22"/>
              </w:rPr>
            </w:pPr>
            <w:r w:rsidRPr="002C480E">
              <w:rPr>
                <w:rFonts w:ascii="Calibri" w:hAnsi="Calibri"/>
                <w:b w:val="0"/>
                <w:bCs w:val="0"/>
                <w:color w:val="FFFFFF"/>
                <w:sz w:val="22"/>
                <w:szCs w:val="22"/>
              </w:rPr>
              <w:t>Criteria</w:t>
            </w:r>
          </w:p>
        </w:tc>
      </w:tr>
      <w:tr w:rsidR="00640ED7" w:rsidRPr="002C480E" w:rsidTr="001F48BF">
        <w:trPr>
          <w:cantSplit/>
          <w:trHeight w:val="1555"/>
        </w:trPr>
        <w:tc>
          <w:tcPr>
            <w:tcW w:w="2178" w:type="dxa"/>
            <w:tcBorders>
              <w:left w:val="single" w:sz="4" w:space="0" w:color="7BA0CD"/>
              <w:bottom w:val="nil"/>
              <w:right w:val="nil"/>
            </w:tcBorders>
            <w:shd w:val="clear" w:color="auto" w:fill="D3DFEE"/>
          </w:tcPr>
          <w:p w:rsidR="00640ED7" w:rsidRPr="002C480E" w:rsidRDefault="00640ED7" w:rsidP="00C655D6">
            <w:pPr>
              <w:rPr>
                <w:b/>
                <w:bCs/>
              </w:rPr>
            </w:pPr>
            <w:r w:rsidRPr="002C480E">
              <w:rPr>
                <w:b/>
                <w:bCs/>
              </w:rPr>
              <w:t>Data Narrative (overall)</w:t>
            </w:r>
          </w:p>
          <w:p w:rsidR="00640ED7" w:rsidRPr="002C480E" w:rsidRDefault="00640ED7" w:rsidP="00C655D6">
            <w:pPr>
              <w:rPr>
                <w:b/>
                <w:bCs/>
              </w:rPr>
            </w:pPr>
          </w:p>
          <w:p w:rsidR="006D4D95" w:rsidRPr="00BA46C3" w:rsidRDefault="006D4D95" w:rsidP="006D4D95">
            <w:pPr>
              <w:rPr>
                <w:bCs/>
                <w:i/>
              </w:rPr>
            </w:pPr>
            <w:r w:rsidRPr="00BA46C3">
              <w:rPr>
                <w:bCs/>
                <w:i/>
              </w:rPr>
              <w:t>Describes the “data sto</w:t>
            </w:r>
            <w:r w:rsidR="006163C6">
              <w:rPr>
                <w:bCs/>
                <w:i/>
              </w:rPr>
              <w:t>ry” and process of data analysis;</w:t>
            </w:r>
            <w:r w:rsidRPr="00BA46C3">
              <w:rPr>
                <w:bCs/>
                <w:i/>
              </w:rPr>
              <w:t xml:space="preserve"> a synthesis of the analysis and presentation of notable findings.</w:t>
            </w:r>
          </w:p>
          <w:p w:rsidR="00640ED7" w:rsidRPr="002C480E" w:rsidRDefault="00640ED7" w:rsidP="00C655D6">
            <w:pPr>
              <w:rPr>
                <w:b/>
                <w:bCs/>
              </w:rPr>
            </w:pPr>
          </w:p>
          <w:p w:rsidR="00640ED7" w:rsidRPr="002C480E" w:rsidRDefault="00640ED7" w:rsidP="00C655D6">
            <w:pPr>
              <w:rPr>
                <w:b/>
                <w:bCs/>
              </w:rPr>
            </w:pPr>
          </w:p>
          <w:p w:rsidR="00640ED7" w:rsidRPr="002C480E" w:rsidRDefault="00640ED7" w:rsidP="00C655D6">
            <w:pPr>
              <w:rPr>
                <w:b/>
                <w:bCs/>
              </w:rPr>
            </w:pPr>
          </w:p>
          <w:p w:rsidR="00640ED7" w:rsidRPr="002C480E" w:rsidRDefault="00640ED7" w:rsidP="00C655D6">
            <w:pPr>
              <w:rPr>
                <w:b/>
                <w:bCs/>
              </w:rPr>
            </w:pPr>
          </w:p>
          <w:p w:rsidR="00640ED7" w:rsidRPr="002C480E" w:rsidRDefault="00640ED7" w:rsidP="00C655D6">
            <w:pPr>
              <w:rPr>
                <w:b/>
                <w:bCs/>
              </w:rPr>
            </w:pPr>
          </w:p>
          <w:p w:rsidR="00640ED7" w:rsidRPr="002C480E" w:rsidRDefault="00640ED7" w:rsidP="00C655D6">
            <w:pPr>
              <w:rPr>
                <w:b/>
                <w:bCs/>
              </w:rPr>
            </w:pPr>
          </w:p>
          <w:p w:rsidR="00640ED7" w:rsidRPr="002C480E" w:rsidRDefault="00640ED7" w:rsidP="00C655D6">
            <w:pPr>
              <w:rPr>
                <w:b/>
                <w:bCs/>
              </w:rPr>
            </w:pPr>
          </w:p>
          <w:p w:rsidR="00640ED7" w:rsidRPr="002C480E" w:rsidRDefault="00640ED7" w:rsidP="00C655D6">
            <w:pPr>
              <w:rPr>
                <w:b/>
                <w:bCs/>
              </w:rPr>
            </w:pPr>
          </w:p>
          <w:p w:rsidR="00640ED7" w:rsidRPr="002C480E" w:rsidRDefault="00640ED7" w:rsidP="00C655D6">
            <w:pPr>
              <w:rPr>
                <w:b/>
                <w:bCs/>
              </w:rPr>
            </w:pPr>
          </w:p>
          <w:p w:rsidR="00640ED7" w:rsidRPr="002C480E" w:rsidRDefault="00640ED7" w:rsidP="00C655D6">
            <w:pPr>
              <w:rPr>
                <w:bCs/>
              </w:rPr>
            </w:pPr>
          </w:p>
        </w:tc>
        <w:tc>
          <w:tcPr>
            <w:tcW w:w="7297" w:type="dxa"/>
            <w:tcBorders>
              <w:left w:val="nil"/>
              <w:bottom w:val="dashSmallGap" w:sz="4" w:space="0" w:color="4F81BD"/>
            </w:tcBorders>
            <w:shd w:val="clear" w:color="auto" w:fill="D3DFEE"/>
          </w:tcPr>
          <w:p w:rsidR="00640ED7" w:rsidRDefault="00640ED7" w:rsidP="00C33508">
            <w:pPr>
              <w:numPr>
                <w:ilvl w:val="0"/>
                <w:numId w:val="3"/>
              </w:numPr>
            </w:pPr>
            <w:r w:rsidRPr="002C480E">
              <w:t xml:space="preserve">Reflects that </w:t>
            </w:r>
            <w:r>
              <w:t xml:space="preserve">a district </w:t>
            </w:r>
            <w:r w:rsidRPr="002C480E">
              <w:t xml:space="preserve">team reviewed the performance summary provided in the </w:t>
            </w:r>
            <w:r>
              <w:t>District Performance Framework (D</w:t>
            </w:r>
            <w:r w:rsidRPr="002C480E">
              <w:t>PF) report, (and Section I of the</w:t>
            </w:r>
            <w:r>
              <w:t xml:space="preserve"> pre-populated</w:t>
            </w:r>
            <w:r w:rsidRPr="002C480E">
              <w:t xml:space="preserve"> Unified Improvement Planning Template), and specifies where the </w:t>
            </w:r>
            <w:r>
              <w:t>district</w:t>
            </w:r>
            <w:r w:rsidRPr="002C480E">
              <w:t xml:space="preserve"> did not meet local, state</w:t>
            </w:r>
            <w:r w:rsidR="006D4D95">
              <w:t xml:space="preserve"> (approaching, does not meet on DPF)</w:t>
            </w:r>
            <w:r w:rsidRPr="002C480E">
              <w:t xml:space="preserve"> and/or federal performance expectations.</w:t>
            </w:r>
          </w:p>
          <w:p w:rsidR="00512700" w:rsidRPr="002C480E" w:rsidRDefault="00512700" w:rsidP="00512700">
            <w:pPr>
              <w:numPr>
                <w:ilvl w:val="0"/>
                <w:numId w:val="3"/>
              </w:numPr>
            </w:pPr>
            <w:r w:rsidRPr="00650954">
              <w:t>Reflect that the team reviewed progress towards prior year’s performance targets.</w:t>
            </w:r>
          </w:p>
          <w:p w:rsidR="00640ED7" w:rsidRPr="002C480E" w:rsidRDefault="00640ED7" w:rsidP="00C33508">
            <w:pPr>
              <w:numPr>
                <w:ilvl w:val="0"/>
                <w:numId w:val="3"/>
              </w:numPr>
            </w:pPr>
            <w:r w:rsidRPr="002C480E">
              <w:t xml:space="preserve">Identifies what additional performance data (state and local </w:t>
            </w:r>
            <w:r w:rsidR="006D4D95">
              <w:t>student learning data</w:t>
            </w:r>
            <w:r w:rsidRPr="002C480E">
              <w:t>) were used in the analysis of trends.</w:t>
            </w:r>
          </w:p>
          <w:p w:rsidR="00640ED7" w:rsidRPr="002C480E" w:rsidRDefault="00640ED7" w:rsidP="00C33508">
            <w:pPr>
              <w:numPr>
                <w:ilvl w:val="0"/>
                <w:numId w:val="3"/>
              </w:numPr>
            </w:pPr>
            <w:r w:rsidRPr="002C480E">
              <w:t>Describes trends</w:t>
            </w:r>
            <w:r w:rsidR="006D4D95">
              <w:t xml:space="preserve"> in data</w:t>
            </w:r>
            <w:r w:rsidRPr="002C480E">
              <w:t>.</w:t>
            </w:r>
          </w:p>
          <w:p w:rsidR="00640ED7" w:rsidRPr="002C480E" w:rsidRDefault="00640ED7" w:rsidP="00C33508">
            <w:pPr>
              <w:numPr>
                <w:ilvl w:val="0"/>
                <w:numId w:val="3"/>
              </w:numPr>
            </w:pPr>
            <w:r w:rsidRPr="002C480E">
              <w:t>Describes</w:t>
            </w:r>
            <w:r w:rsidR="006D4D95">
              <w:t xml:space="preserve"> priority </w:t>
            </w:r>
            <w:r w:rsidR="00512700">
              <w:t>performance challenges</w:t>
            </w:r>
            <w:r w:rsidRPr="002C480E">
              <w:t>.</w:t>
            </w:r>
          </w:p>
          <w:p w:rsidR="00640ED7" w:rsidRPr="002C480E" w:rsidRDefault="00640ED7" w:rsidP="00C33508">
            <w:pPr>
              <w:numPr>
                <w:ilvl w:val="0"/>
                <w:numId w:val="3"/>
              </w:numPr>
            </w:pPr>
            <w:r w:rsidRPr="002C480E">
              <w:t xml:space="preserve">Describes the process used to prioritize the </w:t>
            </w:r>
            <w:r w:rsidR="00512700">
              <w:t>performance challenges</w:t>
            </w:r>
            <w:r w:rsidRPr="002C480E">
              <w:t>.</w:t>
            </w:r>
          </w:p>
          <w:p w:rsidR="00640ED7" w:rsidRPr="002C480E" w:rsidRDefault="00640ED7" w:rsidP="00C33508">
            <w:pPr>
              <w:numPr>
                <w:ilvl w:val="0"/>
                <w:numId w:val="3"/>
              </w:numPr>
            </w:pPr>
            <w:r w:rsidRPr="002C480E">
              <w:t>Describes root ca</w:t>
            </w:r>
            <w:r w:rsidR="00512700">
              <w:t>uses of performance challenges</w:t>
            </w:r>
            <w:r w:rsidRPr="002C480E">
              <w:t>.</w:t>
            </w:r>
          </w:p>
          <w:p w:rsidR="00640ED7" w:rsidRDefault="00640ED7" w:rsidP="00C33508">
            <w:pPr>
              <w:numPr>
                <w:ilvl w:val="0"/>
                <w:numId w:val="3"/>
              </w:numPr>
            </w:pPr>
            <w:r w:rsidRPr="002C480E">
              <w:t>Describes how root cause</w:t>
            </w:r>
            <w:r w:rsidR="001E7AB4">
              <w:t>s were identified and verified with more than one data source (</w:t>
            </w:r>
            <w:r w:rsidRPr="002C480E">
              <w:t>e.g.</w:t>
            </w:r>
            <w:r w:rsidR="001E7AB4">
              <w:t>,</w:t>
            </w:r>
            <w:r w:rsidRPr="002C480E">
              <w:t xml:space="preserve"> </w:t>
            </w:r>
            <w:r>
              <w:t>teacher surveys</w:t>
            </w:r>
            <w:r w:rsidR="006D4D95">
              <w:t>, classroom observations</w:t>
            </w:r>
            <w:r w:rsidRPr="002C480E">
              <w:t>) and what data were used</w:t>
            </w:r>
            <w:r>
              <w:t>.</w:t>
            </w:r>
            <w:r w:rsidRPr="002C480E">
              <w:t xml:space="preserve"> </w:t>
            </w:r>
          </w:p>
          <w:p w:rsidR="00640ED7" w:rsidRPr="002C480E" w:rsidRDefault="00171230" w:rsidP="006D4D95">
            <w:pPr>
              <w:numPr>
                <w:ilvl w:val="0"/>
                <w:numId w:val="3"/>
              </w:numPr>
            </w:pPr>
            <w:r>
              <w:t xml:space="preserve">Describes </w:t>
            </w:r>
            <w:r w:rsidR="006D4D95">
              <w:t>stakeholder</w:t>
            </w:r>
            <w:r>
              <w:t xml:space="preserve"> involvement in plan development</w:t>
            </w:r>
            <w:r w:rsidR="006D4D95">
              <w:t xml:space="preserve"> (e.g.</w:t>
            </w:r>
            <w:r w:rsidR="001E7AB4">
              <w:t>,</w:t>
            </w:r>
            <w:r w:rsidR="006D4D95">
              <w:t xml:space="preserve"> District Accountability Committee, </w:t>
            </w:r>
            <w:r w:rsidR="007F30C9">
              <w:t xml:space="preserve">school </w:t>
            </w:r>
            <w:r w:rsidR="006D4D95">
              <w:t xml:space="preserve">staff, </w:t>
            </w:r>
            <w:r w:rsidR="001E7AB4">
              <w:t>parents, community members</w:t>
            </w:r>
            <w:r w:rsidR="006D4D95">
              <w:t>)</w:t>
            </w:r>
            <w:r w:rsidR="006163C6">
              <w:t>.</w:t>
            </w:r>
            <w:r>
              <w:t xml:space="preserve"> </w:t>
            </w:r>
          </w:p>
        </w:tc>
      </w:tr>
      <w:tr w:rsidR="00640ED7" w:rsidRPr="002C480E" w:rsidTr="001F48BF">
        <w:trPr>
          <w:cantSplit/>
          <w:trHeight w:val="1177"/>
        </w:trPr>
        <w:tc>
          <w:tcPr>
            <w:tcW w:w="2178" w:type="dxa"/>
            <w:tcBorders>
              <w:top w:val="nil"/>
              <w:left w:val="single" w:sz="4" w:space="0" w:color="7BA0CD"/>
              <w:bottom w:val="nil"/>
              <w:right w:val="nil"/>
            </w:tcBorders>
            <w:shd w:val="clear" w:color="auto" w:fill="D3DFEE"/>
          </w:tcPr>
          <w:p w:rsidR="00640ED7" w:rsidRPr="002C480E" w:rsidRDefault="00E90F82" w:rsidP="00C655D6">
            <w:pPr>
              <w:rPr>
                <w:b/>
                <w:bCs/>
              </w:rPr>
            </w:pPr>
            <w:r w:rsidRPr="00E90F82">
              <w:rPr>
                <w:noProof/>
              </w:rPr>
              <w:pict>
                <v:group id="_x0000_s1047" style="position:absolute;margin-left:20.25pt;margin-top:14.8pt;width:48pt;height:40.4pt;z-index:251652608;mso-position-horizontal-relative:text;mso-position-vertical-relative:text" coordorigin="2085,4502" coordsize="960,808">
                  <v:oval id="_x0000_s1048" style="position:absolute;left:2085;top:4556;width:915;height:585" o:regroupid="4" fillcolor="#92d050" strokeweight="1.5pt">
                    <v:shadow on="t" type="perspective" color="#243f60" opacity=".5" offset="1pt" offset2="-1pt"/>
                  </v:oval>
                  <v:shape id="_x0000_s1049" type="#_x0000_t202" style="position:absolute;left:2130;top:4502;width:915;height:808" o:regroupid="4" filled="f" stroked="f">
                    <v:textbox style="mso-next-textbox:#_x0000_s1049">
                      <w:txbxContent>
                        <w:p w:rsidR="001E5EFB" w:rsidRPr="007C41BE" w:rsidRDefault="001E5EFB" w:rsidP="007211D6">
                          <w:r>
                            <w:t>TI - PI &amp; CA</w:t>
                          </w:r>
                        </w:p>
                      </w:txbxContent>
                    </v:textbox>
                  </v:shape>
                </v:group>
              </w:pict>
            </w:r>
          </w:p>
        </w:tc>
        <w:tc>
          <w:tcPr>
            <w:tcW w:w="7297" w:type="dxa"/>
            <w:tcBorders>
              <w:top w:val="dashSmallGap" w:sz="4" w:space="0" w:color="4F81BD"/>
              <w:left w:val="nil"/>
              <w:bottom w:val="dashSmallGap" w:sz="4" w:space="0" w:color="4F81BD"/>
            </w:tcBorders>
            <w:shd w:val="clear" w:color="auto" w:fill="D3DFEE"/>
          </w:tcPr>
          <w:p w:rsidR="00640ED7" w:rsidRDefault="00640ED7" w:rsidP="00640ED7">
            <w:pPr>
              <w:ind w:left="360"/>
            </w:pPr>
          </w:p>
          <w:p w:rsidR="00640ED7" w:rsidRPr="002C480E" w:rsidRDefault="00640ED7" w:rsidP="00640ED7">
            <w:pPr>
              <w:numPr>
                <w:ilvl w:val="0"/>
                <w:numId w:val="3"/>
              </w:numPr>
            </w:pPr>
            <w:r>
              <w:t>Describes why the previous plan did not bring about increased student achievement or justification for continuation of existing improvement plan.</w:t>
            </w:r>
          </w:p>
        </w:tc>
      </w:tr>
      <w:tr w:rsidR="00640ED7" w:rsidRPr="002C480E" w:rsidTr="001F48BF">
        <w:trPr>
          <w:cantSplit/>
          <w:trHeight w:val="780"/>
        </w:trPr>
        <w:tc>
          <w:tcPr>
            <w:tcW w:w="2178" w:type="dxa"/>
            <w:tcBorders>
              <w:top w:val="nil"/>
              <w:left w:val="single" w:sz="4" w:space="0" w:color="7BA0CD"/>
              <w:bottom w:val="nil"/>
              <w:right w:val="nil"/>
            </w:tcBorders>
            <w:shd w:val="clear" w:color="auto" w:fill="D3DFEE"/>
          </w:tcPr>
          <w:p w:rsidR="00640ED7" w:rsidRPr="002C480E" w:rsidRDefault="00E90F82" w:rsidP="00C655D6">
            <w:pPr>
              <w:rPr>
                <w:b/>
                <w:bCs/>
              </w:rPr>
            </w:pPr>
            <w:r w:rsidRPr="00E90F82">
              <w:rPr>
                <w:noProof/>
              </w:rPr>
              <w:pict>
                <v:group id="_x0000_s1050" style="position:absolute;margin-left:21.75pt;margin-top:11.65pt;width:46.5pt;height:21.75pt;z-index:251653632;mso-position-horizontal-relative:text;mso-position-vertical-relative:text" coordorigin="1860,5790" coordsize="930,435">
                  <v:oval id="_x0000_s1051" style="position:absolute;left:1860;top:5835;width:915;height:315" fillcolor="#943634" strokeweight="1.5pt">
                    <v:shadow on="t" type="perspective" color="#243f60" opacity=".5" offset="1pt" offset2="-1pt"/>
                  </v:oval>
                  <v:shape id="_x0000_s1052" type="#_x0000_t202" style="position:absolute;left:1875;top:5790;width:915;height:435" filled="f" stroked="f">
                    <v:textbox style="mso-next-textbox:#_x0000_s1052">
                      <w:txbxContent>
                        <w:p w:rsidR="001E5EFB" w:rsidRPr="00144352" w:rsidRDefault="001E5EFB" w:rsidP="00C20BFB">
                          <w:pPr>
                            <w:rPr>
                              <w:color w:val="FFFFFF"/>
                            </w:rPr>
                          </w:pPr>
                          <w:r w:rsidRPr="00144352">
                            <w:rPr>
                              <w:color w:val="FFFFFF"/>
                            </w:rPr>
                            <w:t>2141c</w:t>
                          </w:r>
                        </w:p>
                      </w:txbxContent>
                    </v:textbox>
                  </v:shape>
                </v:group>
              </w:pict>
            </w:r>
          </w:p>
        </w:tc>
        <w:tc>
          <w:tcPr>
            <w:tcW w:w="7297" w:type="dxa"/>
            <w:tcBorders>
              <w:top w:val="dashSmallGap" w:sz="4" w:space="0" w:color="4F81BD"/>
              <w:left w:val="nil"/>
            </w:tcBorders>
            <w:shd w:val="clear" w:color="auto" w:fill="D3DFEE"/>
          </w:tcPr>
          <w:p w:rsidR="00E709E0" w:rsidRDefault="00E709E0" w:rsidP="00E709E0">
            <w:pPr>
              <w:ind w:left="360"/>
            </w:pPr>
          </w:p>
          <w:p w:rsidR="006163C6" w:rsidRPr="006163C6" w:rsidRDefault="006163C6" w:rsidP="006163C6">
            <w:pPr>
              <w:pStyle w:val="ListParagraph"/>
              <w:numPr>
                <w:ilvl w:val="0"/>
                <w:numId w:val="3"/>
              </w:numPr>
              <w:autoSpaceDE w:val="0"/>
              <w:autoSpaceDN w:val="0"/>
              <w:rPr>
                <w:color w:val="000000" w:themeColor="text1"/>
              </w:rPr>
            </w:pPr>
            <w:r w:rsidRPr="006163C6">
              <w:rPr>
                <w:color w:val="000000" w:themeColor="text1"/>
              </w:rPr>
              <w:t>Data analysis and narrative includes a description of the factors that prevented the district from meeting its AYP and/or Highly Qualified targets. District must address each target that was not met.</w:t>
            </w:r>
          </w:p>
          <w:p w:rsidR="00640ED7" w:rsidRPr="002C480E" w:rsidRDefault="00640ED7" w:rsidP="006163C6">
            <w:pPr>
              <w:ind w:left="360"/>
            </w:pPr>
          </w:p>
        </w:tc>
      </w:tr>
      <w:tr w:rsidR="00D82A8C" w:rsidRPr="002C480E" w:rsidTr="001F48BF">
        <w:trPr>
          <w:cantSplit/>
          <w:trHeight w:val="1285"/>
        </w:trPr>
        <w:tc>
          <w:tcPr>
            <w:tcW w:w="2178" w:type="dxa"/>
            <w:tcBorders>
              <w:top w:val="nil"/>
              <w:left w:val="single" w:sz="4" w:space="0" w:color="7BA0CD"/>
              <w:bottom w:val="nil"/>
              <w:right w:val="nil"/>
            </w:tcBorders>
            <w:shd w:val="clear" w:color="auto" w:fill="D3DFEE"/>
          </w:tcPr>
          <w:p w:rsidR="00D82A8C" w:rsidRPr="00640ED7" w:rsidRDefault="00E90F82" w:rsidP="00640ED7">
            <w:pPr>
              <w:rPr>
                <w:b/>
                <w:bCs/>
              </w:rPr>
            </w:pPr>
            <w:r w:rsidRPr="00E90F82">
              <w:rPr>
                <w:noProof/>
              </w:rPr>
              <w:pict>
                <v:group id="_x0000_s1053" style="position:absolute;margin-left:19.5pt;margin-top:19.55pt;width:46.5pt;height:21.75pt;z-index:251655680;mso-position-horizontal-relative:text;mso-position-vertical-relative:text" coordorigin="1890,6872" coordsize="930,435">
                  <v:oval id="_x0000_s1054" style="position:absolute;left:1905;top:6932;width:915;height:315" fillcolor="#ff6" strokeweight="1.5pt">
                    <v:shadow on="t" type="perspective" color="#243f60" opacity=".5" offset="1pt" offset2="-1pt"/>
                  </v:oval>
                  <v:shape id="_x0000_s1055" type="#_x0000_t202" style="position:absolute;left:1890;top:6872;width:915;height:435" filled="f" stroked="f">
                    <v:textbox style="mso-next-textbox:#_x0000_s1055">
                      <w:txbxContent>
                        <w:p w:rsidR="001E5EFB" w:rsidRDefault="001E5EFB" w:rsidP="000547D9">
                          <w:r w:rsidRPr="00652586">
                            <w:t>TIII-PI</w:t>
                          </w:r>
                        </w:p>
                        <w:p w:rsidR="001E5EFB" w:rsidRDefault="001E5EFB" w:rsidP="000547D9"/>
                      </w:txbxContent>
                    </v:textbox>
                  </v:shape>
                </v:group>
              </w:pict>
            </w:r>
          </w:p>
        </w:tc>
        <w:tc>
          <w:tcPr>
            <w:tcW w:w="7297" w:type="dxa"/>
            <w:tcBorders>
              <w:top w:val="dashSmallGap" w:sz="4" w:space="0" w:color="4F81BD"/>
              <w:left w:val="nil"/>
            </w:tcBorders>
            <w:shd w:val="clear" w:color="auto" w:fill="D3DFEE"/>
          </w:tcPr>
          <w:p w:rsidR="00D82A8C" w:rsidRDefault="00D82A8C" w:rsidP="00486951"/>
          <w:p w:rsidR="00D82A8C" w:rsidRDefault="00D82A8C" w:rsidP="00C33508">
            <w:pPr>
              <w:numPr>
                <w:ilvl w:val="0"/>
                <w:numId w:val="3"/>
              </w:numPr>
            </w:pPr>
            <w:r>
              <w:t>Identifies the specific factors that prevented the district from meeting its AMAO targets.</w:t>
            </w:r>
          </w:p>
          <w:p w:rsidR="00D82A8C" w:rsidRDefault="00D82A8C" w:rsidP="00D06494">
            <w:pPr>
              <w:numPr>
                <w:ilvl w:val="0"/>
                <w:numId w:val="3"/>
              </w:numPr>
            </w:pPr>
            <w:r>
              <w:t>Identifies the strengths and weaknesses of the current plan.</w:t>
            </w:r>
          </w:p>
          <w:p w:rsidR="00EA4F7B" w:rsidRPr="002C480E" w:rsidRDefault="00EA4F7B" w:rsidP="00EA4F7B">
            <w:pPr>
              <w:ind w:left="360"/>
            </w:pPr>
          </w:p>
        </w:tc>
      </w:tr>
      <w:tr w:rsidR="00EA4F7B" w:rsidRPr="002C480E" w:rsidTr="001F48BF">
        <w:trPr>
          <w:cantSplit/>
          <w:trHeight w:val="1285"/>
        </w:trPr>
        <w:tc>
          <w:tcPr>
            <w:tcW w:w="2178" w:type="dxa"/>
            <w:tcBorders>
              <w:top w:val="nil"/>
              <w:left w:val="single" w:sz="4" w:space="0" w:color="7BA0CD"/>
              <w:right w:val="nil"/>
            </w:tcBorders>
            <w:shd w:val="clear" w:color="auto" w:fill="D3DFEE"/>
          </w:tcPr>
          <w:p w:rsidR="00EA4F7B" w:rsidRPr="0076526C" w:rsidRDefault="00E90F82" w:rsidP="00640ED7">
            <w:pPr>
              <w:rPr>
                <w:noProof/>
              </w:rPr>
            </w:pPr>
            <w:r>
              <w:rPr>
                <w:noProof/>
              </w:rPr>
              <w:pict>
                <v:group id="_x0000_s1109" style="position:absolute;margin-left:22.5pt;margin-top:15.15pt;width:46.5pt;height:21.75pt;z-index:251674112;mso-position-horizontal-relative:text;mso-position-vertical-relative:text" coordorigin="2010,3030" coordsize="930,435">
                  <v:oval id="_x0000_s1110" style="position:absolute;left:2010;top:3090;width:915;height:315" fillcolor="#4f81bd" strokeweight="1.5pt">
                    <v:shadow on="t" type="perspective" color="#243f60" opacity=".5" offset="1pt" offset2="-1pt"/>
                  </v:oval>
                  <v:shape id="_x0000_s1111" type="#_x0000_t202" style="position:absolute;left:2025;top:3030;width:915;height:435" filled="f" stroked="f">
                    <v:textbox style="mso-next-textbox:#_x0000_s1111">
                      <w:txbxContent>
                        <w:p w:rsidR="0085578A" w:rsidRPr="00144352" w:rsidRDefault="0085578A" w:rsidP="0085578A">
                          <w:pPr>
                            <w:rPr>
                              <w:color w:val="FFFFFF"/>
                            </w:rPr>
                          </w:pPr>
                          <w:r w:rsidRPr="00144352">
                            <w:rPr>
                              <w:color w:val="FFFFFF"/>
                            </w:rPr>
                            <w:t>SGCP</w:t>
                          </w:r>
                        </w:p>
                      </w:txbxContent>
                    </v:textbox>
                  </v:shape>
                </v:group>
              </w:pict>
            </w:r>
          </w:p>
        </w:tc>
        <w:tc>
          <w:tcPr>
            <w:tcW w:w="7297" w:type="dxa"/>
            <w:tcBorders>
              <w:top w:val="dashSmallGap" w:sz="4" w:space="0" w:color="4F81BD"/>
              <w:left w:val="nil"/>
            </w:tcBorders>
            <w:shd w:val="clear" w:color="auto" w:fill="D3DFEE"/>
          </w:tcPr>
          <w:p w:rsidR="00EA4F7B" w:rsidRDefault="00EA4F7B" w:rsidP="0085578A">
            <w:pPr>
              <w:numPr>
                <w:ilvl w:val="0"/>
                <w:numId w:val="3"/>
              </w:numPr>
            </w:pPr>
            <w:r>
              <w:t xml:space="preserve">Specifically includes </w:t>
            </w:r>
            <w:r w:rsidR="0085578A">
              <w:t xml:space="preserve">description and analysis </w:t>
            </w:r>
            <w:r>
              <w:t xml:space="preserve">of the following </w:t>
            </w:r>
            <w:r w:rsidR="0085578A">
              <w:t>data: Dropout rate, graduation rate, completion rate, truancy rate, suspension rate, expulsion rate, mobility rate, and number of habitually truant students.</w:t>
            </w:r>
          </w:p>
        </w:tc>
      </w:tr>
      <w:tr w:rsidR="00512700" w:rsidRPr="00650954" w:rsidTr="001F48BF">
        <w:tblPrEx>
          <w:tblLook w:val="04A0"/>
        </w:tblPrEx>
        <w:trPr>
          <w:cantSplit/>
          <w:trHeight w:val="720"/>
        </w:trPr>
        <w:tc>
          <w:tcPr>
            <w:tcW w:w="2178" w:type="dxa"/>
            <w:tcBorders>
              <w:right w:val="nil"/>
            </w:tcBorders>
          </w:tcPr>
          <w:p w:rsidR="00512700" w:rsidRPr="00650954" w:rsidRDefault="00512700" w:rsidP="00512700">
            <w:pPr>
              <w:rPr>
                <w:b/>
                <w:bCs/>
              </w:rPr>
            </w:pPr>
            <w:r w:rsidRPr="00650954">
              <w:rPr>
                <w:b/>
                <w:bCs/>
              </w:rPr>
              <w:t>Previous Performance Targets</w:t>
            </w:r>
          </w:p>
          <w:p w:rsidR="00512700" w:rsidRPr="00650954" w:rsidRDefault="00512700" w:rsidP="00512700">
            <w:pPr>
              <w:rPr>
                <w:b/>
                <w:bCs/>
              </w:rPr>
            </w:pPr>
            <w:r w:rsidRPr="00650954">
              <w:rPr>
                <w:bCs/>
                <w:i/>
              </w:rPr>
              <w:t>Description of previous targets and progress toward meeting target.</w:t>
            </w:r>
            <w:r w:rsidRPr="00650954">
              <w:rPr>
                <w:b/>
                <w:bCs/>
              </w:rPr>
              <w:t xml:space="preserve"> </w:t>
            </w:r>
          </w:p>
        </w:tc>
        <w:tc>
          <w:tcPr>
            <w:tcW w:w="7297" w:type="dxa"/>
            <w:tcBorders>
              <w:left w:val="nil"/>
            </w:tcBorders>
          </w:tcPr>
          <w:p w:rsidR="00512700" w:rsidRPr="00650954" w:rsidRDefault="00512700" w:rsidP="00512700">
            <w:pPr>
              <w:numPr>
                <w:ilvl w:val="0"/>
                <w:numId w:val="1"/>
              </w:numPr>
            </w:pPr>
            <w:r w:rsidRPr="00650954">
              <w:t>Targets set in previous year’s plan provided.</w:t>
            </w:r>
          </w:p>
          <w:p w:rsidR="00512700" w:rsidRPr="00650954" w:rsidRDefault="00512700" w:rsidP="00512700">
            <w:pPr>
              <w:numPr>
                <w:ilvl w:val="0"/>
                <w:numId w:val="1"/>
              </w:numPr>
            </w:pPr>
            <w:r w:rsidRPr="00650954">
              <w:t>Progress toward targets described.</w:t>
            </w:r>
          </w:p>
          <w:p w:rsidR="00512700" w:rsidRPr="00650954" w:rsidRDefault="00512700" w:rsidP="00512700">
            <w:pPr>
              <w:numPr>
                <w:ilvl w:val="0"/>
                <w:numId w:val="1"/>
              </w:numPr>
            </w:pPr>
            <w:r w:rsidRPr="00650954">
              <w:t>Meets criteria for Performance Targets.</w:t>
            </w:r>
          </w:p>
        </w:tc>
      </w:tr>
      <w:tr w:rsidR="00D82A8C" w:rsidRPr="002C480E" w:rsidTr="001F48BF">
        <w:trPr>
          <w:cantSplit/>
          <w:trHeight w:val="720"/>
        </w:trPr>
        <w:tc>
          <w:tcPr>
            <w:tcW w:w="2178" w:type="dxa"/>
            <w:tcBorders>
              <w:right w:val="nil"/>
            </w:tcBorders>
          </w:tcPr>
          <w:p w:rsidR="00D82A8C" w:rsidRPr="002C480E" w:rsidRDefault="00D82A8C" w:rsidP="004A6F25">
            <w:pPr>
              <w:rPr>
                <w:b/>
                <w:bCs/>
              </w:rPr>
            </w:pPr>
            <w:r w:rsidRPr="002C480E">
              <w:rPr>
                <w:b/>
                <w:bCs/>
              </w:rPr>
              <w:lastRenderedPageBreak/>
              <w:t>Trends</w:t>
            </w:r>
          </w:p>
          <w:p w:rsidR="00D82A8C" w:rsidRPr="002C480E" w:rsidRDefault="00D82A8C" w:rsidP="004A6F25">
            <w:pPr>
              <w:rPr>
                <w:b/>
                <w:bCs/>
              </w:rPr>
            </w:pPr>
          </w:p>
          <w:p w:rsidR="00D82A8C" w:rsidRPr="002C480E" w:rsidRDefault="00D82A8C" w:rsidP="004A6F25">
            <w:pPr>
              <w:rPr>
                <w:bCs/>
                <w:i/>
              </w:rPr>
            </w:pPr>
            <w:r w:rsidRPr="002C480E">
              <w:rPr>
                <w:bCs/>
                <w:i/>
              </w:rPr>
              <w:t>Description of trends for every performance indicator, identified based on analysis of three years of data.</w:t>
            </w:r>
          </w:p>
          <w:p w:rsidR="00D82A8C" w:rsidRPr="002C480E" w:rsidRDefault="00D82A8C" w:rsidP="004A6F25">
            <w:pPr>
              <w:rPr>
                <w:b/>
                <w:bCs/>
              </w:rPr>
            </w:pPr>
            <w:r w:rsidRPr="002C480E">
              <w:rPr>
                <w:b/>
                <w:bCs/>
              </w:rPr>
              <w:t xml:space="preserve"> </w:t>
            </w:r>
          </w:p>
        </w:tc>
        <w:tc>
          <w:tcPr>
            <w:tcW w:w="7297" w:type="dxa"/>
            <w:tcBorders>
              <w:left w:val="nil"/>
            </w:tcBorders>
          </w:tcPr>
          <w:p w:rsidR="00D82A8C" w:rsidRPr="002C480E" w:rsidRDefault="00D82A8C" w:rsidP="00C33508">
            <w:pPr>
              <w:numPr>
                <w:ilvl w:val="0"/>
                <w:numId w:val="1"/>
              </w:numPr>
            </w:pPr>
            <w:r w:rsidRPr="002C480E">
              <w:t>Makes explicit to which performance indicator/sub-indicator the trend applies, and the direction of the trend (</w:t>
            </w:r>
            <w:r>
              <w:t>e.g.,</w:t>
            </w:r>
            <w:r w:rsidRPr="002C480E">
              <w:t xml:space="preserve"> strengths and challenges).</w:t>
            </w:r>
          </w:p>
          <w:p w:rsidR="00D82A8C" w:rsidRPr="002C480E" w:rsidRDefault="00D82A8C" w:rsidP="00C33508">
            <w:pPr>
              <w:numPr>
                <w:ilvl w:val="0"/>
                <w:numId w:val="1"/>
              </w:numPr>
            </w:pPr>
            <w:r w:rsidRPr="002C480E">
              <w:t xml:space="preserve">Specifies performance indicator areas where the </w:t>
            </w:r>
            <w:r>
              <w:t>district</w:t>
            </w:r>
            <w:r w:rsidRPr="002C480E">
              <w:t xml:space="preserve"> failed to meet state </w:t>
            </w:r>
            <w:r w:rsidRPr="002C480E">
              <w:rPr>
                <w:bCs/>
              </w:rPr>
              <w:t>(</w:t>
            </w:r>
            <w:r w:rsidR="001E7AB4">
              <w:rPr>
                <w:bCs/>
              </w:rPr>
              <w:t xml:space="preserve">i.e., </w:t>
            </w:r>
            <w:r w:rsidRPr="002C480E">
              <w:rPr>
                <w:bCs/>
              </w:rPr>
              <w:t xml:space="preserve">academic achievement, academic growth, academic growth gaps, post-secondary/workforce readiness), </w:t>
            </w:r>
            <w:r w:rsidRPr="002C480E">
              <w:t>federal (</w:t>
            </w:r>
            <w:r w:rsidR="001E7AB4">
              <w:t xml:space="preserve">e.g., </w:t>
            </w:r>
            <w:r w:rsidRPr="002C480E">
              <w:t>AYP targets), or local performance expectations.</w:t>
            </w:r>
          </w:p>
          <w:p w:rsidR="00D82A8C" w:rsidRPr="002C480E" w:rsidRDefault="00D82A8C" w:rsidP="00C33508">
            <w:pPr>
              <w:numPr>
                <w:ilvl w:val="0"/>
                <w:numId w:val="1"/>
              </w:numPr>
            </w:pPr>
            <w:r w:rsidRPr="002C480E">
              <w:t>Includes analysis of data at a more detailed le</w:t>
            </w:r>
            <w:r>
              <w:t>vel than that presented in the D</w:t>
            </w:r>
            <w:r w:rsidRPr="002C480E">
              <w:t>PF report, for example, patterns over time:</w:t>
            </w:r>
          </w:p>
          <w:p w:rsidR="00D82A8C" w:rsidRPr="002C480E" w:rsidRDefault="00D82A8C" w:rsidP="00C33508">
            <w:pPr>
              <w:numPr>
                <w:ilvl w:val="1"/>
                <w:numId w:val="1"/>
              </w:numPr>
            </w:pPr>
            <w:r w:rsidRPr="002C480E">
              <w:t>for cohorts of students (3</w:t>
            </w:r>
            <w:r w:rsidRPr="002C480E">
              <w:rPr>
                <w:vertAlign w:val="superscript"/>
              </w:rPr>
              <w:t>rd</w:t>
            </w:r>
            <w:r w:rsidRPr="002C480E">
              <w:t xml:space="preserve"> grade in one year, 4</w:t>
            </w:r>
            <w:r w:rsidRPr="002C480E">
              <w:rPr>
                <w:vertAlign w:val="superscript"/>
              </w:rPr>
              <w:t>th</w:t>
            </w:r>
            <w:r w:rsidRPr="002C480E">
              <w:t xml:space="preserve"> grade in the next year, 5</w:t>
            </w:r>
            <w:r w:rsidRPr="002C480E">
              <w:rPr>
                <w:vertAlign w:val="superscript"/>
              </w:rPr>
              <w:t>th</w:t>
            </w:r>
            <w:r w:rsidRPr="002C480E">
              <w:t xml:space="preserve"> grade in the third year);</w:t>
            </w:r>
          </w:p>
          <w:p w:rsidR="00D82A8C" w:rsidRPr="002C480E" w:rsidRDefault="00D82A8C" w:rsidP="00C33508">
            <w:pPr>
              <w:numPr>
                <w:ilvl w:val="1"/>
                <w:numId w:val="1"/>
              </w:numPr>
            </w:pPr>
            <w:r w:rsidRPr="002C480E">
              <w:t>within a grade level (per content area, d</w:t>
            </w:r>
            <w:r>
              <w:t>isaggregated group</w:t>
            </w:r>
            <w:r w:rsidRPr="002C480E">
              <w:t>);</w:t>
            </w:r>
          </w:p>
          <w:p w:rsidR="00D82A8C" w:rsidRPr="002C480E" w:rsidRDefault="00D82A8C" w:rsidP="00C33508">
            <w:pPr>
              <w:numPr>
                <w:ilvl w:val="1"/>
                <w:numId w:val="1"/>
              </w:numPr>
            </w:pPr>
            <w:r w:rsidRPr="002C480E">
              <w:t xml:space="preserve">within a disaggregated group of students; and/or  </w:t>
            </w:r>
          </w:p>
          <w:p w:rsidR="00D82A8C" w:rsidRPr="002C480E" w:rsidRDefault="00D82A8C" w:rsidP="00C33508">
            <w:pPr>
              <w:numPr>
                <w:ilvl w:val="1"/>
                <w:numId w:val="1"/>
              </w:numPr>
            </w:pPr>
            <w:r w:rsidRPr="002C480E">
              <w:t>within a sub-content area (</w:t>
            </w:r>
            <w:r w:rsidR="001E7AB4">
              <w:t>e.g.,</w:t>
            </w:r>
            <w:r w:rsidRPr="002C480E">
              <w:t xml:space="preserve"> number sense in mathematics).</w:t>
            </w:r>
          </w:p>
          <w:p w:rsidR="00D82A8C" w:rsidRPr="002C480E" w:rsidRDefault="00D82A8C" w:rsidP="00C33508">
            <w:pPr>
              <w:numPr>
                <w:ilvl w:val="0"/>
                <w:numId w:val="1"/>
              </w:numPr>
            </w:pPr>
            <w:r w:rsidRPr="002C480E">
              <w:t>Includes analysis of relevant local performance data</w:t>
            </w:r>
            <w:r w:rsidR="00292C29">
              <w:t xml:space="preserve"> (interim assessments, etc.)</w:t>
            </w:r>
            <w:r w:rsidRPr="002C480E">
              <w:t>.</w:t>
            </w:r>
          </w:p>
          <w:p w:rsidR="00D82A8C" w:rsidRPr="002C480E" w:rsidRDefault="00512700" w:rsidP="00C33508">
            <w:pPr>
              <w:numPr>
                <w:ilvl w:val="0"/>
                <w:numId w:val="1"/>
              </w:numPr>
            </w:pPr>
            <w:r w:rsidRPr="007F30C9">
              <w:t>To the degree that data are available</w:t>
            </w:r>
            <w:r>
              <w:t>, i</w:t>
            </w:r>
            <w:r w:rsidR="00D82A8C" w:rsidRPr="002C480E">
              <w:t xml:space="preserve">ncludes analysis of the performance of all students in the </w:t>
            </w:r>
            <w:r w:rsidR="00D82A8C">
              <w:t>district</w:t>
            </w:r>
            <w:r w:rsidR="00D82A8C" w:rsidRPr="002C480E">
              <w:t xml:space="preserve"> (e.g., preK-2, 11</w:t>
            </w:r>
            <w:r w:rsidR="00D82A8C" w:rsidRPr="002C480E">
              <w:rPr>
                <w:vertAlign w:val="superscript"/>
              </w:rPr>
              <w:t>th</w:t>
            </w:r>
            <w:r w:rsidR="00D82A8C" w:rsidRPr="002C480E">
              <w:t xml:space="preserve"> and 12</w:t>
            </w:r>
            <w:r w:rsidR="00D82A8C" w:rsidRPr="002C480E">
              <w:rPr>
                <w:vertAlign w:val="superscript"/>
              </w:rPr>
              <w:t>th</w:t>
            </w:r>
            <w:r w:rsidR="00D82A8C" w:rsidRPr="002C480E">
              <w:t>), and includes performance in subjects not tested by the state.</w:t>
            </w:r>
          </w:p>
        </w:tc>
      </w:tr>
      <w:tr w:rsidR="00D82A8C" w:rsidRPr="002C480E" w:rsidTr="001F48BF">
        <w:trPr>
          <w:cantSplit/>
          <w:trHeight w:val="720"/>
        </w:trPr>
        <w:tc>
          <w:tcPr>
            <w:tcW w:w="2178" w:type="dxa"/>
            <w:tcBorders>
              <w:right w:val="nil"/>
            </w:tcBorders>
            <w:shd w:val="clear" w:color="auto" w:fill="D3DFEE"/>
          </w:tcPr>
          <w:p w:rsidR="00D82A8C" w:rsidRPr="002C480E" w:rsidRDefault="00D82A8C" w:rsidP="004A6F25">
            <w:pPr>
              <w:rPr>
                <w:b/>
                <w:bCs/>
              </w:rPr>
            </w:pPr>
            <w:r w:rsidRPr="002C480E">
              <w:rPr>
                <w:b/>
                <w:bCs/>
              </w:rPr>
              <w:t xml:space="preserve">Priority </w:t>
            </w:r>
            <w:r w:rsidR="00512700">
              <w:rPr>
                <w:b/>
                <w:bCs/>
              </w:rPr>
              <w:t>Performance Challenges</w:t>
            </w:r>
          </w:p>
          <w:p w:rsidR="00D82A8C" w:rsidRPr="002C480E" w:rsidRDefault="00D82A8C" w:rsidP="004A6F25">
            <w:pPr>
              <w:rPr>
                <w:b/>
                <w:bCs/>
              </w:rPr>
            </w:pPr>
          </w:p>
          <w:p w:rsidR="00D82A8C" w:rsidRPr="002C480E" w:rsidRDefault="00D82A8C" w:rsidP="00512700">
            <w:pPr>
              <w:rPr>
                <w:bCs/>
                <w:i/>
              </w:rPr>
            </w:pPr>
            <w:r w:rsidRPr="002C480E">
              <w:rPr>
                <w:bCs/>
                <w:i/>
              </w:rPr>
              <w:t xml:space="preserve">Specific statements about the </w:t>
            </w:r>
            <w:r>
              <w:rPr>
                <w:bCs/>
                <w:i/>
              </w:rPr>
              <w:t>district</w:t>
            </w:r>
            <w:r w:rsidRPr="002C480E">
              <w:rPr>
                <w:bCs/>
                <w:i/>
              </w:rPr>
              <w:t xml:space="preserve">’s performance challenges (not budgeting, staffing, curriculum, instruction, etc.), with at least one priority identified for each performance indicator where the </w:t>
            </w:r>
            <w:r>
              <w:rPr>
                <w:bCs/>
                <w:i/>
              </w:rPr>
              <w:t>district</w:t>
            </w:r>
            <w:r w:rsidRPr="002C480E">
              <w:rPr>
                <w:bCs/>
                <w:i/>
              </w:rPr>
              <w:t xml:space="preserve"> did not meet federal, state and/or local expectations.</w:t>
            </w:r>
          </w:p>
        </w:tc>
        <w:tc>
          <w:tcPr>
            <w:tcW w:w="7297" w:type="dxa"/>
            <w:tcBorders>
              <w:left w:val="nil"/>
            </w:tcBorders>
            <w:shd w:val="clear" w:color="auto" w:fill="D3DFEE"/>
          </w:tcPr>
          <w:p w:rsidR="00D555C0" w:rsidRPr="00BA46C3" w:rsidRDefault="00D555C0" w:rsidP="00C33508">
            <w:pPr>
              <w:numPr>
                <w:ilvl w:val="0"/>
                <w:numId w:val="6"/>
              </w:numPr>
            </w:pPr>
            <w:r w:rsidRPr="00BA46C3">
              <w:t>Priority performance challenges descri</w:t>
            </w:r>
            <w:r w:rsidR="006163C6">
              <w:t>be the strategic focus for the district</w:t>
            </w:r>
            <w:r w:rsidRPr="00BA46C3">
              <w:t xml:space="preserve"> considering every sub-indicator for which the </w:t>
            </w:r>
            <w:r w:rsidR="006163C6">
              <w:t xml:space="preserve">district </w:t>
            </w:r>
            <w:r w:rsidRPr="00BA46C3">
              <w:t xml:space="preserve">did not meet expectations. </w:t>
            </w:r>
            <w:r w:rsidRPr="00D555C0">
              <w:rPr>
                <w:i/>
              </w:rPr>
              <w:t xml:space="preserve">Note: Priority performance challenges do </w:t>
            </w:r>
            <w:r w:rsidRPr="00D555C0">
              <w:rPr>
                <w:b/>
                <w:i/>
              </w:rPr>
              <w:t>not</w:t>
            </w:r>
            <w:r w:rsidRPr="00D555C0">
              <w:rPr>
                <w:i/>
              </w:rPr>
              <w:t xml:space="preserve"> need to be identified for </w:t>
            </w:r>
            <w:r w:rsidRPr="00D555C0">
              <w:rPr>
                <w:b/>
                <w:i/>
              </w:rPr>
              <w:t>every</w:t>
            </w:r>
            <w:r w:rsidRPr="00D555C0">
              <w:rPr>
                <w:i/>
              </w:rPr>
              <w:t xml:space="preserve"> sub-indicator (e.g., math achievement, ELL student growth in r</w:t>
            </w:r>
            <w:r w:rsidRPr="006163C6">
              <w:rPr>
                <w:i/>
              </w:rPr>
              <w:t>eading) for which the school did not meet expectations</w:t>
            </w:r>
            <w:r w:rsidR="006163C6" w:rsidRPr="006163C6">
              <w:rPr>
                <w:i/>
              </w:rPr>
              <w:t xml:space="preserve"> unless it is a specific program requirement (e.g., grantees on Title III  improvement that miss AMAO 3 will need to examine the missed AYP targets for ELL students)</w:t>
            </w:r>
            <w:r w:rsidRPr="006163C6">
              <w:rPr>
                <w:i/>
              </w:rPr>
              <w:t>.</w:t>
            </w:r>
            <w:r w:rsidRPr="00D555C0">
              <w:rPr>
                <w:i/>
              </w:rPr>
              <w:t xml:space="preserve"> </w:t>
            </w:r>
          </w:p>
          <w:p w:rsidR="00D82A8C" w:rsidRPr="002C480E" w:rsidRDefault="00D82A8C" w:rsidP="00C33508">
            <w:pPr>
              <w:numPr>
                <w:ilvl w:val="0"/>
                <w:numId w:val="6"/>
              </w:numPr>
            </w:pPr>
            <w:r w:rsidRPr="002C480E">
              <w:t>Identifies</w:t>
            </w:r>
            <w:r w:rsidRPr="007F30C9">
              <w:t xml:space="preserve"> </w:t>
            </w:r>
            <w:r w:rsidRPr="007F30C9">
              <w:rPr>
                <w:i/>
              </w:rPr>
              <w:t>at least one</w:t>
            </w:r>
            <w:r w:rsidRPr="002C480E">
              <w:rPr>
                <w:u w:val="single"/>
              </w:rPr>
              <w:t xml:space="preserve"> </w:t>
            </w:r>
            <w:r w:rsidRPr="002C480E">
              <w:t xml:space="preserve">priority </w:t>
            </w:r>
            <w:r w:rsidR="00512700">
              <w:t>performance challenge</w:t>
            </w:r>
            <w:r w:rsidRPr="002C480E">
              <w:t xml:space="preserve"> for every indicator (</w:t>
            </w:r>
            <w:r w:rsidR="007F30C9">
              <w:t xml:space="preserve">i.e., </w:t>
            </w:r>
            <w:r w:rsidRPr="002C480E">
              <w:t>achievement, growth, growth gaps, post</w:t>
            </w:r>
            <w:r>
              <w:t>-</w:t>
            </w:r>
            <w:r w:rsidRPr="002C480E">
              <w:t xml:space="preserve">secondary/workforce readiness) for which the </w:t>
            </w:r>
            <w:r>
              <w:t>district</w:t>
            </w:r>
            <w:r w:rsidR="00292C29">
              <w:t xml:space="preserve"> did not meet</w:t>
            </w:r>
            <w:r w:rsidR="00B15175">
              <w:t xml:space="preserve"> </w:t>
            </w:r>
            <w:r w:rsidRPr="002C480E">
              <w:t>state expectations</w:t>
            </w:r>
            <w:r w:rsidR="00292C29">
              <w:t xml:space="preserve"> (</w:t>
            </w:r>
            <w:r w:rsidR="007F30C9">
              <w:t xml:space="preserve">e.g., </w:t>
            </w:r>
            <w:r w:rsidR="00292C29">
              <w:t>approaching, did not meet on DPF)</w:t>
            </w:r>
            <w:r w:rsidRPr="002C480E">
              <w:t xml:space="preserve">. </w:t>
            </w:r>
          </w:p>
          <w:p w:rsidR="00D82A8C" w:rsidRPr="002C480E" w:rsidRDefault="00D82A8C" w:rsidP="00C33508">
            <w:pPr>
              <w:numPr>
                <w:ilvl w:val="0"/>
                <w:numId w:val="6"/>
              </w:numPr>
            </w:pPr>
            <w:r w:rsidRPr="002C480E">
              <w:t>Specifies priority disaggregated groups. Required for Title I AYP targets or safe-harbor targets as appropriate; recommended for all others.</w:t>
            </w:r>
          </w:p>
          <w:p w:rsidR="00D82A8C" w:rsidRPr="002C480E" w:rsidRDefault="00D82A8C" w:rsidP="00C33508">
            <w:pPr>
              <w:numPr>
                <w:ilvl w:val="0"/>
                <w:numId w:val="2"/>
              </w:numPr>
            </w:pPr>
            <w:r w:rsidRPr="002C480E">
              <w:t xml:space="preserve">Identifies priority </w:t>
            </w:r>
            <w:r w:rsidR="00512700">
              <w:t>performance challenges</w:t>
            </w:r>
            <w:r w:rsidRPr="002C480E">
              <w:t xml:space="preserve"> based on analysis of performance trends.</w:t>
            </w:r>
          </w:p>
          <w:p w:rsidR="00D82A8C" w:rsidRPr="002C480E" w:rsidRDefault="00D82A8C" w:rsidP="00C33508">
            <w:pPr>
              <w:numPr>
                <w:ilvl w:val="0"/>
                <w:numId w:val="1"/>
              </w:numPr>
            </w:pPr>
            <w:r w:rsidRPr="002C480E">
              <w:t>Specifies needs at a more detailed le</w:t>
            </w:r>
            <w:r>
              <w:t>vel than that presented in the D</w:t>
            </w:r>
            <w:r w:rsidRPr="002C480E">
              <w:t>PF report, for example:</w:t>
            </w:r>
          </w:p>
          <w:p w:rsidR="00D82A8C" w:rsidRPr="002C480E" w:rsidRDefault="00D82A8C" w:rsidP="00C33508">
            <w:pPr>
              <w:numPr>
                <w:ilvl w:val="1"/>
                <w:numId w:val="1"/>
              </w:numPr>
            </w:pPr>
            <w:r w:rsidRPr="002C480E">
              <w:t>for cohorts of students (3</w:t>
            </w:r>
            <w:r w:rsidRPr="002C480E">
              <w:rPr>
                <w:vertAlign w:val="superscript"/>
              </w:rPr>
              <w:t>rd</w:t>
            </w:r>
            <w:r w:rsidRPr="002C480E">
              <w:t xml:space="preserve"> grade in one year, 4</w:t>
            </w:r>
            <w:r w:rsidRPr="002C480E">
              <w:rPr>
                <w:vertAlign w:val="superscript"/>
              </w:rPr>
              <w:t>th</w:t>
            </w:r>
            <w:r w:rsidRPr="002C480E">
              <w:t xml:space="preserve"> grade in the next year, 5</w:t>
            </w:r>
            <w:r w:rsidRPr="002C480E">
              <w:rPr>
                <w:vertAlign w:val="superscript"/>
              </w:rPr>
              <w:t>th</w:t>
            </w:r>
            <w:r w:rsidRPr="002C480E">
              <w:t xml:space="preserve"> grade in the third year);</w:t>
            </w:r>
          </w:p>
          <w:p w:rsidR="00D82A8C" w:rsidRPr="002C480E" w:rsidRDefault="00D82A8C" w:rsidP="00C33508">
            <w:pPr>
              <w:numPr>
                <w:ilvl w:val="1"/>
                <w:numId w:val="1"/>
              </w:numPr>
            </w:pPr>
            <w:r w:rsidRPr="002C480E">
              <w:t>within a grade level over time (</w:t>
            </w:r>
            <w:r w:rsidR="001E7AB4">
              <w:t>e.g.,</w:t>
            </w:r>
            <w:r w:rsidRPr="002C480E">
              <w:t xml:space="preserve"> consistently not meeting expectations in 4</w:t>
            </w:r>
            <w:r w:rsidRPr="002C480E">
              <w:rPr>
                <w:vertAlign w:val="superscript"/>
              </w:rPr>
              <w:t>th</w:t>
            </w:r>
            <w:r w:rsidRPr="002C480E">
              <w:t xml:space="preserve"> grade mathematics for three years);</w:t>
            </w:r>
          </w:p>
          <w:p w:rsidR="00D82A8C" w:rsidRPr="002C480E" w:rsidRDefault="00D82A8C" w:rsidP="00C33508">
            <w:pPr>
              <w:numPr>
                <w:ilvl w:val="1"/>
                <w:numId w:val="1"/>
              </w:numPr>
            </w:pPr>
            <w:r w:rsidRPr="002C480E">
              <w:t xml:space="preserve">within a disaggregated group of students; and/or  </w:t>
            </w:r>
          </w:p>
          <w:p w:rsidR="00D82A8C" w:rsidRPr="002C480E" w:rsidRDefault="00D82A8C" w:rsidP="006163C6">
            <w:pPr>
              <w:numPr>
                <w:ilvl w:val="1"/>
                <w:numId w:val="1"/>
              </w:numPr>
            </w:pPr>
            <w:r w:rsidRPr="002C480E">
              <w:t>within a sub-content area (</w:t>
            </w:r>
            <w:r w:rsidR="001E7AB4">
              <w:t>e.g.,</w:t>
            </w:r>
            <w:r w:rsidRPr="002C480E">
              <w:t xml:space="preserve"> number sense in mathematics).</w:t>
            </w:r>
          </w:p>
        </w:tc>
      </w:tr>
      <w:tr w:rsidR="00D82A8C" w:rsidRPr="002C480E" w:rsidTr="001F48BF">
        <w:trPr>
          <w:cantSplit/>
          <w:trHeight w:val="720"/>
        </w:trPr>
        <w:tc>
          <w:tcPr>
            <w:tcW w:w="2178" w:type="dxa"/>
            <w:tcBorders>
              <w:right w:val="nil"/>
            </w:tcBorders>
          </w:tcPr>
          <w:p w:rsidR="00D82A8C" w:rsidRPr="002C480E" w:rsidRDefault="00D82A8C" w:rsidP="004A6F25">
            <w:pPr>
              <w:rPr>
                <w:b/>
                <w:bCs/>
              </w:rPr>
            </w:pPr>
            <w:r w:rsidRPr="002C480E">
              <w:rPr>
                <w:b/>
                <w:bCs/>
              </w:rPr>
              <w:lastRenderedPageBreak/>
              <w:t>Root Causes</w:t>
            </w:r>
          </w:p>
          <w:p w:rsidR="00D82A8C" w:rsidRPr="002C480E" w:rsidRDefault="00D82A8C" w:rsidP="004A6F25">
            <w:pPr>
              <w:rPr>
                <w:b/>
                <w:bCs/>
              </w:rPr>
            </w:pPr>
          </w:p>
          <w:p w:rsidR="00D82A8C" w:rsidRPr="002C480E" w:rsidRDefault="00D82A8C" w:rsidP="00EF3B2B">
            <w:pPr>
              <w:rPr>
                <w:bCs/>
                <w:i/>
              </w:rPr>
            </w:pPr>
            <w:r w:rsidRPr="002C480E">
              <w:rPr>
                <w:bCs/>
                <w:i/>
              </w:rPr>
              <w:t>Statements describing the deepest underlying cause, or causes, of performance challenges, that, if dissolved, would result in elimination, or substantial reduction of the performance challenge(s).</w:t>
            </w:r>
          </w:p>
        </w:tc>
        <w:tc>
          <w:tcPr>
            <w:tcW w:w="7297" w:type="dxa"/>
            <w:tcBorders>
              <w:left w:val="nil"/>
            </w:tcBorders>
          </w:tcPr>
          <w:p w:rsidR="00D82A8C" w:rsidRPr="002C480E" w:rsidRDefault="00D82A8C" w:rsidP="00C33508">
            <w:pPr>
              <w:numPr>
                <w:ilvl w:val="0"/>
                <w:numId w:val="3"/>
              </w:numPr>
            </w:pPr>
            <w:r w:rsidRPr="002C480E">
              <w:t xml:space="preserve">Identifies one root cause for each priority </w:t>
            </w:r>
            <w:r w:rsidR="00B15175">
              <w:t>performance challenge</w:t>
            </w:r>
            <w:r w:rsidR="00D555C0">
              <w:t xml:space="preserve"> </w:t>
            </w:r>
            <w:r w:rsidRPr="002C480E">
              <w:t xml:space="preserve">(the same root cause could apply to multiple </w:t>
            </w:r>
            <w:r w:rsidR="00B15175">
              <w:t>challenge</w:t>
            </w:r>
            <w:r w:rsidR="00D555C0">
              <w:t>s</w:t>
            </w:r>
            <w:r w:rsidRPr="002C480E">
              <w:t xml:space="preserve">, and should be listed next to each </w:t>
            </w:r>
            <w:r w:rsidR="00D555C0">
              <w:t xml:space="preserve">priority performance </w:t>
            </w:r>
            <w:r w:rsidR="00B15175">
              <w:t xml:space="preserve">challenge </w:t>
            </w:r>
            <w:r w:rsidRPr="002C480E">
              <w:t>to which it applies).</w:t>
            </w:r>
          </w:p>
          <w:p w:rsidR="00D82A8C" w:rsidRPr="002C480E" w:rsidRDefault="00D82A8C" w:rsidP="00C33508">
            <w:pPr>
              <w:numPr>
                <w:ilvl w:val="0"/>
                <w:numId w:val="3"/>
              </w:numPr>
            </w:pPr>
            <w:r w:rsidRPr="002C480E">
              <w:t xml:space="preserve">Specifies “causes” the </w:t>
            </w:r>
            <w:r>
              <w:t>district</w:t>
            </w:r>
            <w:r w:rsidRPr="002C480E">
              <w:t xml:space="preserve"> can control (e.g., the </w:t>
            </w:r>
            <w:r>
              <w:t>district</w:t>
            </w:r>
            <w:r w:rsidRPr="002C480E">
              <w:t xml:space="preserve"> does not provide additional support/interventions for </w:t>
            </w:r>
            <w:r>
              <w:t>schools on improvement</w:t>
            </w:r>
            <w:r w:rsidRPr="002C480E">
              <w:t>) rather than describing characteristics of students</w:t>
            </w:r>
            <w:r>
              <w:t xml:space="preserve"> in the schools</w:t>
            </w:r>
            <w:r w:rsidRPr="002C480E">
              <w:t xml:space="preserve"> (e.g.,</w:t>
            </w:r>
            <w:r>
              <w:t xml:space="preserve"> race, poverty</w:t>
            </w:r>
            <w:r w:rsidR="00B15175">
              <w:t>, student motivation</w:t>
            </w:r>
            <w:r w:rsidRPr="002C480E">
              <w:t xml:space="preserve">). </w:t>
            </w:r>
          </w:p>
          <w:p w:rsidR="00D82A8C" w:rsidRPr="002C480E" w:rsidRDefault="00D82A8C" w:rsidP="00C33508">
            <w:pPr>
              <w:numPr>
                <w:ilvl w:val="0"/>
                <w:numId w:val="3"/>
              </w:numPr>
            </w:pPr>
            <w:r w:rsidRPr="002C480E">
              <w:t xml:space="preserve">Reflects analysis of multiple types of data (in addition to performance data and including local data sources) in the identification </w:t>
            </w:r>
            <w:r w:rsidR="006163C6">
              <w:t xml:space="preserve">and verification </w:t>
            </w:r>
            <w:r w:rsidRPr="002C480E">
              <w:t>of root causes.</w:t>
            </w:r>
          </w:p>
          <w:p w:rsidR="00D82A8C" w:rsidRPr="002C480E" w:rsidRDefault="00D82A8C" w:rsidP="00C33508">
            <w:pPr>
              <w:numPr>
                <w:ilvl w:val="0"/>
                <w:numId w:val="3"/>
              </w:numPr>
            </w:pPr>
            <w:r w:rsidRPr="002C480E">
              <w:t xml:space="preserve">For </w:t>
            </w:r>
            <w:r>
              <w:t>district</w:t>
            </w:r>
            <w:r w:rsidRPr="002C480E">
              <w:t>s with performance that does not meet state expectations on a large number, or all</w:t>
            </w:r>
            <w:r w:rsidR="00D555C0">
              <w:t>,</w:t>
            </w:r>
            <w:r w:rsidRPr="002C480E">
              <w:t xml:space="preserve"> of the performance indicators/sub-indicators, explicitly considers broad, systemic root causes.</w:t>
            </w:r>
          </w:p>
          <w:p w:rsidR="00D82A8C" w:rsidRPr="002C480E" w:rsidRDefault="00D82A8C" w:rsidP="00EE1431"/>
        </w:tc>
      </w:tr>
    </w:tbl>
    <w:p w:rsidR="00D82A8C" w:rsidRPr="002C480E" w:rsidRDefault="00D82A8C"/>
    <w:p w:rsidR="00D82A8C" w:rsidRPr="001F48BF" w:rsidRDefault="00D82A8C" w:rsidP="001F48BF">
      <w:pPr>
        <w:pStyle w:val="Subtitle"/>
        <w:rPr>
          <w:sz w:val="28"/>
          <w:szCs w:val="28"/>
        </w:rPr>
      </w:pPr>
      <w:r w:rsidRPr="001F48BF">
        <w:rPr>
          <w:sz w:val="28"/>
          <w:szCs w:val="28"/>
        </w:rPr>
        <w:t>Section IV: Action Plans</w:t>
      </w:r>
    </w:p>
    <w:p w:rsidR="00D82A8C" w:rsidRPr="002C480E" w:rsidRDefault="00D82A8C" w:rsidP="006B0177">
      <w:r w:rsidRPr="002C480E">
        <w:t xml:space="preserve">Section IV of </w:t>
      </w:r>
      <w:r w:rsidR="003955F7">
        <w:t>the Unified Improvement Plan</w:t>
      </w:r>
      <w:r w:rsidRPr="002C480E">
        <w:t xml:space="preserve"> includes the </w:t>
      </w:r>
      <w:r>
        <w:rPr>
          <w:i/>
        </w:rPr>
        <w:t>District</w:t>
      </w:r>
      <w:r w:rsidRPr="002C480E">
        <w:rPr>
          <w:i/>
        </w:rPr>
        <w:t xml:space="preserve"> </w:t>
      </w:r>
      <w:r w:rsidR="00B15175">
        <w:rPr>
          <w:i/>
        </w:rPr>
        <w:t xml:space="preserve">Target Setting Form </w:t>
      </w:r>
      <w:r w:rsidRPr="002C480E">
        <w:t xml:space="preserve">and the </w:t>
      </w:r>
      <w:r w:rsidRPr="002C480E">
        <w:rPr>
          <w:i/>
        </w:rPr>
        <w:t xml:space="preserve">Action Planning </w:t>
      </w:r>
      <w:r w:rsidR="00B15175">
        <w:rPr>
          <w:i/>
        </w:rPr>
        <w:t>Form</w:t>
      </w:r>
      <w:r w:rsidRPr="002C480E">
        <w:t xml:space="preserve">.  The </w:t>
      </w:r>
      <w:r>
        <w:t>district</w:t>
      </w:r>
      <w:r w:rsidRPr="002C480E">
        <w:t xml:space="preserve"> </w:t>
      </w:r>
      <w:r w:rsidR="00B15175">
        <w:t>target setting form</w:t>
      </w:r>
      <w:r w:rsidRPr="002C480E">
        <w:t xml:space="preserve"> inclu</w:t>
      </w:r>
      <w:r w:rsidR="003955F7">
        <w:t>des col</w:t>
      </w:r>
      <w:r w:rsidR="00B15175">
        <w:t>umns for</w:t>
      </w:r>
      <w:r w:rsidR="006163C6">
        <w:t>: priority performance challenges,</w:t>
      </w:r>
      <w:r w:rsidR="00B15175">
        <w:t xml:space="preserve"> annual targets for two years, interim measures for the current year </w:t>
      </w:r>
      <w:r w:rsidRPr="002C480E">
        <w:t>and major improvement strategies. For each major improvement strategy, action planning worksheets include: the root cause(s) addressed by the major improvement strategy, action steps, resources, people responsible, timeline</w:t>
      </w:r>
      <w:r w:rsidR="006F6622">
        <w:t xml:space="preserve"> and status</w:t>
      </w:r>
      <w:r w:rsidRPr="002C480E">
        <w:t xml:space="preserve">. Quality criteria for each of the components of both of these worksheets are described. </w:t>
      </w:r>
      <w:r w:rsidR="006163C6">
        <w:t xml:space="preserve"> There should be a logical connection among the elements listed in the columns.</w:t>
      </w:r>
    </w:p>
    <w:p w:rsidR="00D82A8C" w:rsidRPr="002C480E" w:rsidRDefault="00D82A8C" w:rsidP="006B0177">
      <w:pPr>
        <w:pStyle w:val="Heading2"/>
        <w:spacing w:before="120"/>
        <w:rPr>
          <w:rFonts w:ascii="Calibri" w:hAnsi="Calibri"/>
          <w:i w:val="0"/>
          <w:sz w:val="22"/>
          <w:szCs w:val="22"/>
        </w:rPr>
      </w:pPr>
      <w:r>
        <w:rPr>
          <w:rFonts w:ascii="Calibri" w:hAnsi="Calibri"/>
          <w:i w:val="0"/>
          <w:sz w:val="22"/>
          <w:szCs w:val="22"/>
        </w:rPr>
        <w:t>District</w:t>
      </w:r>
      <w:r w:rsidR="00CA5ADF">
        <w:rPr>
          <w:rFonts w:ascii="Calibri" w:hAnsi="Calibri"/>
          <w:i w:val="0"/>
          <w:sz w:val="22"/>
          <w:szCs w:val="22"/>
        </w:rPr>
        <w:t>/Consortium</w:t>
      </w:r>
      <w:r w:rsidR="00B15175">
        <w:rPr>
          <w:rFonts w:ascii="Calibri" w:hAnsi="Calibri"/>
          <w:i w:val="0"/>
          <w:sz w:val="22"/>
          <w:szCs w:val="22"/>
        </w:rPr>
        <w:t xml:space="preserve"> </w:t>
      </w:r>
      <w:r w:rsidR="00CA5ADF">
        <w:rPr>
          <w:rFonts w:ascii="Calibri" w:hAnsi="Calibri"/>
          <w:i w:val="0"/>
          <w:sz w:val="22"/>
          <w:szCs w:val="22"/>
        </w:rPr>
        <w:t>Target Setting Form</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2088"/>
        <w:gridCol w:w="7488"/>
      </w:tblGrid>
      <w:tr w:rsidR="00D82A8C" w:rsidRPr="002C480E" w:rsidTr="006B0177">
        <w:tc>
          <w:tcPr>
            <w:tcW w:w="2088" w:type="dxa"/>
            <w:tcBorders>
              <w:right w:val="nil"/>
            </w:tcBorders>
            <w:shd w:val="clear" w:color="auto" w:fill="4F81BD"/>
          </w:tcPr>
          <w:p w:rsidR="00D82A8C" w:rsidRPr="002C480E" w:rsidRDefault="00D82A8C" w:rsidP="004A6F25">
            <w:pPr>
              <w:pStyle w:val="Heading2"/>
              <w:rPr>
                <w:rFonts w:ascii="Calibri" w:hAnsi="Calibri"/>
                <w:b w:val="0"/>
                <w:bCs w:val="0"/>
                <w:color w:val="FFFFFF"/>
                <w:sz w:val="22"/>
                <w:szCs w:val="22"/>
              </w:rPr>
            </w:pPr>
            <w:r w:rsidRPr="002C480E">
              <w:rPr>
                <w:rFonts w:ascii="Calibri" w:hAnsi="Calibri"/>
                <w:b w:val="0"/>
                <w:bCs w:val="0"/>
                <w:color w:val="FFFFFF"/>
                <w:sz w:val="22"/>
                <w:szCs w:val="22"/>
              </w:rPr>
              <w:br w:type="page"/>
            </w:r>
            <w:r w:rsidRPr="002C480E">
              <w:rPr>
                <w:rFonts w:ascii="Calibri" w:hAnsi="Calibri"/>
                <w:b w:val="0"/>
                <w:bCs w:val="0"/>
                <w:color w:val="FFFFFF"/>
                <w:sz w:val="22"/>
                <w:szCs w:val="22"/>
              </w:rPr>
              <w:br w:type="page"/>
              <w:t>Required Element</w:t>
            </w:r>
          </w:p>
          <w:p w:rsidR="00D82A8C" w:rsidRPr="002C480E" w:rsidRDefault="00D82A8C" w:rsidP="006B0177">
            <w:pPr>
              <w:rPr>
                <w:color w:val="FFFFFF"/>
              </w:rPr>
            </w:pPr>
            <w:r w:rsidRPr="002C480E">
              <w:rPr>
                <w:color w:val="FFFFFF"/>
              </w:rPr>
              <w:t>(definition)</w:t>
            </w:r>
          </w:p>
        </w:tc>
        <w:tc>
          <w:tcPr>
            <w:tcW w:w="7488" w:type="dxa"/>
            <w:tcBorders>
              <w:left w:val="nil"/>
            </w:tcBorders>
            <w:shd w:val="clear" w:color="auto" w:fill="4F81BD"/>
          </w:tcPr>
          <w:p w:rsidR="00D82A8C" w:rsidRPr="002C480E" w:rsidRDefault="00D82A8C" w:rsidP="004A6F25">
            <w:pPr>
              <w:pStyle w:val="Heading2"/>
              <w:rPr>
                <w:rFonts w:ascii="Calibri" w:hAnsi="Calibri"/>
                <w:b w:val="0"/>
                <w:bCs w:val="0"/>
                <w:color w:val="FFFFFF"/>
                <w:sz w:val="22"/>
                <w:szCs w:val="22"/>
              </w:rPr>
            </w:pPr>
            <w:r w:rsidRPr="002C480E">
              <w:rPr>
                <w:rFonts w:ascii="Calibri" w:hAnsi="Calibri"/>
                <w:b w:val="0"/>
                <w:bCs w:val="0"/>
                <w:color w:val="FFFFFF"/>
                <w:sz w:val="22"/>
                <w:szCs w:val="22"/>
              </w:rPr>
              <w:t>Criteria</w:t>
            </w:r>
          </w:p>
        </w:tc>
      </w:tr>
      <w:tr w:rsidR="00D82A8C" w:rsidRPr="002C480E" w:rsidTr="001F48BF">
        <w:trPr>
          <w:trHeight w:val="412"/>
        </w:trPr>
        <w:tc>
          <w:tcPr>
            <w:tcW w:w="2088" w:type="dxa"/>
            <w:tcBorders>
              <w:bottom w:val="nil"/>
              <w:right w:val="nil"/>
            </w:tcBorders>
            <w:shd w:val="clear" w:color="auto" w:fill="D3DFEE"/>
          </w:tcPr>
          <w:p w:rsidR="00D82A8C" w:rsidRPr="002C480E" w:rsidRDefault="001E5EFB" w:rsidP="004A6F25">
            <w:pPr>
              <w:rPr>
                <w:b/>
                <w:bCs/>
              </w:rPr>
            </w:pPr>
            <w:r>
              <w:rPr>
                <w:b/>
                <w:bCs/>
              </w:rPr>
              <w:t>Performance</w:t>
            </w:r>
            <w:r w:rsidR="00D82A8C" w:rsidRPr="002C480E">
              <w:rPr>
                <w:b/>
                <w:bCs/>
              </w:rPr>
              <w:t xml:space="preserve"> Targets </w:t>
            </w:r>
            <w:r w:rsidR="00D82A8C" w:rsidRPr="002C480E">
              <w:rPr>
                <w:b/>
                <w:bCs/>
              </w:rPr>
              <w:br/>
              <w:t>(2 years)</w:t>
            </w:r>
          </w:p>
          <w:p w:rsidR="00D82A8C" w:rsidRPr="002C480E" w:rsidRDefault="00D82A8C" w:rsidP="004A6F25">
            <w:pPr>
              <w:rPr>
                <w:b/>
                <w:bCs/>
              </w:rPr>
            </w:pPr>
          </w:p>
          <w:p w:rsidR="00D82A8C" w:rsidRPr="002C480E" w:rsidRDefault="00D82A8C" w:rsidP="004A6F25">
            <w:pPr>
              <w:rPr>
                <w:b/>
                <w:bCs/>
                <w:i/>
              </w:rPr>
            </w:pPr>
            <w:r w:rsidRPr="002C480E">
              <w:rPr>
                <w:i/>
              </w:rPr>
              <w:t>A specific, quantifiable performance outcome that defines what would constitute success in a performance indicator area within the designated period of time.</w:t>
            </w:r>
          </w:p>
          <w:p w:rsidR="00D82A8C" w:rsidRDefault="00D82A8C" w:rsidP="004A6F25">
            <w:pPr>
              <w:rPr>
                <w:bCs/>
              </w:rPr>
            </w:pPr>
          </w:p>
          <w:p w:rsidR="00D82A8C" w:rsidRDefault="00D82A8C" w:rsidP="004A6F25">
            <w:pPr>
              <w:rPr>
                <w:bCs/>
              </w:rPr>
            </w:pPr>
          </w:p>
          <w:p w:rsidR="00D82A8C" w:rsidRDefault="00D82A8C" w:rsidP="004A6F25">
            <w:pPr>
              <w:rPr>
                <w:bCs/>
              </w:rPr>
            </w:pPr>
          </w:p>
          <w:p w:rsidR="00D82A8C" w:rsidRDefault="00D82A8C" w:rsidP="004A6F25">
            <w:pPr>
              <w:rPr>
                <w:bCs/>
              </w:rPr>
            </w:pPr>
          </w:p>
          <w:p w:rsidR="00D82A8C" w:rsidRDefault="00D82A8C" w:rsidP="004A6F25">
            <w:pPr>
              <w:rPr>
                <w:bCs/>
              </w:rPr>
            </w:pPr>
          </w:p>
          <w:p w:rsidR="00D82A8C" w:rsidRDefault="00D82A8C" w:rsidP="004A6F25">
            <w:pPr>
              <w:rPr>
                <w:bCs/>
              </w:rPr>
            </w:pPr>
          </w:p>
          <w:p w:rsidR="00D82A8C" w:rsidRDefault="00D82A8C" w:rsidP="004A6F25">
            <w:pPr>
              <w:rPr>
                <w:bCs/>
              </w:rPr>
            </w:pPr>
          </w:p>
          <w:p w:rsidR="00D82A8C" w:rsidRPr="002C480E" w:rsidRDefault="00D82A8C" w:rsidP="004A6F25">
            <w:pPr>
              <w:rPr>
                <w:bCs/>
              </w:rPr>
            </w:pPr>
          </w:p>
        </w:tc>
        <w:tc>
          <w:tcPr>
            <w:tcW w:w="7488" w:type="dxa"/>
            <w:tcBorders>
              <w:left w:val="nil"/>
              <w:bottom w:val="dashSmallGap" w:sz="4" w:space="0" w:color="4F81BD"/>
            </w:tcBorders>
            <w:shd w:val="clear" w:color="auto" w:fill="D3DFEE"/>
          </w:tcPr>
          <w:p w:rsidR="00D82A8C" w:rsidRPr="002C480E" w:rsidRDefault="00D82A8C" w:rsidP="00C33508">
            <w:pPr>
              <w:numPr>
                <w:ilvl w:val="0"/>
                <w:numId w:val="4"/>
              </w:numPr>
            </w:pPr>
            <w:r w:rsidRPr="002C480E">
              <w:lastRenderedPageBreak/>
              <w:t>Specifies priority disaggregated groups for pre-established federal performance indicator targets or identifies safe-harbor targets as appropriate.</w:t>
            </w:r>
          </w:p>
          <w:p w:rsidR="00D82A8C" w:rsidRPr="002C480E" w:rsidRDefault="00D82A8C" w:rsidP="00C33508">
            <w:pPr>
              <w:numPr>
                <w:ilvl w:val="0"/>
                <w:numId w:val="4"/>
              </w:numPr>
            </w:pPr>
            <w:r w:rsidRPr="002C480E">
              <w:t xml:space="preserve">Specifies </w:t>
            </w:r>
            <w:r>
              <w:t xml:space="preserve">ambitious but attainable </w:t>
            </w:r>
            <w:r w:rsidRPr="002C480E">
              <w:t xml:space="preserve">annual target(s) for every performance indicator area (achievement, growth, growth gaps, and post-secondary/workforce readiness) where the </w:t>
            </w:r>
            <w:r>
              <w:t>district</w:t>
            </w:r>
            <w:r w:rsidRPr="002C480E">
              <w:t xml:space="preserve"> </w:t>
            </w:r>
            <w:r w:rsidR="001F48BF">
              <w:t>did not at least</w:t>
            </w:r>
            <w:r w:rsidRPr="002C480E">
              <w:t xml:space="preserve"> meet state expectations, including at least one annual target related to each priority </w:t>
            </w:r>
            <w:r w:rsidR="001E5EFB">
              <w:t>performance challenge</w:t>
            </w:r>
            <w:r w:rsidRPr="002C480E">
              <w:t xml:space="preserve">.  Title I </w:t>
            </w:r>
            <w:r>
              <w:t>district</w:t>
            </w:r>
            <w:r w:rsidRPr="002C480E">
              <w:t xml:space="preserve">s </w:t>
            </w:r>
            <w:r w:rsidR="001E5EFB">
              <w:t>are</w:t>
            </w:r>
            <w:r w:rsidRPr="002C480E">
              <w:t xml:space="preserve"> </w:t>
            </w:r>
            <w:r w:rsidR="00D555C0">
              <w:t>expected to include AYP targets</w:t>
            </w:r>
            <w:r w:rsidRPr="002C480E">
              <w:t xml:space="preserve"> as well.</w:t>
            </w:r>
          </w:p>
          <w:p w:rsidR="00D82A8C" w:rsidRPr="002C480E" w:rsidRDefault="00D82A8C" w:rsidP="00C33508">
            <w:pPr>
              <w:numPr>
                <w:ilvl w:val="0"/>
                <w:numId w:val="4"/>
              </w:numPr>
            </w:pPr>
            <w:r w:rsidRPr="002C480E">
              <w:t>Identifies the group or disaggregated group of students to which the target applies (</w:t>
            </w:r>
            <w:r w:rsidR="001E7AB4">
              <w:t>e.g.,</w:t>
            </w:r>
            <w:r w:rsidRPr="002C480E">
              <w:t xml:space="preserve"> 3</w:t>
            </w:r>
            <w:r w:rsidRPr="002C480E">
              <w:rPr>
                <w:vertAlign w:val="superscript"/>
              </w:rPr>
              <w:t>rd</w:t>
            </w:r>
            <w:r w:rsidRPr="002C480E">
              <w:t xml:space="preserve"> grade, English Language Learners).</w:t>
            </w:r>
          </w:p>
          <w:p w:rsidR="00D82A8C" w:rsidRPr="002C480E" w:rsidRDefault="00D82A8C" w:rsidP="00C33508">
            <w:pPr>
              <w:numPr>
                <w:ilvl w:val="0"/>
                <w:numId w:val="4"/>
              </w:numPr>
            </w:pPr>
            <w:r w:rsidRPr="002C480E">
              <w:t>Specifies the mea</w:t>
            </w:r>
            <w:r w:rsidR="003955F7">
              <w:t>sure (</w:t>
            </w:r>
            <w:r w:rsidR="001E7AB4">
              <w:t>e.g.,</w:t>
            </w:r>
            <w:r w:rsidR="003955F7">
              <w:t xml:space="preserve"> CSAP, CSAPA, Escritura</w:t>
            </w:r>
            <w:r w:rsidRPr="002C480E">
              <w:t>, Lectura, ACT Composite) and metric (</w:t>
            </w:r>
            <w:r w:rsidR="001E7AB4">
              <w:t>e.g.,</w:t>
            </w:r>
            <w:r w:rsidRPr="002C480E">
              <w:t xml:space="preserve"> % proficient or advanced, % partially proficient, median student growth percentile, % of students making catch-up growth</w:t>
            </w:r>
            <w:r>
              <w:t>, % reduction in dropout rate</w:t>
            </w:r>
            <w:r w:rsidRPr="002C480E">
              <w:t xml:space="preserve">) for which the target is being set. </w:t>
            </w:r>
          </w:p>
          <w:p w:rsidR="00D82A8C" w:rsidRPr="002C480E" w:rsidRDefault="00D82A8C" w:rsidP="00C33508">
            <w:pPr>
              <w:numPr>
                <w:ilvl w:val="0"/>
                <w:numId w:val="4"/>
              </w:numPr>
            </w:pPr>
            <w:r w:rsidRPr="002C480E">
              <w:t>Includes the required state metrics for that performance indicator; targets for additional metrics may also be identified.</w:t>
            </w:r>
          </w:p>
          <w:p w:rsidR="00D82A8C" w:rsidRPr="002C480E" w:rsidRDefault="00D82A8C" w:rsidP="00C33508">
            <w:pPr>
              <w:numPr>
                <w:ilvl w:val="0"/>
                <w:numId w:val="4"/>
              </w:numPr>
            </w:pPr>
            <w:r w:rsidRPr="002C480E">
              <w:t xml:space="preserve">Sets targets for increasing performance over time in a way that would, at a minimum, result in the </w:t>
            </w:r>
            <w:r>
              <w:t>district</w:t>
            </w:r>
            <w:r w:rsidRPr="002C480E">
              <w:t xml:space="preserve"> meeting state expectations within five years.</w:t>
            </w:r>
          </w:p>
          <w:p w:rsidR="00D82A8C" w:rsidRDefault="00D82A8C" w:rsidP="00C33508">
            <w:pPr>
              <w:numPr>
                <w:ilvl w:val="0"/>
                <w:numId w:val="4"/>
              </w:numPr>
            </w:pPr>
            <w:r w:rsidRPr="002C480E">
              <w:lastRenderedPageBreak/>
              <w:t xml:space="preserve">Provides specific, actionable </w:t>
            </w:r>
            <w:r>
              <w:t xml:space="preserve">targets which </w:t>
            </w:r>
            <w:r w:rsidR="001E5EFB">
              <w:t xml:space="preserve">may </w:t>
            </w:r>
            <w:r w:rsidRPr="002C480E">
              <w:t>be at the grade or disaggregated group level</w:t>
            </w:r>
            <w:r>
              <w:t xml:space="preserve"> (e.g., ELL students, truant students)</w:t>
            </w:r>
          </w:p>
          <w:p w:rsidR="00D82A8C" w:rsidRDefault="001E5EFB" w:rsidP="00CE34B5">
            <w:pPr>
              <w:numPr>
                <w:ilvl w:val="0"/>
                <w:numId w:val="4"/>
              </w:numPr>
            </w:pPr>
            <w:r>
              <w:t>May include targets</w:t>
            </w:r>
            <w:r w:rsidR="00D82A8C" w:rsidRPr="002C480E">
              <w:t xml:space="preserve"> associated with required district performance indicators (</w:t>
            </w:r>
            <w:r w:rsidR="001E7AB4">
              <w:t>e.g.,</w:t>
            </w:r>
            <w:r w:rsidR="00D82A8C" w:rsidRPr="002C480E">
              <w:t xml:space="preserve"> English language attainment,</w:t>
            </w:r>
            <w:r w:rsidR="00D82A8C">
              <w:t xml:space="preserve"> </w:t>
            </w:r>
            <w:r w:rsidR="00D82A8C" w:rsidRPr="002C480E">
              <w:t>educator quality</w:t>
            </w:r>
            <w:r w:rsidR="00D82A8C">
              <w:t>, and high school completion rates</w:t>
            </w:r>
            <w:r w:rsidR="00D82A8C" w:rsidRPr="002C480E">
              <w:t>).</w:t>
            </w:r>
          </w:p>
        </w:tc>
      </w:tr>
      <w:tr w:rsidR="00D82A8C" w:rsidRPr="002C480E" w:rsidTr="00CE34B5">
        <w:trPr>
          <w:trHeight w:val="1717"/>
        </w:trPr>
        <w:tc>
          <w:tcPr>
            <w:tcW w:w="2088" w:type="dxa"/>
            <w:tcBorders>
              <w:top w:val="nil"/>
              <w:right w:val="nil"/>
            </w:tcBorders>
            <w:shd w:val="clear" w:color="auto" w:fill="D3DFEE"/>
          </w:tcPr>
          <w:p w:rsidR="00D82A8C" w:rsidRPr="002C480E" w:rsidRDefault="00E90F82" w:rsidP="000547D9">
            <w:pPr>
              <w:jc w:val="center"/>
              <w:rPr>
                <w:b/>
                <w:bCs/>
              </w:rPr>
            </w:pPr>
            <w:r w:rsidRPr="00E90F82">
              <w:rPr>
                <w:noProof/>
              </w:rPr>
              <w:lastRenderedPageBreak/>
              <w:pict>
                <v:group id="_x0000_s1056" style="position:absolute;left:0;text-align:left;margin-left:18.75pt;margin-top:14pt;width:46.5pt;height:21.75pt;z-index:251656704;mso-position-horizontal-relative:text;mso-position-vertical-relative:text" coordorigin="2010,3030" coordsize="930,435">
                  <v:oval id="_x0000_s1057" style="position:absolute;left:2010;top:3090;width:915;height:315" fillcolor="#4f81bd" strokeweight="1.5pt">
                    <v:shadow on="t" type="perspective" color="#243f60" opacity=".5" offset="1pt" offset2="-1pt"/>
                  </v:oval>
                  <v:shape id="_x0000_s1058" type="#_x0000_t202" style="position:absolute;left:2025;top:3030;width:915;height:435" filled="f" stroked="f">
                    <v:textbox style="mso-next-textbox:#_x0000_s1058">
                      <w:txbxContent>
                        <w:p w:rsidR="001E5EFB" w:rsidRPr="00144352" w:rsidRDefault="001E5EFB" w:rsidP="000547D9">
                          <w:pPr>
                            <w:rPr>
                              <w:color w:val="FFFFFF"/>
                            </w:rPr>
                          </w:pPr>
                          <w:r w:rsidRPr="00144352">
                            <w:rPr>
                              <w:color w:val="FFFFFF"/>
                            </w:rPr>
                            <w:t>SGCP</w:t>
                          </w:r>
                        </w:p>
                      </w:txbxContent>
                    </v:textbox>
                  </v:shape>
                </v:group>
              </w:pict>
            </w:r>
          </w:p>
        </w:tc>
        <w:tc>
          <w:tcPr>
            <w:tcW w:w="7488" w:type="dxa"/>
            <w:tcBorders>
              <w:top w:val="dashSmallGap" w:sz="4" w:space="0" w:color="4F81BD"/>
              <w:left w:val="nil"/>
            </w:tcBorders>
            <w:shd w:val="clear" w:color="auto" w:fill="D3DFEE"/>
          </w:tcPr>
          <w:p w:rsidR="00D82A8C" w:rsidRDefault="00D82A8C" w:rsidP="00CE34B5">
            <w:pPr>
              <w:ind w:left="360"/>
            </w:pPr>
          </w:p>
          <w:p w:rsidR="00D82A8C" w:rsidRDefault="00D82A8C" w:rsidP="000547D9">
            <w:pPr>
              <w:numPr>
                <w:ilvl w:val="0"/>
                <w:numId w:val="4"/>
              </w:numPr>
            </w:pPr>
            <w:r>
              <w:t>Includes targets for each of the following:</w:t>
            </w:r>
          </w:p>
          <w:p w:rsidR="00D82A8C" w:rsidRDefault="00D82A8C" w:rsidP="000547D9">
            <w:pPr>
              <w:numPr>
                <w:ilvl w:val="1"/>
                <w:numId w:val="4"/>
              </w:numPr>
            </w:pPr>
            <w:r>
              <w:t>Reducing student truancy rate;</w:t>
            </w:r>
          </w:p>
          <w:p w:rsidR="00D82A8C" w:rsidRDefault="00D82A8C" w:rsidP="000547D9">
            <w:pPr>
              <w:numPr>
                <w:ilvl w:val="1"/>
                <w:numId w:val="4"/>
              </w:numPr>
            </w:pPr>
            <w:r>
              <w:t>Reducing dropout rate;</w:t>
            </w:r>
          </w:p>
          <w:p w:rsidR="00D82A8C" w:rsidRDefault="00D82A8C" w:rsidP="000547D9">
            <w:pPr>
              <w:numPr>
                <w:ilvl w:val="1"/>
                <w:numId w:val="4"/>
              </w:numPr>
            </w:pPr>
            <w:r>
              <w:t>Increasing student attendance rate;</w:t>
            </w:r>
          </w:p>
          <w:p w:rsidR="0085578A" w:rsidRDefault="00D82A8C" w:rsidP="0085578A">
            <w:pPr>
              <w:numPr>
                <w:ilvl w:val="1"/>
                <w:numId w:val="4"/>
              </w:numPr>
            </w:pPr>
            <w:r>
              <w:t>Increasing graduation rate;</w:t>
            </w:r>
          </w:p>
          <w:p w:rsidR="00D82A8C" w:rsidRPr="002C480E" w:rsidRDefault="00D82A8C" w:rsidP="0085578A">
            <w:pPr>
              <w:numPr>
                <w:ilvl w:val="1"/>
                <w:numId w:val="4"/>
              </w:numPr>
            </w:pPr>
            <w:r>
              <w:t>Increasing completion rate.</w:t>
            </w:r>
          </w:p>
        </w:tc>
      </w:tr>
      <w:tr w:rsidR="00D82A8C" w:rsidRPr="002C480E" w:rsidTr="006B0177">
        <w:trPr>
          <w:trHeight w:val="1440"/>
        </w:trPr>
        <w:tc>
          <w:tcPr>
            <w:tcW w:w="2088" w:type="dxa"/>
            <w:tcBorders>
              <w:right w:val="nil"/>
            </w:tcBorders>
          </w:tcPr>
          <w:p w:rsidR="00D82A8C" w:rsidRPr="002C480E" w:rsidRDefault="00D82A8C" w:rsidP="004A6F25">
            <w:pPr>
              <w:rPr>
                <w:b/>
                <w:bCs/>
              </w:rPr>
            </w:pPr>
            <w:r w:rsidRPr="002C480E">
              <w:rPr>
                <w:b/>
                <w:bCs/>
              </w:rPr>
              <w:t>Interim Measures</w:t>
            </w:r>
          </w:p>
          <w:p w:rsidR="00D82A8C" w:rsidRPr="002C480E" w:rsidRDefault="00D82A8C" w:rsidP="004A6F25">
            <w:pPr>
              <w:rPr>
                <w:b/>
                <w:bCs/>
              </w:rPr>
            </w:pPr>
          </w:p>
          <w:p w:rsidR="00D82A8C" w:rsidRPr="002C480E" w:rsidRDefault="00D82A8C" w:rsidP="008E582D">
            <w:pPr>
              <w:rPr>
                <w:b/>
                <w:bCs/>
                <w:i/>
              </w:rPr>
            </w:pPr>
            <w:r w:rsidRPr="002C480E">
              <w:rPr>
                <w:i/>
              </w:rPr>
              <w:t xml:space="preserve">A measure (and associated metric) of student performance used to measure performance in a specified indicator area, at more than one point during a school year. </w:t>
            </w:r>
          </w:p>
        </w:tc>
        <w:tc>
          <w:tcPr>
            <w:tcW w:w="7488" w:type="dxa"/>
            <w:tcBorders>
              <w:left w:val="nil"/>
            </w:tcBorders>
          </w:tcPr>
          <w:p w:rsidR="00D82A8C" w:rsidRPr="002C480E" w:rsidRDefault="00D82A8C" w:rsidP="00C33508">
            <w:pPr>
              <w:numPr>
                <w:ilvl w:val="0"/>
                <w:numId w:val="4"/>
              </w:numPr>
            </w:pPr>
            <w:r w:rsidRPr="002C480E">
              <w:t>For each annual target, describes what will be used to measure student performance to monitor progress in reaching the target.</w:t>
            </w:r>
          </w:p>
          <w:p w:rsidR="00D82A8C" w:rsidRPr="002C480E" w:rsidRDefault="00D82A8C" w:rsidP="00C33508">
            <w:pPr>
              <w:numPr>
                <w:ilvl w:val="0"/>
                <w:numId w:val="4"/>
              </w:numPr>
            </w:pPr>
            <w:r w:rsidRPr="002C480E">
              <w:t>Includes only measures that are administered/scored/reported more than once during the school year.</w:t>
            </w:r>
          </w:p>
          <w:p w:rsidR="00D82A8C" w:rsidRPr="002C480E" w:rsidRDefault="00D82A8C" w:rsidP="00C33508">
            <w:pPr>
              <w:numPr>
                <w:ilvl w:val="0"/>
                <w:numId w:val="4"/>
              </w:numPr>
            </w:pPr>
            <w:r w:rsidRPr="002C480E">
              <w:t>Specifies how frequently the data from the measure will be available.</w:t>
            </w:r>
          </w:p>
          <w:p w:rsidR="00D82A8C" w:rsidRPr="002C480E" w:rsidRDefault="00D82A8C" w:rsidP="00C33508">
            <w:pPr>
              <w:numPr>
                <w:ilvl w:val="0"/>
                <w:numId w:val="4"/>
              </w:numPr>
            </w:pPr>
            <w:r w:rsidRPr="002C480E">
              <w:t>Specifies metrics associated with each interim measure (</w:t>
            </w:r>
            <w:r w:rsidR="001E7AB4">
              <w:t>e.g.,</w:t>
            </w:r>
            <w:r w:rsidRPr="002C480E">
              <w:t xml:space="preserve"> NWEA RIT Growth scores, Acuity subscale proficiency scores).</w:t>
            </w:r>
          </w:p>
        </w:tc>
      </w:tr>
    </w:tbl>
    <w:p w:rsidR="00D82A8C" w:rsidRPr="002C480E" w:rsidRDefault="00D82A8C" w:rsidP="00980CAA"/>
    <w:p w:rsidR="00D82A8C" w:rsidRPr="002C480E" w:rsidRDefault="00D82A8C" w:rsidP="006B0177">
      <w:pPr>
        <w:pStyle w:val="Heading2"/>
        <w:rPr>
          <w:rFonts w:ascii="Calibri" w:hAnsi="Calibri"/>
          <w:i w:val="0"/>
          <w:sz w:val="22"/>
          <w:szCs w:val="22"/>
        </w:rPr>
      </w:pPr>
      <w:r w:rsidRPr="002C480E">
        <w:rPr>
          <w:rFonts w:ascii="Calibri" w:hAnsi="Calibri"/>
          <w:i w:val="0"/>
          <w:sz w:val="22"/>
          <w:szCs w:val="22"/>
        </w:rPr>
        <w:t xml:space="preserve">Action Planning </w:t>
      </w:r>
      <w:r w:rsidR="00CA5ADF">
        <w:rPr>
          <w:rFonts w:ascii="Calibri" w:hAnsi="Calibri"/>
          <w:i w:val="0"/>
          <w:sz w:val="22"/>
          <w:szCs w:val="22"/>
        </w:rPr>
        <w:t>Form</w:t>
      </w:r>
    </w:p>
    <w:tbl>
      <w:tblPr>
        <w:tblW w:w="9812"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2358"/>
        <w:gridCol w:w="7454"/>
      </w:tblGrid>
      <w:tr w:rsidR="00D82A8C" w:rsidRPr="002C480E" w:rsidTr="001F48BF">
        <w:trPr>
          <w:cantSplit/>
          <w:trHeight w:val="637"/>
          <w:tblHeader/>
        </w:trPr>
        <w:tc>
          <w:tcPr>
            <w:tcW w:w="2358" w:type="dxa"/>
            <w:tcBorders>
              <w:right w:val="nil"/>
            </w:tcBorders>
            <w:shd w:val="clear" w:color="auto" w:fill="4F81BD"/>
          </w:tcPr>
          <w:p w:rsidR="00D82A8C" w:rsidRPr="002C480E" w:rsidRDefault="00D82A8C" w:rsidP="0040410E">
            <w:pPr>
              <w:pStyle w:val="Heading2"/>
              <w:rPr>
                <w:rFonts w:ascii="Calibri" w:hAnsi="Calibri"/>
                <w:b w:val="0"/>
                <w:bCs w:val="0"/>
                <w:color w:val="FFFFFF"/>
                <w:sz w:val="22"/>
                <w:szCs w:val="22"/>
              </w:rPr>
            </w:pPr>
            <w:r w:rsidRPr="002C480E">
              <w:rPr>
                <w:rFonts w:ascii="Calibri" w:hAnsi="Calibri"/>
                <w:b w:val="0"/>
                <w:bCs w:val="0"/>
                <w:color w:val="FFFFFF"/>
                <w:sz w:val="22"/>
                <w:szCs w:val="22"/>
              </w:rPr>
              <w:br w:type="page"/>
            </w:r>
            <w:r w:rsidRPr="002C480E">
              <w:rPr>
                <w:rFonts w:ascii="Calibri" w:hAnsi="Calibri"/>
                <w:b w:val="0"/>
                <w:bCs w:val="0"/>
                <w:color w:val="FFFFFF"/>
                <w:sz w:val="22"/>
                <w:szCs w:val="22"/>
              </w:rPr>
              <w:br w:type="page"/>
              <w:t>Required Element</w:t>
            </w:r>
          </w:p>
          <w:p w:rsidR="00D82A8C" w:rsidRPr="002C480E" w:rsidRDefault="00D82A8C" w:rsidP="006B0177">
            <w:pPr>
              <w:rPr>
                <w:i/>
                <w:color w:val="FFFFFF"/>
              </w:rPr>
            </w:pPr>
            <w:r w:rsidRPr="002C480E">
              <w:rPr>
                <w:i/>
                <w:color w:val="FFFFFF"/>
              </w:rPr>
              <w:t>(definition)</w:t>
            </w:r>
          </w:p>
        </w:tc>
        <w:tc>
          <w:tcPr>
            <w:tcW w:w="7454" w:type="dxa"/>
            <w:tcBorders>
              <w:left w:val="nil"/>
            </w:tcBorders>
            <w:shd w:val="clear" w:color="auto" w:fill="4F81BD"/>
          </w:tcPr>
          <w:p w:rsidR="00D82A8C" w:rsidRPr="002C480E" w:rsidRDefault="00D82A8C" w:rsidP="0040410E">
            <w:pPr>
              <w:pStyle w:val="Heading2"/>
              <w:rPr>
                <w:rFonts w:ascii="Calibri" w:hAnsi="Calibri"/>
                <w:b w:val="0"/>
                <w:bCs w:val="0"/>
                <w:color w:val="FFFFFF"/>
                <w:sz w:val="22"/>
                <w:szCs w:val="22"/>
              </w:rPr>
            </w:pPr>
            <w:r w:rsidRPr="002C480E">
              <w:rPr>
                <w:rFonts w:ascii="Calibri" w:hAnsi="Calibri"/>
                <w:b w:val="0"/>
                <w:bCs w:val="0"/>
                <w:color w:val="FFFFFF"/>
                <w:sz w:val="22"/>
                <w:szCs w:val="22"/>
              </w:rPr>
              <w:t>Criteria</w:t>
            </w:r>
          </w:p>
        </w:tc>
      </w:tr>
      <w:tr w:rsidR="00D82A8C" w:rsidRPr="002C480E" w:rsidTr="001F48BF">
        <w:trPr>
          <w:cantSplit/>
          <w:trHeight w:val="1365"/>
        </w:trPr>
        <w:tc>
          <w:tcPr>
            <w:tcW w:w="2358" w:type="dxa"/>
            <w:tcBorders>
              <w:bottom w:val="nil"/>
              <w:right w:val="nil"/>
            </w:tcBorders>
            <w:shd w:val="clear" w:color="auto" w:fill="D3DFEE"/>
          </w:tcPr>
          <w:p w:rsidR="00D82A8C" w:rsidRPr="002C480E" w:rsidRDefault="00D82A8C" w:rsidP="00C85DC6">
            <w:pPr>
              <w:rPr>
                <w:b/>
                <w:bCs/>
              </w:rPr>
            </w:pPr>
            <w:r w:rsidRPr="002C480E">
              <w:rPr>
                <w:b/>
                <w:bCs/>
              </w:rPr>
              <w:t>Major Improvement Strategies</w:t>
            </w:r>
            <w:r w:rsidRPr="002C480E">
              <w:rPr>
                <w:b/>
                <w:bCs/>
              </w:rPr>
              <w:br/>
            </w:r>
          </w:p>
          <w:p w:rsidR="00D82A8C" w:rsidRPr="002C480E" w:rsidRDefault="00D82A8C" w:rsidP="008E582D">
            <w:pPr>
              <w:rPr>
                <w:bCs/>
                <w:i/>
              </w:rPr>
            </w:pPr>
            <w:bookmarkStart w:id="0" w:name="OLE_LINK1"/>
            <w:bookmarkStart w:id="1" w:name="OLE_LINK2"/>
            <w:r w:rsidRPr="002C480E">
              <w:rPr>
                <w:bCs/>
                <w:i/>
              </w:rPr>
              <w:t>An overall approach that describes a series of related actions intended to result in improvements in performance.</w:t>
            </w:r>
            <w:bookmarkEnd w:id="0"/>
            <w:bookmarkEnd w:id="1"/>
          </w:p>
        </w:tc>
        <w:tc>
          <w:tcPr>
            <w:tcW w:w="7454" w:type="dxa"/>
            <w:tcBorders>
              <w:left w:val="nil"/>
              <w:bottom w:val="dashSmallGap" w:sz="4" w:space="0" w:color="4F81BD"/>
            </w:tcBorders>
            <w:shd w:val="clear" w:color="auto" w:fill="D3DFEE"/>
          </w:tcPr>
          <w:p w:rsidR="00D82A8C" w:rsidRPr="002C480E" w:rsidRDefault="00047354" w:rsidP="00C33508">
            <w:pPr>
              <w:numPr>
                <w:ilvl w:val="0"/>
                <w:numId w:val="5"/>
              </w:numPr>
            </w:pPr>
            <w:r>
              <w:t>Describes an over</w:t>
            </w:r>
            <w:r w:rsidR="00D82A8C" w:rsidRPr="002C480E">
              <w:t>all research-based approach based on a theory about how p</w:t>
            </w:r>
            <w:r w:rsidR="007F30C9">
              <w:t>erformance will improve.  T</w:t>
            </w:r>
            <w:r w:rsidR="00D82A8C" w:rsidRPr="002C480E">
              <w:t>here must be evidence that the strategy has previously result</w:t>
            </w:r>
            <w:r w:rsidR="007F30C9">
              <w:t xml:space="preserve">ed in improvement in performance, such </w:t>
            </w:r>
            <w:r w:rsidR="00D82A8C" w:rsidRPr="002C480E">
              <w:t xml:space="preserve">as that specified by a priority </w:t>
            </w:r>
            <w:r>
              <w:t>performance challenge</w:t>
            </w:r>
            <w:r w:rsidR="00D82A8C" w:rsidRPr="002C480E">
              <w:t>.</w:t>
            </w:r>
          </w:p>
          <w:p w:rsidR="00D82A8C" w:rsidRPr="002C480E" w:rsidRDefault="00D82A8C" w:rsidP="00C33508">
            <w:pPr>
              <w:numPr>
                <w:ilvl w:val="0"/>
                <w:numId w:val="5"/>
              </w:numPr>
            </w:pPr>
            <w:r w:rsidRPr="002C480E">
              <w:t>Describes the specific change in practice that will result from the action steps (</w:t>
            </w:r>
            <w:r w:rsidR="001E7AB4">
              <w:t>e.g.,</w:t>
            </w:r>
            <w:r w:rsidRPr="002C480E">
              <w:t xml:space="preserve"> not “improve reading instruction,” rather “implement formative assessment practices in all 3</w:t>
            </w:r>
            <w:r w:rsidRPr="007923F6">
              <w:rPr>
                <w:vertAlign w:val="superscript"/>
              </w:rPr>
              <w:t>rd</w:t>
            </w:r>
            <w:r>
              <w:t xml:space="preserve"> </w:t>
            </w:r>
            <w:r w:rsidRPr="002C480E">
              <w:t>-</w:t>
            </w:r>
            <w:r>
              <w:t>10</w:t>
            </w:r>
            <w:r w:rsidRPr="007923F6">
              <w:rPr>
                <w:vertAlign w:val="superscript"/>
              </w:rPr>
              <w:t>th</w:t>
            </w:r>
            <w:r>
              <w:t xml:space="preserve"> </w:t>
            </w:r>
            <w:r w:rsidRPr="002C480E">
              <w:t>grade classrooms during reading instruction”).</w:t>
            </w:r>
          </w:p>
          <w:p w:rsidR="00D82A8C" w:rsidRPr="002C480E" w:rsidRDefault="00D82A8C" w:rsidP="00C33508">
            <w:pPr>
              <w:numPr>
                <w:ilvl w:val="0"/>
                <w:numId w:val="5"/>
              </w:numPr>
            </w:pPr>
            <w:r w:rsidRPr="002C480E">
              <w:t>Explicitly responds to the identified root cause(s).</w:t>
            </w:r>
          </w:p>
          <w:p w:rsidR="00D82A8C" w:rsidRDefault="00D82A8C" w:rsidP="00C33508">
            <w:pPr>
              <w:numPr>
                <w:ilvl w:val="0"/>
                <w:numId w:val="5"/>
              </w:numPr>
            </w:pPr>
            <w:r w:rsidRPr="002C480E">
              <w:t>Specifically addresses the needed instructional improvement</w:t>
            </w:r>
            <w:r w:rsidR="00047354">
              <w:t>s</w:t>
            </w:r>
            <w:r w:rsidRPr="002C480E">
              <w:t>.</w:t>
            </w:r>
          </w:p>
          <w:p w:rsidR="00D82A8C" w:rsidRPr="002C480E" w:rsidRDefault="00D82A8C" w:rsidP="00C33508">
            <w:pPr>
              <w:numPr>
                <w:ilvl w:val="0"/>
                <w:numId w:val="5"/>
              </w:numPr>
            </w:pPr>
            <w:r>
              <w:t>I</w:t>
            </w:r>
            <w:r w:rsidRPr="002C480E">
              <w:t>nclude</w:t>
            </w:r>
            <w:r>
              <w:t>s</w:t>
            </w:r>
            <w:r w:rsidRPr="002C480E">
              <w:t xml:space="preserve"> </w:t>
            </w:r>
            <w:r>
              <w:t xml:space="preserve">strategies </w:t>
            </w:r>
            <w:r w:rsidRPr="002C480E">
              <w:t>associated with required district performance indicators (</w:t>
            </w:r>
            <w:r w:rsidR="001E7AB4">
              <w:t>e.g.,</w:t>
            </w:r>
            <w:r w:rsidRPr="002C480E">
              <w:t xml:space="preserve"> English language attainment,</w:t>
            </w:r>
            <w:r>
              <w:t xml:space="preserve"> </w:t>
            </w:r>
            <w:r w:rsidRPr="002C480E">
              <w:t>educator quality</w:t>
            </w:r>
            <w:r>
              <w:t xml:space="preserve"> and high school completion rates</w:t>
            </w:r>
            <w:r w:rsidRPr="002C480E">
              <w:t>).</w:t>
            </w:r>
          </w:p>
        </w:tc>
      </w:tr>
      <w:tr w:rsidR="00D82A8C" w:rsidRPr="002C480E" w:rsidTr="001F48BF">
        <w:trPr>
          <w:cantSplit/>
          <w:trHeight w:val="935"/>
        </w:trPr>
        <w:tc>
          <w:tcPr>
            <w:tcW w:w="2358" w:type="dxa"/>
            <w:tcBorders>
              <w:top w:val="nil"/>
              <w:bottom w:val="nil"/>
              <w:right w:val="nil"/>
            </w:tcBorders>
            <w:shd w:val="clear" w:color="auto" w:fill="D3DFEE"/>
          </w:tcPr>
          <w:p w:rsidR="00D82A8C" w:rsidRPr="002C480E" w:rsidRDefault="00E90F82" w:rsidP="00C85DC6">
            <w:pPr>
              <w:rPr>
                <w:b/>
                <w:bCs/>
              </w:rPr>
            </w:pPr>
            <w:r w:rsidRPr="00E90F82">
              <w:rPr>
                <w:noProof/>
              </w:rPr>
              <w:lastRenderedPageBreak/>
              <w:pict>
                <v:group id="_x0000_s1059" style="position:absolute;margin-left:22.5pt;margin-top:23.2pt;width:47.25pt;height:21.75pt;z-index:251657728;mso-position-horizontal-relative:text;mso-position-vertical-relative:text" coordorigin="1950,7201" coordsize="945,435">
                  <v:oval id="_x0000_s1060" style="position:absolute;left:1980;top:7261;width:915;height:315" fillcolor="#e5b8b7" strokeweight="1.5pt">
                    <v:shadow on="t" type="perspective" color="#243f60" opacity=".5" offset="1pt" offset2="-1pt"/>
                  </v:oval>
                  <v:shape id="_x0000_s1061" type="#_x0000_t202" style="position:absolute;left:1950;top:7201;width:915;height:435" filled="f" stroked="f">
                    <v:textbox style="mso-next-textbox:#_x0000_s1061">
                      <w:txbxContent>
                        <w:p w:rsidR="001E5EFB" w:rsidRDefault="001E5EFB" w:rsidP="00657B9F">
                          <w:pPr>
                            <w:jc w:val="center"/>
                          </w:pPr>
                          <w:r>
                            <w:t>St - T</w:t>
                          </w:r>
                        </w:p>
                      </w:txbxContent>
                    </v:textbox>
                  </v:shape>
                </v:group>
              </w:pict>
            </w:r>
          </w:p>
        </w:tc>
        <w:tc>
          <w:tcPr>
            <w:tcW w:w="7454" w:type="dxa"/>
            <w:tcBorders>
              <w:top w:val="dashSmallGap" w:sz="4" w:space="0" w:color="4F81BD"/>
              <w:left w:val="nil"/>
              <w:bottom w:val="dashSmallGap" w:sz="4" w:space="0" w:color="4F81BD"/>
            </w:tcBorders>
            <w:shd w:val="clear" w:color="auto" w:fill="D3DFEE"/>
          </w:tcPr>
          <w:p w:rsidR="00D82A8C" w:rsidRDefault="00D82A8C" w:rsidP="00657B9F">
            <w:pPr>
              <w:ind w:left="360"/>
            </w:pPr>
          </w:p>
          <w:p w:rsidR="00D82A8C" w:rsidRDefault="00D82A8C" w:rsidP="00C33508">
            <w:pPr>
              <w:numPr>
                <w:ilvl w:val="0"/>
                <w:numId w:val="5"/>
              </w:numPr>
            </w:pPr>
            <w:r>
              <w:t>Must include at least one of the following approaches:</w:t>
            </w:r>
          </w:p>
          <w:p w:rsidR="00D82A8C" w:rsidRDefault="00D82A8C" w:rsidP="00C33508">
            <w:pPr>
              <w:numPr>
                <w:ilvl w:val="0"/>
                <w:numId w:val="10"/>
              </w:numPr>
              <w:ind w:left="882" w:hanging="450"/>
            </w:pPr>
            <w:r>
              <w:t>Turnaround Partner</w:t>
            </w:r>
          </w:p>
          <w:p w:rsidR="00D82A8C" w:rsidRDefault="00D82A8C" w:rsidP="00C33508">
            <w:pPr>
              <w:numPr>
                <w:ilvl w:val="0"/>
                <w:numId w:val="10"/>
              </w:numPr>
              <w:ind w:left="882" w:hanging="450"/>
            </w:pPr>
            <w:r>
              <w:t>District Management</w:t>
            </w:r>
          </w:p>
          <w:p w:rsidR="00D82A8C" w:rsidRDefault="00D82A8C" w:rsidP="00C33508">
            <w:pPr>
              <w:numPr>
                <w:ilvl w:val="0"/>
                <w:numId w:val="10"/>
              </w:numPr>
              <w:ind w:left="882" w:hanging="450"/>
            </w:pPr>
            <w:r>
              <w:t xml:space="preserve">Innovation </w:t>
            </w:r>
            <w:r w:rsidR="0072122D">
              <w:t>Designation</w:t>
            </w:r>
          </w:p>
          <w:p w:rsidR="00D82A8C" w:rsidRDefault="00D82A8C" w:rsidP="00C33508">
            <w:pPr>
              <w:numPr>
                <w:ilvl w:val="0"/>
                <w:numId w:val="10"/>
              </w:numPr>
              <w:ind w:left="882" w:hanging="450"/>
            </w:pPr>
            <w:r>
              <w:t>School Management Contract</w:t>
            </w:r>
          </w:p>
          <w:p w:rsidR="00D82A8C" w:rsidRDefault="00D82A8C" w:rsidP="00C33508">
            <w:pPr>
              <w:numPr>
                <w:ilvl w:val="0"/>
                <w:numId w:val="10"/>
              </w:numPr>
              <w:ind w:left="882" w:hanging="450"/>
            </w:pPr>
            <w:r>
              <w:t>Charter Conversion</w:t>
            </w:r>
          </w:p>
          <w:p w:rsidR="00D82A8C" w:rsidRDefault="00D82A8C" w:rsidP="00C33508">
            <w:pPr>
              <w:numPr>
                <w:ilvl w:val="0"/>
                <w:numId w:val="10"/>
              </w:numPr>
              <w:ind w:left="882" w:hanging="450"/>
            </w:pPr>
            <w:r>
              <w:t>Restructure Charter</w:t>
            </w:r>
          </w:p>
          <w:p w:rsidR="0072122D" w:rsidRDefault="0072122D" w:rsidP="00C33508">
            <w:pPr>
              <w:numPr>
                <w:ilvl w:val="0"/>
                <w:numId w:val="10"/>
              </w:numPr>
              <w:ind w:left="882" w:hanging="450"/>
            </w:pPr>
            <w:r>
              <w:t>School Closure</w:t>
            </w:r>
          </w:p>
          <w:p w:rsidR="00D82A8C" w:rsidRPr="002C480E" w:rsidRDefault="00D82A8C" w:rsidP="00CE34B5">
            <w:pPr>
              <w:numPr>
                <w:ilvl w:val="0"/>
                <w:numId w:val="10"/>
              </w:numPr>
              <w:ind w:left="882" w:hanging="450"/>
            </w:pPr>
            <w:r>
              <w:t>Other Strategy of Comparable or Greater Effect</w:t>
            </w:r>
          </w:p>
        </w:tc>
      </w:tr>
      <w:tr w:rsidR="00D82A8C" w:rsidRPr="002C480E" w:rsidTr="001F48BF">
        <w:trPr>
          <w:cantSplit/>
          <w:trHeight w:val="1250"/>
        </w:trPr>
        <w:tc>
          <w:tcPr>
            <w:tcW w:w="2358" w:type="dxa"/>
            <w:tcBorders>
              <w:top w:val="nil"/>
              <w:bottom w:val="nil"/>
              <w:right w:val="nil"/>
            </w:tcBorders>
            <w:shd w:val="clear" w:color="auto" w:fill="D3DFEE"/>
          </w:tcPr>
          <w:p w:rsidR="00D82A8C" w:rsidRDefault="00E90F82" w:rsidP="00C85DC6">
            <w:pPr>
              <w:rPr>
                <w:b/>
                <w:bCs/>
                <w:noProof/>
              </w:rPr>
            </w:pPr>
            <w:r w:rsidRPr="00E90F82">
              <w:rPr>
                <w:noProof/>
              </w:rPr>
              <w:pict>
                <v:group id="_x0000_s1062" style="position:absolute;margin-left:24.75pt;margin-top:17.95pt;width:46.5pt;height:21.75pt;z-index:251658752;mso-position-horizontal-relative:text;mso-position-vertical-relative:text" coordorigin="2010,3030" coordsize="930,435">
                  <v:oval id="_x0000_s1063" style="position:absolute;left:2010;top:3090;width:915;height:315" fillcolor="#4f81bd" strokeweight="1.5pt">
                    <v:shadow on="t" type="perspective" color="#243f60" opacity=".5" offset="1pt" offset2="-1pt"/>
                  </v:oval>
                  <v:shape id="_x0000_s1064" type="#_x0000_t202" style="position:absolute;left:2025;top:3030;width:915;height:435" filled="f" stroked="f">
                    <v:textbox style="mso-next-textbox:#_x0000_s1064">
                      <w:txbxContent>
                        <w:p w:rsidR="001E5EFB" w:rsidRPr="00144352" w:rsidRDefault="001E5EFB" w:rsidP="00CE34B5">
                          <w:pPr>
                            <w:rPr>
                              <w:color w:val="FFFFFF"/>
                            </w:rPr>
                          </w:pPr>
                          <w:r w:rsidRPr="00144352">
                            <w:rPr>
                              <w:color w:val="FFFFFF"/>
                            </w:rPr>
                            <w:t>SGCP</w:t>
                          </w:r>
                        </w:p>
                      </w:txbxContent>
                    </v:textbox>
                  </v:shape>
                </v:group>
              </w:pict>
            </w:r>
          </w:p>
        </w:tc>
        <w:tc>
          <w:tcPr>
            <w:tcW w:w="7454" w:type="dxa"/>
            <w:tcBorders>
              <w:top w:val="dashSmallGap" w:sz="4" w:space="0" w:color="4F81BD"/>
              <w:left w:val="nil"/>
              <w:bottom w:val="dashSmallGap" w:sz="4" w:space="0" w:color="4F81BD"/>
            </w:tcBorders>
            <w:shd w:val="clear" w:color="auto" w:fill="D3DFEE"/>
          </w:tcPr>
          <w:p w:rsidR="00D82A8C" w:rsidRDefault="00D82A8C" w:rsidP="00CE34B5">
            <w:pPr>
              <w:ind w:left="72"/>
            </w:pPr>
          </w:p>
          <w:p w:rsidR="00D82A8C" w:rsidRDefault="00D82A8C" w:rsidP="00CE34B5">
            <w:pPr>
              <w:pStyle w:val="ListParagraph"/>
              <w:numPr>
                <w:ilvl w:val="0"/>
                <w:numId w:val="5"/>
              </w:numPr>
            </w:pPr>
            <w:r>
              <w:t>Identifies at least one major improvement strategy that is designed to result in (1) improved dropout prevention, including student attendance, and (2) improved student engagement and re-engagement.</w:t>
            </w:r>
          </w:p>
        </w:tc>
      </w:tr>
      <w:tr w:rsidR="00D82A8C" w:rsidRPr="002C480E" w:rsidTr="001F48BF">
        <w:trPr>
          <w:cantSplit/>
          <w:trHeight w:val="890"/>
        </w:trPr>
        <w:tc>
          <w:tcPr>
            <w:tcW w:w="2358" w:type="dxa"/>
            <w:tcBorders>
              <w:top w:val="nil"/>
              <w:bottom w:val="nil"/>
              <w:right w:val="nil"/>
            </w:tcBorders>
            <w:shd w:val="clear" w:color="auto" w:fill="D3DFEE"/>
          </w:tcPr>
          <w:p w:rsidR="00D82A8C" w:rsidRDefault="00E90F82" w:rsidP="00C85DC6">
            <w:pPr>
              <w:rPr>
                <w:b/>
                <w:bCs/>
                <w:noProof/>
              </w:rPr>
            </w:pPr>
            <w:r w:rsidRPr="00E90F82">
              <w:rPr>
                <w:noProof/>
              </w:rPr>
              <w:pict>
                <v:group id="_x0000_s1065" style="position:absolute;margin-left:24.75pt;margin-top:7.95pt;width:47.25pt;height:21.75pt;z-index:251663872;mso-position-horizontal-relative:text;mso-position-vertical-relative:text" coordorigin="1950,9398" coordsize="945,435">
                  <v:oval id="_x0000_s1066" style="position:absolute;left:1980;top:9443;width:915;height:315" fillcolor="#92d050" strokeweight="1.5pt">
                    <v:shadow on="t" type="perspective" color="#243f60" opacity=".5" offset="1pt" offset2="-1pt"/>
                  </v:oval>
                  <v:shape id="_x0000_s1067" type="#_x0000_t202" style="position:absolute;left:1950;top:9398;width:915;height:435" filled="f" stroked="f">
                    <v:textbox style="mso-next-textbox:#_x0000_s1067">
                      <w:txbxContent>
                        <w:p w:rsidR="001E5EFB" w:rsidRDefault="001E5EFB" w:rsidP="00601124">
                          <w:pPr>
                            <w:jc w:val="center"/>
                          </w:pPr>
                          <w:r>
                            <w:t>TI-CA</w:t>
                          </w:r>
                        </w:p>
                      </w:txbxContent>
                    </v:textbox>
                  </v:shape>
                </v:group>
              </w:pict>
            </w:r>
          </w:p>
        </w:tc>
        <w:tc>
          <w:tcPr>
            <w:tcW w:w="7454" w:type="dxa"/>
            <w:tcBorders>
              <w:top w:val="dashSmallGap" w:sz="4" w:space="0" w:color="4F81BD"/>
              <w:left w:val="nil"/>
              <w:bottom w:val="dashSmallGap" w:sz="4" w:space="0" w:color="4F81BD"/>
            </w:tcBorders>
            <w:shd w:val="clear" w:color="auto" w:fill="D3DFEE"/>
          </w:tcPr>
          <w:p w:rsidR="00D82A8C" w:rsidRDefault="00D82A8C" w:rsidP="00601124">
            <w:pPr>
              <w:ind w:left="72"/>
            </w:pPr>
          </w:p>
          <w:p w:rsidR="00D82A8C" w:rsidRPr="006F4CBF" w:rsidRDefault="00D82A8C" w:rsidP="00601124">
            <w:pPr>
              <w:pStyle w:val="ListParagraph"/>
              <w:numPr>
                <w:ilvl w:val="0"/>
                <w:numId w:val="5"/>
              </w:numPr>
            </w:pPr>
            <w:r w:rsidRPr="006F4CBF">
              <w:t>Major improvement strategy(s) will directly respond to serious instructional, managerial, and organizational problems in the LEA that jeopardize the likelihood that students will achieve proficiency in the core academic subjects of reading and mathematics.</w:t>
            </w:r>
          </w:p>
        </w:tc>
      </w:tr>
      <w:tr w:rsidR="00D82A8C" w:rsidRPr="002C480E" w:rsidTr="001F48BF">
        <w:trPr>
          <w:cantSplit/>
          <w:trHeight w:val="674"/>
        </w:trPr>
        <w:tc>
          <w:tcPr>
            <w:tcW w:w="2358" w:type="dxa"/>
            <w:tcBorders>
              <w:top w:val="nil"/>
              <w:right w:val="nil"/>
            </w:tcBorders>
            <w:shd w:val="clear" w:color="auto" w:fill="D3DFEE"/>
          </w:tcPr>
          <w:p w:rsidR="00D82A8C" w:rsidRDefault="00E90F82" w:rsidP="00C85DC6">
            <w:pPr>
              <w:rPr>
                <w:b/>
                <w:bCs/>
                <w:noProof/>
              </w:rPr>
            </w:pPr>
            <w:r w:rsidRPr="00E90F82">
              <w:rPr>
                <w:noProof/>
              </w:rPr>
              <w:pict>
                <v:group id="_x0000_s1068" style="position:absolute;margin-left:24.75pt;margin-top:4.7pt;width:47.25pt;height:21.75pt;z-index:251664896;mso-position-horizontal-relative:text;mso-position-vertical-relative:text" coordorigin="1950,9398" coordsize="945,435">
                  <v:oval id="_x0000_s1069" style="position:absolute;left:1980;top:9443;width:915;height:315" fillcolor="#92d050" strokeweight="1.5pt">
                    <v:shadow on="t" type="perspective" color="#243f60" opacity=".5" offset="1pt" offset2="-1pt"/>
                  </v:oval>
                  <v:shape id="_x0000_s1070" type="#_x0000_t202" style="position:absolute;left:1950;top:9398;width:915;height:435" filled="f" stroked="f">
                    <v:textbox style="mso-next-textbox:#_x0000_s1070">
                      <w:txbxContent>
                        <w:p w:rsidR="001E5EFB" w:rsidRDefault="001E5EFB" w:rsidP="00601124">
                          <w:pPr>
                            <w:jc w:val="center"/>
                          </w:pPr>
                          <w:r>
                            <w:t>TI-CA4</w:t>
                          </w:r>
                        </w:p>
                      </w:txbxContent>
                    </v:textbox>
                  </v:shape>
                </v:group>
              </w:pict>
            </w:r>
          </w:p>
        </w:tc>
        <w:tc>
          <w:tcPr>
            <w:tcW w:w="7454" w:type="dxa"/>
            <w:tcBorders>
              <w:top w:val="dashSmallGap" w:sz="4" w:space="0" w:color="4F81BD"/>
              <w:left w:val="nil"/>
            </w:tcBorders>
            <w:shd w:val="clear" w:color="auto" w:fill="D3DFEE"/>
          </w:tcPr>
          <w:p w:rsidR="00D82A8C" w:rsidRDefault="00D82A8C" w:rsidP="00601124">
            <w:pPr>
              <w:pStyle w:val="ListParagraph"/>
              <w:ind w:left="360"/>
            </w:pPr>
          </w:p>
          <w:p w:rsidR="00D82A8C" w:rsidRDefault="00D82A8C" w:rsidP="00601124">
            <w:pPr>
              <w:pStyle w:val="ListParagraph"/>
              <w:numPr>
                <w:ilvl w:val="0"/>
                <w:numId w:val="5"/>
              </w:numPr>
            </w:pPr>
            <w:r>
              <w:t>Plan goes beyond previous efforts to impact student achievement.</w:t>
            </w:r>
          </w:p>
        </w:tc>
      </w:tr>
      <w:tr w:rsidR="00D82A8C" w:rsidRPr="002C480E" w:rsidTr="001F48BF">
        <w:trPr>
          <w:cantSplit/>
          <w:trHeight w:val="1420"/>
        </w:trPr>
        <w:tc>
          <w:tcPr>
            <w:tcW w:w="2358" w:type="dxa"/>
            <w:tcBorders>
              <w:bottom w:val="nil"/>
              <w:right w:val="nil"/>
            </w:tcBorders>
          </w:tcPr>
          <w:p w:rsidR="00D82A8C" w:rsidRPr="002C480E" w:rsidRDefault="00D82A8C" w:rsidP="00C85DC6">
            <w:pPr>
              <w:rPr>
                <w:b/>
                <w:bCs/>
              </w:rPr>
            </w:pPr>
            <w:r w:rsidRPr="002C480E">
              <w:rPr>
                <w:b/>
                <w:bCs/>
              </w:rPr>
              <w:t xml:space="preserve">Action Steps </w:t>
            </w:r>
          </w:p>
          <w:p w:rsidR="00D82A8C" w:rsidRPr="002C480E" w:rsidRDefault="00D82A8C" w:rsidP="00306E38">
            <w:pPr>
              <w:rPr>
                <w:bCs/>
              </w:rPr>
            </w:pPr>
            <w:r w:rsidRPr="002C480E">
              <w:rPr>
                <w:bCs/>
                <w:i/>
              </w:rPr>
              <w:t>The activities or actions that will be taken to implement a major improvement strategy.</w:t>
            </w:r>
          </w:p>
        </w:tc>
        <w:tc>
          <w:tcPr>
            <w:tcW w:w="7454" w:type="dxa"/>
            <w:tcBorders>
              <w:left w:val="nil"/>
              <w:bottom w:val="dashSmallGap" w:sz="4" w:space="0" w:color="4F81BD"/>
            </w:tcBorders>
          </w:tcPr>
          <w:p w:rsidR="00D82A8C" w:rsidRPr="002C480E" w:rsidRDefault="00D82A8C" w:rsidP="00C33508">
            <w:pPr>
              <w:numPr>
                <w:ilvl w:val="0"/>
                <w:numId w:val="5"/>
              </w:numPr>
            </w:pPr>
            <w:r w:rsidRPr="002C480E">
              <w:t xml:space="preserve">Describes the specific steps that </w:t>
            </w:r>
            <w:r>
              <w:t>district</w:t>
            </w:r>
            <w:r w:rsidRPr="002C480E">
              <w:t xml:space="preserve"> personnel will take to implement the major improvement strategy.</w:t>
            </w:r>
          </w:p>
          <w:p w:rsidR="00D82A8C" w:rsidRPr="002C480E" w:rsidRDefault="00D82A8C" w:rsidP="003955F7">
            <w:pPr>
              <w:numPr>
                <w:ilvl w:val="0"/>
                <w:numId w:val="5"/>
              </w:numPr>
            </w:pPr>
            <w:r w:rsidRPr="002C480E">
              <w:t xml:space="preserve">Describes the specific steps that any external consultants or contractors (if the </w:t>
            </w:r>
            <w:r>
              <w:t>district</w:t>
            </w:r>
            <w:r w:rsidRPr="002C480E">
              <w:t xml:space="preserve"> is working with </w:t>
            </w:r>
            <w:r w:rsidR="003955F7">
              <w:t>them</w:t>
            </w:r>
            <w:r w:rsidRPr="002C480E">
              <w:t>) will take to implement the major improvement strategy.</w:t>
            </w:r>
          </w:p>
        </w:tc>
      </w:tr>
      <w:tr w:rsidR="00D82A8C" w:rsidRPr="002C480E" w:rsidTr="001F48BF">
        <w:trPr>
          <w:cantSplit/>
          <w:trHeight w:val="530"/>
        </w:trPr>
        <w:tc>
          <w:tcPr>
            <w:tcW w:w="2358" w:type="dxa"/>
            <w:tcBorders>
              <w:top w:val="nil"/>
              <w:bottom w:val="nil"/>
              <w:right w:val="nil"/>
            </w:tcBorders>
          </w:tcPr>
          <w:p w:rsidR="00D82A8C" w:rsidRDefault="00E90F82" w:rsidP="00C85DC6">
            <w:pPr>
              <w:rPr>
                <w:b/>
                <w:bCs/>
              </w:rPr>
            </w:pPr>
            <w:r w:rsidRPr="00E90F82">
              <w:rPr>
                <w:noProof/>
              </w:rPr>
              <w:pict>
                <v:group id="_x0000_s1071" style="position:absolute;margin-left:24pt;margin-top:10.25pt;width:46.5pt;height:21.75pt;z-index:251659776;mso-position-horizontal-relative:text;mso-position-vertical-relative:text" coordorigin="2010,3030" coordsize="930,435">
                  <v:oval id="_x0000_s1072" style="position:absolute;left:2010;top:3090;width:915;height:315" fillcolor="#4f81bd" strokeweight="1.5pt">
                    <v:shadow on="t" type="perspective" color="#243f60" opacity=".5" offset="1pt" offset2="-1pt"/>
                  </v:oval>
                  <v:shape id="_x0000_s1073" type="#_x0000_t202" style="position:absolute;left:2025;top:3030;width:915;height:435" filled="f" stroked="f">
                    <v:textbox style="mso-next-textbox:#_x0000_s1073">
                      <w:txbxContent>
                        <w:p w:rsidR="001E5EFB" w:rsidRPr="00144352" w:rsidRDefault="001E5EFB" w:rsidP="00E40D5B">
                          <w:pPr>
                            <w:rPr>
                              <w:color w:val="FFFFFF"/>
                            </w:rPr>
                          </w:pPr>
                          <w:r w:rsidRPr="00144352">
                            <w:rPr>
                              <w:color w:val="FFFFFF"/>
                            </w:rPr>
                            <w:t>SGCP</w:t>
                          </w:r>
                        </w:p>
                      </w:txbxContent>
                    </v:textbox>
                  </v:shape>
                </v:group>
              </w:pict>
            </w:r>
          </w:p>
        </w:tc>
        <w:tc>
          <w:tcPr>
            <w:tcW w:w="7454" w:type="dxa"/>
            <w:tcBorders>
              <w:top w:val="dashSmallGap" w:sz="4" w:space="0" w:color="4F81BD"/>
              <w:left w:val="nil"/>
              <w:bottom w:val="dashSmallGap" w:sz="4" w:space="0" w:color="4F81BD"/>
            </w:tcBorders>
          </w:tcPr>
          <w:p w:rsidR="00E709E0" w:rsidRPr="00E709E0" w:rsidRDefault="00E709E0" w:rsidP="00E709E0">
            <w:pPr>
              <w:ind w:left="360"/>
            </w:pPr>
          </w:p>
          <w:p w:rsidR="00D82A8C" w:rsidRDefault="00D82A8C" w:rsidP="00E40D5B">
            <w:pPr>
              <w:numPr>
                <w:ilvl w:val="0"/>
                <w:numId w:val="13"/>
              </w:numPr>
            </w:pPr>
            <w:r w:rsidRPr="00C814E8">
              <w:rPr>
                <w:color w:val="000000"/>
              </w:rPr>
              <w:t>Identifies the manner in which the district</w:t>
            </w:r>
            <w:r>
              <w:t xml:space="preserve"> and parents will work together to address dropout risk factors and remediation strategies.</w:t>
            </w:r>
          </w:p>
        </w:tc>
      </w:tr>
      <w:tr w:rsidR="00D82A8C" w:rsidRPr="002C480E" w:rsidTr="001F48BF">
        <w:trPr>
          <w:cantSplit/>
          <w:trHeight w:val="1735"/>
        </w:trPr>
        <w:tc>
          <w:tcPr>
            <w:tcW w:w="2358" w:type="dxa"/>
            <w:tcBorders>
              <w:top w:val="nil"/>
              <w:bottom w:val="nil"/>
              <w:right w:val="nil"/>
            </w:tcBorders>
          </w:tcPr>
          <w:p w:rsidR="00D82A8C" w:rsidRDefault="00D82A8C" w:rsidP="00C85DC6">
            <w:pPr>
              <w:rPr>
                <w:b/>
                <w:bCs/>
              </w:rPr>
            </w:pPr>
          </w:p>
          <w:p w:rsidR="00D82A8C" w:rsidRDefault="00D82A8C" w:rsidP="00C85DC6">
            <w:pPr>
              <w:rPr>
                <w:b/>
                <w:bCs/>
              </w:rPr>
            </w:pPr>
          </w:p>
          <w:p w:rsidR="00D82A8C" w:rsidRDefault="00E90F82" w:rsidP="00C85DC6">
            <w:pPr>
              <w:rPr>
                <w:b/>
                <w:bCs/>
              </w:rPr>
            </w:pPr>
            <w:r w:rsidRPr="00E90F82">
              <w:rPr>
                <w:noProof/>
              </w:rPr>
              <w:pict>
                <v:group id="_x0000_s1074" style="position:absolute;margin-left:23.25pt;margin-top:6.1pt;width:48pt;height:40.4pt;z-index:251660800" coordorigin="2085,4502" coordsize="960,808">
                  <v:oval id="_x0000_s1075" style="position:absolute;left:2085;top:4556;width:915;height:585" fillcolor="#92d050" strokeweight="1.5pt">
                    <v:shadow on="t" type="perspective" color="#243f60" opacity=".5" offset="1pt" offset2="-1pt"/>
                  </v:oval>
                  <v:shape id="_x0000_s1076" type="#_x0000_t202" style="position:absolute;left:2130;top:4502;width:915;height:808" filled="f" stroked="f">
                    <v:textbox style="mso-next-textbox:#_x0000_s1076">
                      <w:txbxContent>
                        <w:p w:rsidR="001E5EFB" w:rsidRPr="007C41BE" w:rsidRDefault="001E5EFB" w:rsidP="007E3ECF">
                          <w:r>
                            <w:t>TI - PI &amp; CA</w:t>
                          </w:r>
                        </w:p>
                      </w:txbxContent>
                    </v:textbox>
                  </v:shape>
                </v:group>
              </w:pict>
            </w:r>
          </w:p>
          <w:p w:rsidR="00D82A8C" w:rsidRDefault="00D82A8C" w:rsidP="00C85DC6">
            <w:pPr>
              <w:rPr>
                <w:b/>
                <w:bCs/>
              </w:rPr>
            </w:pPr>
          </w:p>
          <w:p w:rsidR="00D82A8C" w:rsidRPr="002C480E" w:rsidRDefault="00D82A8C" w:rsidP="00C85DC6">
            <w:pPr>
              <w:rPr>
                <w:b/>
                <w:bCs/>
              </w:rPr>
            </w:pPr>
          </w:p>
        </w:tc>
        <w:tc>
          <w:tcPr>
            <w:tcW w:w="7454" w:type="dxa"/>
            <w:tcBorders>
              <w:top w:val="dashSmallGap" w:sz="4" w:space="0" w:color="4F81BD"/>
              <w:left w:val="nil"/>
              <w:bottom w:val="dashed" w:sz="4" w:space="0" w:color="4F81BD"/>
            </w:tcBorders>
          </w:tcPr>
          <w:p w:rsidR="00D82A8C" w:rsidRDefault="00D82A8C" w:rsidP="00657B9F">
            <w:pPr>
              <w:pStyle w:val="ListParagraph"/>
              <w:ind w:left="360"/>
              <w:contextualSpacing/>
            </w:pPr>
          </w:p>
          <w:p w:rsidR="00D82A8C" w:rsidRPr="006F4CBF" w:rsidRDefault="00D82A8C" w:rsidP="006F4CBF">
            <w:pPr>
              <w:pStyle w:val="NoSpacing"/>
              <w:numPr>
                <w:ilvl w:val="0"/>
                <w:numId w:val="9"/>
              </w:numPr>
              <w:ind w:left="342"/>
            </w:pPr>
            <w:r w:rsidRPr="006F4CBF">
              <w:t>Address the fundamental teaching and learning needs of the schools in the LEA, especially the academic problems of low-achieving students.</w:t>
            </w:r>
          </w:p>
          <w:p w:rsidR="00D82A8C" w:rsidRPr="006F4CBF" w:rsidRDefault="00D82A8C" w:rsidP="006F4CBF">
            <w:pPr>
              <w:pStyle w:val="NoSpacing"/>
              <w:numPr>
                <w:ilvl w:val="0"/>
                <w:numId w:val="9"/>
              </w:numPr>
              <w:ind w:left="342"/>
            </w:pPr>
            <w:r w:rsidRPr="006F4CBF">
              <w:t>Define specific measurable achievement goals and targets for each of the student subgroup whose disaggregated results are included in the State’s definition of AYP.</w:t>
            </w:r>
          </w:p>
          <w:p w:rsidR="00D82A8C" w:rsidRPr="006F4CBF" w:rsidRDefault="00D82A8C" w:rsidP="006F4CBF">
            <w:pPr>
              <w:pStyle w:val="NoSpacing"/>
              <w:numPr>
                <w:ilvl w:val="0"/>
                <w:numId w:val="9"/>
              </w:numPr>
              <w:ind w:left="342"/>
            </w:pPr>
            <w:r w:rsidRPr="006F4CBF">
              <w:t>Incorporate strategies grounded in scientifically based research that will strengthen instruction in core academic subjects.</w:t>
            </w:r>
          </w:p>
          <w:p w:rsidR="00D82A8C" w:rsidRPr="006F4CBF" w:rsidRDefault="00D82A8C" w:rsidP="006F4CBF">
            <w:pPr>
              <w:pStyle w:val="NoSpacing"/>
              <w:numPr>
                <w:ilvl w:val="0"/>
                <w:numId w:val="9"/>
              </w:numPr>
              <w:ind w:left="342"/>
            </w:pPr>
            <w:r w:rsidRPr="006F4CBF">
              <w:t>Provide for high-quality professional development for instructional staff that focuses primarily on improved instruction.</w:t>
            </w:r>
          </w:p>
          <w:p w:rsidR="00D82A8C" w:rsidRPr="002C480E" w:rsidRDefault="00D82A8C" w:rsidP="006F4CBF">
            <w:pPr>
              <w:pStyle w:val="NoSpacing"/>
              <w:numPr>
                <w:ilvl w:val="0"/>
                <w:numId w:val="9"/>
              </w:numPr>
              <w:ind w:left="342"/>
            </w:pPr>
            <w:r w:rsidRPr="006F4CBF">
              <w:t>Include strategies to promote effective parental involvement in the schools served by the LEA.</w:t>
            </w:r>
          </w:p>
        </w:tc>
      </w:tr>
      <w:tr w:rsidR="00D82A8C" w:rsidRPr="002C480E" w:rsidTr="001F48BF">
        <w:trPr>
          <w:cantSplit/>
          <w:trHeight w:val="1070"/>
        </w:trPr>
        <w:tc>
          <w:tcPr>
            <w:tcW w:w="2358" w:type="dxa"/>
            <w:tcBorders>
              <w:top w:val="nil"/>
              <w:bottom w:val="nil"/>
              <w:right w:val="nil"/>
            </w:tcBorders>
          </w:tcPr>
          <w:p w:rsidR="00D82A8C" w:rsidRDefault="00D82A8C" w:rsidP="00C85DC6">
            <w:pPr>
              <w:rPr>
                <w:b/>
                <w:bCs/>
              </w:rPr>
            </w:pPr>
          </w:p>
          <w:p w:rsidR="00D82A8C" w:rsidRPr="002C480E" w:rsidRDefault="00E90F82" w:rsidP="00C85DC6">
            <w:pPr>
              <w:rPr>
                <w:b/>
                <w:bCs/>
              </w:rPr>
            </w:pPr>
            <w:r w:rsidRPr="00E90F82">
              <w:rPr>
                <w:noProof/>
              </w:rPr>
              <w:pict>
                <v:group id="_x0000_s1077" style="position:absolute;margin-left:26.25pt;margin-top:8.2pt;width:46.5pt;height:21.75pt;z-index:251661824" coordorigin="1860,5790" coordsize="930,435">
                  <v:oval id="_x0000_s1078" style="position:absolute;left:1860;top:5835;width:915;height:315" fillcolor="#943634" strokeweight="1.5pt">
                    <v:shadow on="t" type="perspective" color="#243f60" opacity=".5" offset="1pt" offset2="-1pt"/>
                  </v:oval>
                  <v:shape id="_x0000_s1079" type="#_x0000_t202" style="position:absolute;left:1875;top:5790;width:915;height:435" filled="f" stroked="f">
                    <v:textbox style="mso-next-textbox:#_x0000_s1079">
                      <w:txbxContent>
                        <w:p w:rsidR="001E5EFB" w:rsidRPr="00144352" w:rsidRDefault="001E5EFB" w:rsidP="007E3ECF">
                          <w:pPr>
                            <w:rPr>
                              <w:color w:val="FFFFFF"/>
                            </w:rPr>
                          </w:pPr>
                          <w:r w:rsidRPr="00144352">
                            <w:rPr>
                              <w:color w:val="FFFFFF"/>
                            </w:rPr>
                            <w:t>2141c</w:t>
                          </w:r>
                        </w:p>
                      </w:txbxContent>
                    </v:textbox>
                  </v:shape>
                </v:group>
              </w:pict>
            </w:r>
          </w:p>
        </w:tc>
        <w:tc>
          <w:tcPr>
            <w:tcW w:w="7454" w:type="dxa"/>
            <w:tcBorders>
              <w:top w:val="dashed" w:sz="4" w:space="0" w:color="4F81BD"/>
              <w:left w:val="nil"/>
              <w:bottom w:val="dashed" w:sz="4" w:space="0" w:color="4F81BD"/>
            </w:tcBorders>
          </w:tcPr>
          <w:p w:rsidR="00D82A8C" w:rsidRDefault="00D82A8C" w:rsidP="00601124">
            <w:pPr>
              <w:pStyle w:val="NoSpacing"/>
              <w:ind w:left="360"/>
            </w:pPr>
          </w:p>
          <w:p w:rsidR="00D82A8C" w:rsidRPr="002C480E" w:rsidRDefault="00D82A8C" w:rsidP="00C33508">
            <w:pPr>
              <w:pStyle w:val="NoSpacing"/>
              <w:numPr>
                <w:ilvl w:val="0"/>
                <w:numId w:val="11"/>
              </w:numPr>
            </w:pPr>
            <w:r>
              <w:t>Strategies (linked to Title IIA funding) meet the state identified priorities, including (1) professional development, (2) recruitment, retention and distribution of effective teachers and/or (3) activities that ensure teachers will be highly qualified.</w:t>
            </w:r>
          </w:p>
        </w:tc>
      </w:tr>
      <w:tr w:rsidR="00D82A8C" w:rsidRPr="002C480E" w:rsidTr="001F48BF">
        <w:trPr>
          <w:cantSplit/>
          <w:trHeight w:val="1340"/>
        </w:trPr>
        <w:tc>
          <w:tcPr>
            <w:tcW w:w="2358" w:type="dxa"/>
            <w:tcBorders>
              <w:top w:val="nil"/>
              <w:bottom w:val="nil"/>
              <w:right w:val="nil"/>
            </w:tcBorders>
          </w:tcPr>
          <w:p w:rsidR="00D82A8C" w:rsidRDefault="00D82A8C" w:rsidP="00C85DC6">
            <w:pPr>
              <w:rPr>
                <w:b/>
                <w:bCs/>
              </w:rPr>
            </w:pPr>
          </w:p>
          <w:p w:rsidR="00D82A8C" w:rsidRDefault="00D82A8C" w:rsidP="00C85DC6">
            <w:pPr>
              <w:rPr>
                <w:b/>
                <w:bCs/>
              </w:rPr>
            </w:pPr>
          </w:p>
          <w:p w:rsidR="00D82A8C" w:rsidRPr="002C480E" w:rsidRDefault="00E90F82" w:rsidP="00C85DC6">
            <w:pPr>
              <w:rPr>
                <w:b/>
                <w:bCs/>
              </w:rPr>
            </w:pPr>
            <w:r w:rsidRPr="00E90F82">
              <w:rPr>
                <w:noProof/>
              </w:rPr>
              <w:pict>
                <v:group id="_x0000_s1080" style="position:absolute;margin-left:24.75pt;margin-top:6.05pt;width:46.5pt;height:21.75pt;z-index:251662848" coordorigin="1890,6872" coordsize="930,435">
                  <v:oval id="_x0000_s1081" style="position:absolute;left:1905;top:6932;width:915;height:315" fillcolor="#ff6" strokeweight="1.5pt">
                    <v:shadow on="t" type="perspective" color="#243f60" opacity=".5" offset="1pt" offset2="-1pt"/>
                  </v:oval>
                  <v:shape id="_x0000_s1082" type="#_x0000_t202" style="position:absolute;left:1890;top:6872;width:915;height:435" filled="f" stroked="f">
                    <v:textbox style="mso-next-textbox:#_x0000_s1082">
                      <w:txbxContent>
                        <w:p w:rsidR="001E5EFB" w:rsidRDefault="001E5EFB" w:rsidP="007E3ECF">
                          <w:r w:rsidRPr="00652586">
                            <w:t>TIII-PI</w:t>
                          </w:r>
                        </w:p>
                        <w:p w:rsidR="001E5EFB" w:rsidRDefault="001E5EFB" w:rsidP="007E3ECF"/>
                      </w:txbxContent>
                    </v:textbox>
                  </v:shape>
                </v:group>
              </w:pict>
            </w:r>
          </w:p>
        </w:tc>
        <w:tc>
          <w:tcPr>
            <w:tcW w:w="7454" w:type="dxa"/>
            <w:tcBorders>
              <w:top w:val="dashed" w:sz="4" w:space="0" w:color="4F81BD"/>
              <w:left w:val="nil"/>
              <w:bottom w:val="dashed" w:sz="4" w:space="0" w:color="4F81BD"/>
            </w:tcBorders>
          </w:tcPr>
          <w:p w:rsidR="00D82A8C" w:rsidRDefault="00D82A8C" w:rsidP="001D6BF3">
            <w:pPr>
              <w:pStyle w:val="NoSpacing"/>
              <w:ind w:left="360"/>
            </w:pPr>
          </w:p>
          <w:p w:rsidR="00D82A8C" w:rsidRDefault="00D82A8C">
            <w:pPr>
              <w:pStyle w:val="NoSpacing"/>
              <w:numPr>
                <w:ilvl w:val="0"/>
                <w:numId w:val="12"/>
              </w:numPr>
            </w:pPr>
            <w:r>
              <w:t>Describes specific scientifically based research strategies that will be use to improve achievement in 1) English Language Development, 2) Reading/LA, and 3) Mathematics as identified through AMAO data.</w:t>
            </w:r>
          </w:p>
          <w:p w:rsidR="00D82A8C" w:rsidRDefault="00D82A8C" w:rsidP="00C33508">
            <w:pPr>
              <w:pStyle w:val="NoSpacing"/>
              <w:numPr>
                <w:ilvl w:val="0"/>
                <w:numId w:val="12"/>
              </w:numPr>
            </w:pPr>
            <w:r>
              <w:t>Provides for high-quality professional development that will have a positive and long-term impact on teachers and administrators in acquiring the knowledge and skills necessary to improve the educational programs provided to ELLs.</w:t>
            </w:r>
          </w:p>
          <w:p w:rsidR="00D82A8C" w:rsidRDefault="00D82A8C" w:rsidP="00C33508">
            <w:pPr>
              <w:pStyle w:val="NoSpacing"/>
              <w:numPr>
                <w:ilvl w:val="0"/>
                <w:numId w:val="12"/>
              </w:numPr>
            </w:pPr>
            <w:r>
              <w:t>Includes strategies to promote effective parental and community involvement at the school and district level.</w:t>
            </w:r>
          </w:p>
          <w:p w:rsidR="00D82A8C" w:rsidRDefault="00D82A8C" w:rsidP="00C33508">
            <w:pPr>
              <w:pStyle w:val="NoSpacing"/>
              <w:numPr>
                <w:ilvl w:val="0"/>
                <w:numId w:val="12"/>
              </w:numPr>
            </w:pPr>
            <w:r>
              <w:t>Describes coordination with other NCLB programs.</w:t>
            </w:r>
          </w:p>
          <w:p w:rsidR="00D82A8C" w:rsidRPr="002C480E" w:rsidRDefault="00D82A8C" w:rsidP="001D6BF3">
            <w:pPr>
              <w:pStyle w:val="NoSpacing"/>
              <w:ind w:left="360"/>
            </w:pPr>
          </w:p>
        </w:tc>
      </w:tr>
      <w:tr w:rsidR="00D82A8C" w:rsidRPr="002C480E" w:rsidTr="001F48BF">
        <w:trPr>
          <w:cantSplit/>
        </w:trPr>
        <w:tc>
          <w:tcPr>
            <w:tcW w:w="2358" w:type="dxa"/>
            <w:tcBorders>
              <w:right w:val="nil"/>
            </w:tcBorders>
            <w:shd w:val="clear" w:color="auto" w:fill="D3DFEE"/>
          </w:tcPr>
          <w:p w:rsidR="00D82A8C" w:rsidRPr="002C480E" w:rsidRDefault="00D82A8C" w:rsidP="00C85DC6">
            <w:pPr>
              <w:rPr>
                <w:b/>
                <w:bCs/>
              </w:rPr>
            </w:pPr>
            <w:r w:rsidRPr="002C480E">
              <w:rPr>
                <w:b/>
                <w:bCs/>
              </w:rPr>
              <w:t>Timeline</w:t>
            </w:r>
          </w:p>
        </w:tc>
        <w:tc>
          <w:tcPr>
            <w:tcW w:w="7454" w:type="dxa"/>
            <w:tcBorders>
              <w:left w:val="nil"/>
            </w:tcBorders>
            <w:shd w:val="clear" w:color="auto" w:fill="D3DFEE"/>
          </w:tcPr>
          <w:p w:rsidR="00D82A8C" w:rsidRPr="002C480E" w:rsidRDefault="00D82A8C" w:rsidP="00C33508">
            <w:pPr>
              <w:numPr>
                <w:ilvl w:val="0"/>
                <w:numId w:val="5"/>
              </w:numPr>
            </w:pPr>
            <w:r w:rsidRPr="002C480E">
              <w:t xml:space="preserve">Specifies the month(s) </w:t>
            </w:r>
            <w:r w:rsidR="001F48BF">
              <w:t xml:space="preserve">and year </w:t>
            </w:r>
            <w:r w:rsidRPr="002C480E">
              <w:t>when each action step will take place.</w:t>
            </w:r>
          </w:p>
          <w:p w:rsidR="00D82A8C" w:rsidRPr="002C480E" w:rsidRDefault="00D82A8C" w:rsidP="00C33508">
            <w:pPr>
              <w:numPr>
                <w:ilvl w:val="0"/>
                <w:numId w:val="5"/>
              </w:numPr>
            </w:pPr>
            <w:r w:rsidRPr="002C480E">
              <w:t>Identifies a logical sequence of action steps.</w:t>
            </w:r>
          </w:p>
        </w:tc>
      </w:tr>
      <w:tr w:rsidR="00D82A8C" w:rsidRPr="002C480E" w:rsidTr="007F30C9">
        <w:trPr>
          <w:cantSplit/>
        </w:trPr>
        <w:tc>
          <w:tcPr>
            <w:tcW w:w="2358" w:type="dxa"/>
            <w:tcBorders>
              <w:right w:val="nil"/>
            </w:tcBorders>
          </w:tcPr>
          <w:p w:rsidR="00D82A8C" w:rsidRPr="002C480E" w:rsidRDefault="00D82A8C" w:rsidP="00C85DC6">
            <w:pPr>
              <w:rPr>
                <w:b/>
                <w:bCs/>
              </w:rPr>
            </w:pPr>
            <w:r w:rsidRPr="002C480E">
              <w:rPr>
                <w:b/>
                <w:bCs/>
              </w:rPr>
              <w:t>Key Personnel</w:t>
            </w:r>
          </w:p>
          <w:p w:rsidR="00D82A8C" w:rsidRPr="002C480E" w:rsidRDefault="00D82A8C" w:rsidP="00C85DC6">
            <w:pPr>
              <w:rPr>
                <w:b/>
                <w:bCs/>
              </w:rPr>
            </w:pPr>
          </w:p>
        </w:tc>
        <w:tc>
          <w:tcPr>
            <w:tcW w:w="7454" w:type="dxa"/>
            <w:tcBorders>
              <w:left w:val="nil"/>
              <w:bottom w:val="single" w:sz="8" w:space="0" w:color="7BA0CD"/>
            </w:tcBorders>
          </w:tcPr>
          <w:p w:rsidR="00F23F30" w:rsidRDefault="00F23F30" w:rsidP="00C33508">
            <w:pPr>
              <w:numPr>
                <w:ilvl w:val="0"/>
                <w:numId w:val="5"/>
              </w:numPr>
            </w:pPr>
            <w:r>
              <w:t>Optional, but recommended</w:t>
            </w:r>
          </w:p>
          <w:p w:rsidR="00D82A8C" w:rsidRDefault="00D82A8C" w:rsidP="00C33508">
            <w:pPr>
              <w:numPr>
                <w:ilvl w:val="0"/>
                <w:numId w:val="5"/>
              </w:numPr>
            </w:pPr>
            <w:r w:rsidRPr="002C480E">
              <w:t>Describes who will be responsible for i</w:t>
            </w:r>
            <w:r>
              <w:t xml:space="preserve">mplementing the action step(s); </w:t>
            </w:r>
            <w:r w:rsidRPr="002C480E">
              <w:t>may be a position or a role.</w:t>
            </w:r>
          </w:p>
          <w:p w:rsidR="00D82A8C" w:rsidRPr="002C480E" w:rsidRDefault="00D82A8C" w:rsidP="006A50BF">
            <w:pPr>
              <w:ind w:left="360"/>
            </w:pPr>
          </w:p>
        </w:tc>
      </w:tr>
      <w:tr w:rsidR="00D82A8C" w:rsidRPr="002C480E" w:rsidTr="007F30C9">
        <w:trPr>
          <w:cantSplit/>
          <w:trHeight w:val="1506"/>
        </w:trPr>
        <w:tc>
          <w:tcPr>
            <w:tcW w:w="2358" w:type="dxa"/>
            <w:tcBorders>
              <w:bottom w:val="nil"/>
              <w:right w:val="nil"/>
            </w:tcBorders>
            <w:shd w:val="clear" w:color="auto" w:fill="D3DFEE"/>
          </w:tcPr>
          <w:p w:rsidR="00D82A8C" w:rsidRPr="002C480E" w:rsidRDefault="00D82A8C" w:rsidP="006A50BF">
            <w:pPr>
              <w:rPr>
                <w:b/>
                <w:bCs/>
              </w:rPr>
            </w:pPr>
            <w:r w:rsidRPr="002C480E">
              <w:rPr>
                <w:b/>
                <w:bCs/>
              </w:rPr>
              <w:t>Resources</w:t>
            </w:r>
          </w:p>
        </w:tc>
        <w:tc>
          <w:tcPr>
            <w:tcW w:w="7454" w:type="dxa"/>
            <w:tcBorders>
              <w:left w:val="nil"/>
              <w:bottom w:val="dashSmallGap" w:sz="4" w:space="0" w:color="4F81BD" w:themeColor="accent1"/>
            </w:tcBorders>
            <w:shd w:val="clear" w:color="auto" w:fill="D3DFEE"/>
          </w:tcPr>
          <w:p w:rsidR="00D82A8C" w:rsidRDefault="00D82A8C" w:rsidP="00C33508">
            <w:pPr>
              <w:numPr>
                <w:ilvl w:val="0"/>
                <w:numId w:val="5"/>
              </w:numPr>
            </w:pPr>
            <w:r w:rsidRPr="002C480E">
              <w:t>Clearly aligns</w:t>
            </w:r>
            <w:r>
              <w:t xml:space="preserve"> resources </w:t>
            </w:r>
            <w:r w:rsidRPr="002C480E">
              <w:t>with the proposed action step.</w:t>
            </w:r>
          </w:p>
          <w:p w:rsidR="00D82A8C" w:rsidRPr="002C480E" w:rsidRDefault="00D82A8C" w:rsidP="00C33508">
            <w:pPr>
              <w:numPr>
                <w:ilvl w:val="0"/>
                <w:numId w:val="5"/>
              </w:numPr>
            </w:pPr>
            <w:r w:rsidRPr="002C480E">
              <w:t xml:space="preserve"> Must include total funds budgeted for </w:t>
            </w:r>
            <w:r>
              <w:t>each</w:t>
            </w:r>
            <w:r w:rsidRPr="002C480E">
              <w:t xml:space="preserve"> improvement strategy</w:t>
            </w:r>
            <w:r>
              <w:t>, including local, state and federal funds</w:t>
            </w:r>
            <w:r w:rsidRPr="002C480E">
              <w:t>.</w:t>
            </w:r>
          </w:p>
          <w:p w:rsidR="00D82A8C" w:rsidRPr="002C480E" w:rsidRDefault="00D82A8C" w:rsidP="00C33508">
            <w:pPr>
              <w:numPr>
                <w:ilvl w:val="0"/>
                <w:numId w:val="5"/>
              </w:numPr>
            </w:pPr>
            <w:r w:rsidRPr="002C480E">
              <w:t>May include: staff time, expertise, external c</w:t>
            </w:r>
            <w:r>
              <w:t>ontracts</w:t>
            </w:r>
            <w:r w:rsidRPr="002C480E">
              <w:t xml:space="preserve">. </w:t>
            </w:r>
            <w:r>
              <w:t>(</w:t>
            </w:r>
            <w:r w:rsidR="007F30C9">
              <w:t>e.g.</w:t>
            </w:r>
            <w:r w:rsidRPr="002C480E">
              <w:t xml:space="preserve">, .2FTE of </w:t>
            </w:r>
            <w:r>
              <w:t>an</w:t>
            </w:r>
            <w:r w:rsidRPr="002C480E">
              <w:t xml:space="preserve"> instructional coach will be devoted to</w:t>
            </w:r>
            <w:r>
              <w:t xml:space="preserve"> implementing this action step -- Local funds and Title I pay</w:t>
            </w:r>
            <w:r w:rsidRPr="002C480E">
              <w:t xml:space="preserve"> for </w:t>
            </w:r>
            <w:r>
              <w:t>the position).</w:t>
            </w:r>
          </w:p>
          <w:p w:rsidR="00D82A8C" w:rsidRPr="002C480E" w:rsidRDefault="00D82A8C" w:rsidP="00C33508">
            <w:pPr>
              <w:numPr>
                <w:ilvl w:val="0"/>
                <w:numId w:val="5"/>
              </w:numPr>
            </w:pPr>
            <w:r w:rsidRPr="002C480E">
              <w:t>Specifies the amount (of money and/or time).</w:t>
            </w:r>
          </w:p>
          <w:p w:rsidR="00D82A8C" w:rsidRPr="002C480E" w:rsidRDefault="00D82A8C" w:rsidP="00C33508">
            <w:pPr>
              <w:numPr>
                <w:ilvl w:val="0"/>
                <w:numId w:val="5"/>
              </w:numPr>
            </w:pPr>
            <w:r w:rsidRPr="002C480E">
              <w:t>Specifies the source (</w:t>
            </w:r>
            <w:r w:rsidR="001E7AB4">
              <w:t>e.g.,</w:t>
            </w:r>
            <w:r w:rsidRPr="002C480E">
              <w:t xml:space="preserve"> Title I, district).</w:t>
            </w:r>
          </w:p>
          <w:p w:rsidR="00D82A8C" w:rsidRPr="00CD065A" w:rsidRDefault="00D82A8C" w:rsidP="006A50BF"/>
        </w:tc>
      </w:tr>
      <w:tr w:rsidR="00E709E0" w:rsidRPr="002C480E" w:rsidTr="007F30C9">
        <w:trPr>
          <w:cantSplit/>
          <w:trHeight w:val="925"/>
        </w:trPr>
        <w:tc>
          <w:tcPr>
            <w:tcW w:w="2358" w:type="dxa"/>
            <w:tcBorders>
              <w:top w:val="nil"/>
              <w:right w:val="nil"/>
            </w:tcBorders>
            <w:shd w:val="clear" w:color="auto" w:fill="D3DFEE"/>
          </w:tcPr>
          <w:p w:rsidR="00E709E0" w:rsidRDefault="00E90F82" w:rsidP="006A50BF">
            <w:pPr>
              <w:rPr>
                <w:b/>
                <w:bCs/>
              </w:rPr>
            </w:pPr>
            <w:r w:rsidRPr="00E90F82">
              <w:rPr>
                <w:noProof/>
              </w:rPr>
              <w:pict>
                <v:group id="_x0000_s1099" style="position:absolute;margin-left:27pt;margin-top:2.7pt;width:48pt;height:40.4pt;z-index:251673088;mso-position-horizontal-relative:text;mso-position-vertical-relative:text" coordorigin="2085,4502" coordsize="960,808">
                  <v:oval id="_x0000_s1100" style="position:absolute;left:2085;top:4556;width:915;height:585" fillcolor="#92d050" strokeweight="1.5pt">
                    <v:shadow on="t" type="perspective" color="#243f60" opacity=".5" offset="1pt" offset2="-1pt"/>
                  </v:oval>
                  <v:shape id="_x0000_s1101" type="#_x0000_t202" style="position:absolute;left:2130;top:4502;width:915;height:808" filled="f" stroked="f">
                    <v:textbox style="mso-next-textbox:#_x0000_s1101">
                      <w:txbxContent>
                        <w:p w:rsidR="001E5EFB" w:rsidRPr="007C41BE" w:rsidRDefault="001E5EFB" w:rsidP="00601124">
                          <w:r>
                            <w:t>TI - PI &amp; CA</w:t>
                          </w:r>
                        </w:p>
                      </w:txbxContent>
                    </v:textbox>
                  </v:shape>
                </v:group>
              </w:pict>
            </w:r>
          </w:p>
          <w:p w:rsidR="00E709E0" w:rsidRPr="002C480E" w:rsidRDefault="00E709E0" w:rsidP="00C85DC6">
            <w:pPr>
              <w:rPr>
                <w:b/>
                <w:bCs/>
              </w:rPr>
            </w:pPr>
          </w:p>
        </w:tc>
        <w:tc>
          <w:tcPr>
            <w:tcW w:w="7454" w:type="dxa"/>
            <w:tcBorders>
              <w:top w:val="dashSmallGap" w:sz="4" w:space="0" w:color="4F81BD" w:themeColor="accent1"/>
              <w:left w:val="nil"/>
            </w:tcBorders>
            <w:shd w:val="clear" w:color="auto" w:fill="D3DFEE"/>
          </w:tcPr>
          <w:p w:rsidR="00E709E0" w:rsidRPr="00864958" w:rsidRDefault="00E709E0" w:rsidP="007F30C9">
            <w:pPr>
              <w:pStyle w:val="NoSpacing"/>
              <w:ind w:left="360"/>
            </w:pPr>
          </w:p>
          <w:p w:rsidR="00864958" w:rsidRPr="00864958" w:rsidRDefault="00E709E0" w:rsidP="00864958">
            <w:pPr>
              <w:numPr>
                <w:ilvl w:val="0"/>
                <w:numId w:val="5"/>
              </w:numPr>
            </w:pPr>
            <w:r w:rsidRPr="00864958">
              <w:t>Clearly identifies how Title I Program Improvement set-aside funds will be used.</w:t>
            </w:r>
          </w:p>
        </w:tc>
      </w:tr>
      <w:tr w:rsidR="00D82A8C" w:rsidRPr="002C480E" w:rsidTr="001F48BF">
        <w:trPr>
          <w:cantSplit/>
          <w:trHeight w:val="1440"/>
        </w:trPr>
        <w:tc>
          <w:tcPr>
            <w:tcW w:w="2358" w:type="dxa"/>
            <w:tcBorders>
              <w:right w:val="nil"/>
            </w:tcBorders>
          </w:tcPr>
          <w:p w:rsidR="00D82A8C" w:rsidRPr="002C480E" w:rsidRDefault="00D82A8C" w:rsidP="00C85DC6">
            <w:pPr>
              <w:rPr>
                <w:b/>
                <w:bCs/>
              </w:rPr>
            </w:pPr>
            <w:r w:rsidRPr="002C480E">
              <w:rPr>
                <w:b/>
                <w:bCs/>
              </w:rPr>
              <w:t>Implementation Benchmarks</w:t>
            </w:r>
          </w:p>
          <w:p w:rsidR="00D82A8C" w:rsidRPr="002C480E" w:rsidRDefault="00D82A8C" w:rsidP="00C85DC6">
            <w:pPr>
              <w:rPr>
                <w:b/>
                <w:bCs/>
              </w:rPr>
            </w:pPr>
          </w:p>
          <w:p w:rsidR="00D82A8C" w:rsidRPr="002C480E" w:rsidRDefault="00D82A8C" w:rsidP="006B0177">
            <w:pPr>
              <w:rPr>
                <w:bCs/>
                <w:i/>
              </w:rPr>
            </w:pPr>
            <w:r w:rsidRPr="002C480E">
              <w:rPr>
                <w:bCs/>
                <w:i/>
              </w:rPr>
              <w:t>A measure (with associated metric) used to assess the degree to which action steps have been implemented.  (Note: Not performance measures.)</w:t>
            </w:r>
          </w:p>
        </w:tc>
        <w:tc>
          <w:tcPr>
            <w:tcW w:w="7454" w:type="dxa"/>
            <w:tcBorders>
              <w:left w:val="nil"/>
            </w:tcBorders>
          </w:tcPr>
          <w:p w:rsidR="00D82A8C" w:rsidRPr="00095357" w:rsidRDefault="00D82A8C" w:rsidP="00C33508">
            <w:pPr>
              <w:numPr>
                <w:ilvl w:val="0"/>
                <w:numId w:val="5"/>
              </w:numPr>
              <w:rPr>
                <w:i/>
              </w:rPr>
            </w:pPr>
            <w:r w:rsidRPr="002C480E">
              <w:t xml:space="preserve">Specifies what will be measured (with associated metrics) and when data will be collected. </w:t>
            </w:r>
            <w:r w:rsidRPr="00095357">
              <w:rPr>
                <w:i/>
              </w:rPr>
              <w:t>Note: Implementation benchmarks may be quantitative or qualitative.</w:t>
            </w:r>
          </w:p>
          <w:p w:rsidR="00D82A8C" w:rsidRPr="00095357" w:rsidRDefault="00D82A8C" w:rsidP="00C33508">
            <w:pPr>
              <w:numPr>
                <w:ilvl w:val="0"/>
                <w:numId w:val="5"/>
              </w:numPr>
              <w:rPr>
                <w:i/>
              </w:rPr>
            </w:pPr>
            <w:r w:rsidRPr="002C480E">
              <w:t xml:space="preserve">Describes when implementation benchmarks will be analyzed and interpreted and who will be involved. </w:t>
            </w:r>
            <w:r w:rsidRPr="00095357">
              <w:rPr>
                <w:i/>
              </w:rPr>
              <w:t>Note: Analyzing and interpreting implementation benchmarks and making adjustments to action steps should be included in the action steps.</w:t>
            </w:r>
          </w:p>
          <w:p w:rsidR="00D82A8C" w:rsidRPr="002C480E" w:rsidRDefault="00D82A8C" w:rsidP="00EE1A39"/>
        </w:tc>
      </w:tr>
      <w:tr w:rsidR="00047354" w:rsidRPr="00650954" w:rsidTr="001F48BF">
        <w:tblPrEx>
          <w:tblLook w:val="04A0"/>
        </w:tblPrEx>
        <w:trPr>
          <w:cantSplit/>
          <w:trHeight w:val="925"/>
        </w:trPr>
        <w:tc>
          <w:tcPr>
            <w:tcW w:w="2358" w:type="dxa"/>
            <w:tcBorders>
              <w:top w:val="single" w:sz="8" w:space="0" w:color="7BA0CD"/>
              <w:left w:val="single" w:sz="8" w:space="0" w:color="7BA0CD"/>
              <w:bottom w:val="single" w:sz="8" w:space="0" w:color="7BA0CD"/>
              <w:right w:val="nil"/>
            </w:tcBorders>
          </w:tcPr>
          <w:p w:rsidR="00047354" w:rsidRDefault="00047354" w:rsidP="001F7CFB">
            <w:pPr>
              <w:rPr>
                <w:b/>
                <w:bCs/>
              </w:rPr>
            </w:pPr>
            <w:r>
              <w:rPr>
                <w:b/>
                <w:bCs/>
              </w:rPr>
              <w:lastRenderedPageBreak/>
              <w:t>Status</w:t>
            </w:r>
          </w:p>
          <w:p w:rsidR="00047354" w:rsidRPr="00650954" w:rsidRDefault="00047354" w:rsidP="001F7CFB">
            <w:pPr>
              <w:rPr>
                <w:b/>
                <w:bCs/>
              </w:rPr>
            </w:pPr>
            <w:r w:rsidRPr="00FA3A23">
              <w:rPr>
                <w:bCs/>
                <w:i/>
              </w:rPr>
              <w:t>Progress toward action step completion</w:t>
            </w:r>
          </w:p>
        </w:tc>
        <w:tc>
          <w:tcPr>
            <w:tcW w:w="7454" w:type="dxa"/>
            <w:tcBorders>
              <w:top w:val="single" w:sz="8" w:space="0" w:color="7BA0CD"/>
              <w:left w:val="nil"/>
              <w:bottom w:val="single" w:sz="8" w:space="0" w:color="7BA0CD"/>
              <w:right w:val="single" w:sz="8" w:space="0" w:color="7BA0CD"/>
            </w:tcBorders>
          </w:tcPr>
          <w:p w:rsidR="00F23F30" w:rsidRDefault="00F23F30" w:rsidP="001F7CFB">
            <w:pPr>
              <w:numPr>
                <w:ilvl w:val="0"/>
                <w:numId w:val="5"/>
              </w:numPr>
            </w:pPr>
            <w:r>
              <w:t>Optional, unless directed by a competitive grant program.</w:t>
            </w:r>
          </w:p>
          <w:p w:rsidR="00047354" w:rsidRDefault="00047354" w:rsidP="00F23F30">
            <w:pPr>
              <w:numPr>
                <w:ilvl w:val="0"/>
                <w:numId w:val="5"/>
              </w:numPr>
            </w:pPr>
            <w:r>
              <w:t>Indicates the status of the action step.</w:t>
            </w:r>
          </w:p>
          <w:p w:rsidR="00047354" w:rsidRPr="00650954" w:rsidRDefault="00047354" w:rsidP="001F7CFB">
            <w:pPr>
              <w:numPr>
                <w:ilvl w:val="0"/>
                <w:numId w:val="5"/>
              </w:numPr>
            </w:pPr>
            <w:r>
              <w:t>May include specific information, such as date completed.</w:t>
            </w:r>
          </w:p>
        </w:tc>
      </w:tr>
      <w:tr w:rsidR="00D82A8C" w:rsidRPr="002C480E" w:rsidTr="001F48BF">
        <w:trPr>
          <w:cantSplit/>
          <w:trHeight w:val="1089"/>
        </w:trPr>
        <w:tc>
          <w:tcPr>
            <w:tcW w:w="2358" w:type="dxa"/>
            <w:tcBorders>
              <w:bottom w:val="nil"/>
              <w:right w:val="nil"/>
            </w:tcBorders>
            <w:shd w:val="clear" w:color="auto" w:fill="D3DFEE"/>
          </w:tcPr>
          <w:p w:rsidR="00D82A8C" w:rsidRDefault="00D82A8C" w:rsidP="00C85DC6">
            <w:pPr>
              <w:rPr>
                <w:b/>
                <w:bCs/>
                <w:noProof/>
              </w:rPr>
            </w:pPr>
          </w:p>
          <w:p w:rsidR="00D82A8C" w:rsidRDefault="00D82A8C" w:rsidP="00C85DC6">
            <w:pPr>
              <w:rPr>
                <w:b/>
                <w:bCs/>
                <w:noProof/>
              </w:rPr>
            </w:pPr>
            <w:r>
              <w:rPr>
                <w:b/>
                <w:bCs/>
                <w:noProof/>
              </w:rPr>
              <w:t>Additional Documentation</w:t>
            </w:r>
          </w:p>
          <w:p w:rsidR="00D82A8C" w:rsidRDefault="00E90F82" w:rsidP="00C85DC6">
            <w:pPr>
              <w:rPr>
                <w:b/>
                <w:bCs/>
                <w:noProof/>
              </w:rPr>
            </w:pPr>
            <w:r w:rsidRPr="00E90F82">
              <w:rPr>
                <w:noProof/>
              </w:rPr>
              <w:pict>
                <v:group id="_x0000_s1086" style="position:absolute;margin-left:24pt;margin-top:9.8pt;width:46.5pt;height:21.75pt;z-index:251666944" coordorigin="2010,3030" coordsize="930,435">
                  <v:oval id="_x0000_s1087" style="position:absolute;left:2010;top:3090;width:915;height:315" fillcolor="#4f81bd" strokeweight="1.5pt">
                    <v:shadow on="t" type="perspective" color="#243f60" opacity=".5" offset="1pt" offset2="-1pt"/>
                  </v:oval>
                  <v:shape id="_x0000_s1088" type="#_x0000_t202" style="position:absolute;left:2025;top:3030;width:915;height:435" filled="f" stroked="f">
                    <v:textbox style="mso-next-textbox:#_x0000_s1088">
                      <w:txbxContent>
                        <w:p w:rsidR="001E5EFB" w:rsidRPr="00144352" w:rsidRDefault="001E5EFB" w:rsidP="00E32F38">
                          <w:pPr>
                            <w:rPr>
                              <w:color w:val="FFFFFF"/>
                            </w:rPr>
                          </w:pPr>
                          <w:r w:rsidRPr="00144352">
                            <w:rPr>
                              <w:color w:val="FFFFFF"/>
                            </w:rPr>
                            <w:t>SGCP</w:t>
                          </w:r>
                        </w:p>
                      </w:txbxContent>
                    </v:textbox>
                  </v:shape>
                </v:group>
              </w:pict>
            </w:r>
          </w:p>
          <w:p w:rsidR="00D82A8C" w:rsidRDefault="00D82A8C" w:rsidP="00C85DC6">
            <w:pPr>
              <w:rPr>
                <w:b/>
                <w:bCs/>
                <w:noProof/>
              </w:rPr>
            </w:pPr>
          </w:p>
          <w:p w:rsidR="00D82A8C" w:rsidRDefault="00D82A8C" w:rsidP="00C85DC6">
            <w:pPr>
              <w:rPr>
                <w:b/>
                <w:bCs/>
                <w:noProof/>
              </w:rPr>
            </w:pPr>
          </w:p>
          <w:p w:rsidR="00D82A8C" w:rsidRPr="002C480E" w:rsidRDefault="00D82A8C" w:rsidP="00C85DC6">
            <w:pPr>
              <w:rPr>
                <w:b/>
                <w:bCs/>
              </w:rPr>
            </w:pPr>
          </w:p>
        </w:tc>
        <w:tc>
          <w:tcPr>
            <w:tcW w:w="7454" w:type="dxa"/>
            <w:tcBorders>
              <w:left w:val="nil"/>
              <w:bottom w:val="dashSmallGap" w:sz="4" w:space="0" w:color="4F81BD"/>
            </w:tcBorders>
            <w:shd w:val="clear" w:color="auto" w:fill="D3DFEE"/>
          </w:tcPr>
          <w:p w:rsidR="00D82A8C" w:rsidRDefault="00D82A8C" w:rsidP="00EF6E03">
            <w:pPr>
              <w:ind w:left="360"/>
            </w:pPr>
          </w:p>
          <w:p w:rsidR="00D82A8C" w:rsidRDefault="00D82A8C" w:rsidP="007E16D1">
            <w:pPr>
              <w:ind w:left="360"/>
            </w:pPr>
          </w:p>
          <w:p w:rsidR="00D82A8C" w:rsidRDefault="00D82A8C" w:rsidP="007E16D1">
            <w:pPr>
              <w:ind w:left="360"/>
            </w:pPr>
          </w:p>
          <w:p w:rsidR="00D82A8C" w:rsidRDefault="00D82A8C" w:rsidP="00832012">
            <w:pPr>
              <w:numPr>
                <w:ilvl w:val="0"/>
                <w:numId w:val="13"/>
              </w:numPr>
            </w:pPr>
            <w:r>
              <w:t>Narrative describing the supports the district will provide to students who leave school prior to graduation and educational alternatives available to students (e.g., adult basic education, general education development, workforce or job training).</w:t>
            </w:r>
          </w:p>
          <w:p w:rsidR="0085578A" w:rsidRPr="002C480E" w:rsidRDefault="0085578A" w:rsidP="00832012">
            <w:pPr>
              <w:numPr>
                <w:ilvl w:val="0"/>
                <w:numId w:val="13"/>
              </w:numPr>
            </w:pPr>
            <w:r>
              <w:t>Description of implementation of recommendations from Practices Assessment.</w:t>
            </w:r>
          </w:p>
        </w:tc>
      </w:tr>
      <w:tr w:rsidR="00D82A8C" w:rsidRPr="002C480E" w:rsidTr="001F48BF">
        <w:trPr>
          <w:cantSplit/>
          <w:trHeight w:val="692"/>
        </w:trPr>
        <w:tc>
          <w:tcPr>
            <w:tcW w:w="2358" w:type="dxa"/>
            <w:tcBorders>
              <w:top w:val="nil"/>
              <w:bottom w:val="nil"/>
              <w:right w:val="nil"/>
            </w:tcBorders>
            <w:shd w:val="clear" w:color="auto" w:fill="D3DFEE"/>
          </w:tcPr>
          <w:p w:rsidR="00D82A8C" w:rsidRDefault="00E90F82" w:rsidP="00C85DC6">
            <w:pPr>
              <w:rPr>
                <w:b/>
                <w:bCs/>
              </w:rPr>
            </w:pPr>
            <w:r w:rsidRPr="00E90F82">
              <w:rPr>
                <w:noProof/>
              </w:rPr>
              <w:pict>
                <v:group id="_x0000_s1089" style="position:absolute;margin-left:24pt;margin-top:2.2pt;width:48pt;height:40.4pt;z-index:251668992;mso-position-horizontal-relative:text;mso-position-vertical-relative:text" coordorigin="2085,4502" coordsize="960,808">
                  <v:oval id="_x0000_s1090" style="position:absolute;left:2085;top:4556;width:915;height:585" fillcolor="#92d050" strokeweight="1.5pt">
                    <v:shadow on="t" type="perspective" color="#243f60" opacity=".5" offset="1pt" offset2="-1pt"/>
                  </v:oval>
                  <v:shape id="_x0000_s1091" type="#_x0000_t202" style="position:absolute;left:2130;top:4502;width:915;height:808" filled="f" stroked="f">
                    <v:textbox style="mso-next-textbox:#_x0000_s1091">
                      <w:txbxContent>
                        <w:p w:rsidR="001E5EFB" w:rsidRPr="007C41BE" w:rsidRDefault="001E5EFB" w:rsidP="0057587C">
                          <w:r>
                            <w:t>TI - PI &amp; CA</w:t>
                          </w:r>
                        </w:p>
                      </w:txbxContent>
                    </v:textbox>
                  </v:shape>
                </v:group>
              </w:pict>
            </w:r>
          </w:p>
        </w:tc>
        <w:tc>
          <w:tcPr>
            <w:tcW w:w="7454" w:type="dxa"/>
            <w:tcBorders>
              <w:top w:val="dashSmallGap" w:sz="4" w:space="0" w:color="4F81BD"/>
              <w:left w:val="nil"/>
              <w:bottom w:val="dashSmallGap" w:sz="4" w:space="0" w:color="4F81BD"/>
            </w:tcBorders>
            <w:shd w:val="clear" w:color="auto" w:fill="D3DFEE"/>
          </w:tcPr>
          <w:p w:rsidR="00E709E0" w:rsidRDefault="00E709E0" w:rsidP="00E709E0">
            <w:pPr>
              <w:ind w:left="360"/>
            </w:pPr>
          </w:p>
          <w:p w:rsidR="00D82A8C" w:rsidRDefault="00D82A8C" w:rsidP="0057587C">
            <w:pPr>
              <w:numPr>
                <w:ilvl w:val="0"/>
                <w:numId w:val="5"/>
              </w:numPr>
            </w:pPr>
            <w:r>
              <w:t>District</w:t>
            </w:r>
            <w:r w:rsidRPr="002C480E">
              <w:t xml:space="preserve">-level Parent Involvement Policy </w:t>
            </w:r>
            <w:r>
              <w:t xml:space="preserve">may </w:t>
            </w:r>
            <w:r w:rsidRPr="002C480E">
              <w:t>be attached</w:t>
            </w:r>
            <w:r>
              <w:t xml:space="preserve"> to the Unified Improvement Plan, rather than woven into the UIP.</w:t>
            </w:r>
          </w:p>
        </w:tc>
      </w:tr>
      <w:tr w:rsidR="00D82A8C" w:rsidRPr="002C480E" w:rsidTr="001F48BF">
        <w:trPr>
          <w:cantSplit/>
          <w:trHeight w:val="1087"/>
        </w:trPr>
        <w:tc>
          <w:tcPr>
            <w:tcW w:w="2358" w:type="dxa"/>
            <w:tcBorders>
              <w:top w:val="nil"/>
              <w:right w:val="nil"/>
            </w:tcBorders>
            <w:shd w:val="clear" w:color="auto" w:fill="D3DFEE"/>
          </w:tcPr>
          <w:p w:rsidR="00D82A8C" w:rsidRDefault="00E90F82" w:rsidP="00C85DC6">
            <w:pPr>
              <w:rPr>
                <w:b/>
                <w:bCs/>
              </w:rPr>
            </w:pPr>
            <w:r w:rsidRPr="00E90F82">
              <w:rPr>
                <w:noProof/>
              </w:rPr>
              <w:pict>
                <v:group id="_x0000_s1092" style="position:absolute;margin-left:25.5pt;margin-top:18.85pt;width:46.5pt;height:21.75pt;z-index:251667968;mso-position-horizontal-relative:text;mso-position-vertical-relative:text" coordorigin="1860,5790" coordsize="930,435">
                  <v:oval id="_x0000_s1093" style="position:absolute;left:1860;top:5835;width:915;height:315" fillcolor="#943634" strokeweight="1.5pt">
                    <v:shadow on="t" type="perspective" color="#243f60" opacity=".5" offset="1pt" offset2="-1pt"/>
                  </v:oval>
                  <v:shape id="_x0000_s1094" type="#_x0000_t202" style="position:absolute;left:1875;top:5790;width:915;height:435" filled="f" stroked="f">
                    <v:textbox style="mso-next-textbox:#_x0000_s1094">
                      <w:txbxContent>
                        <w:p w:rsidR="001E5EFB" w:rsidRPr="00144352" w:rsidRDefault="001E5EFB" w:rsidP="00E32F38">
                          <w:pPr>
                            <w:rPr>
                              <w:color w:val="FFFFFF"/>
                            </w:rPr>
                          </w:pPr>
                          <w:r w:rsidRPr="00144352">
                            <w:rPr>
                              <w:color w:val="FFFFFF"/>
                            </w:rPr>
                            <w:t>2141c</w:t>
                          </w:r>
                        </w:p>
                      </w:txbxContent>
                    </v:textbox>
                  </v:shape>
                </v:group>
              </w:pict>
            </w:r>
          </w:p>
        </w:tc>
        <w:tc>
          <w:tcPr>
            <w:tcW w:w="7454" w:type="dxa"/>
            <w:tcBorders>
              <w:top w:val="dashSmallGap" w:sz="4" w:space="0" w:color="4F81BD"/>
              <w:left w:val="nil"/>
            </w:tcBorders>
            <w:shd w:val="clear" w:color="auto" w:fill="D3DFEE"/>
          </w:tcPr>
          <w:p w:rsidR="00D82A8C" w:rsidRDefault="00D82A8C" w:rsidP="0057587C">
            <w:pPr>
              <w:ind w:left="360"/>
            </w:pPr>
          </w:p>
          <w:p w:rsidR="00D82A8C" w:rsidRDefault="00D82A8C" w:rsidP="00E32F38">
            <w:pPr>
              <w:numPr>
                <w:ilvl w:val="0"/>
                <w:numId w:val="14"/>
              </w:numPr>
            </w:pPr>
            <w:r>
              <w:t>Entire projec</w:t>
            </w:r>
            <w:r w:rsidR="00CA5ADF">
              <w:t>ted Title IIA allocation for 20</w:t>
            </w:r>
            <w:r>
              <w:t>1</w:t>
            </w:r>
            <w:r w:rsidR="004679B1">
              <w:t>2-13</w:t>
            </w:r>
            <w:r>
              <w:t xml:space="preserve"> is included in the form.</w:t>
            </w:r>
          </w:p>
          <w:p w:rsidR="00D82A8C" w:rsidRDefault="00D82A8C" w:rsidP="0057587C">
            <w:pPr>
              <w:numPr>
                <w:ilvl w:val="0"/>
                <w:numId w:val="14"/>
              </w:numPr>
            </w:pPr>
            <w:r>
              <w:t>Activities are described or a cross-walk of where the activity is described in the UIP is provided.</w:t>
            </w:r>
          </w:p>
        </w:tc>
      </w:tr>
    </w:tbl>
    <w:p w:rsidR="00D82A8C" w:rsidRDefault="00D82A8C" w:rsidP="006A044E"/>
    <w:sectPr w:rsidR="00D82A8C" w:rsidSect="0085578A">
      <w:headerReference w:type="default" r:id="rId9"/>
      <w:footerReference w:type="default" r:id="rId10"/>
      <w:pgSz w:w="12240" w:h="15840"/>
      <w:pgMar w:top="1152"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EF8" w:rsidRDefault="00684EF8" w:rsidP="0023372E">
      <w:r>
        <w:separator/>
      </w:r>
    </w:p>
  </w:endnote>
  <w:endnote w:type="continuationSeparator" w:id="0">
    <w:p w:rsidR="00684EF8" w:rsidRDefault="00684EF8" w:rsidP="002337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FB" w:rsidRPr="006163C6" w:rsidRDefault="006D4D95" w:rsidP="000D13AE">
    <w:pPr>
      <w:pStyle w:val="Footer"/>
      <w:rPr>
        <w:color w:val="808080" w:themeColor="background1" w:themeShade="80"/>
        <w:sz w:val="20"/>
        <w:szCs w:val="20"/>
      </w:rPr>
    </w:pPr>
    <w:r w:rsidRPr="006163C6">
      <w:rPr>
        <w:color w:val="808080" w:themeColor="background1" w:themeShade="80"/>
        <w:sz w:val="20"/>
        <w:szCs w:val="20"/>
      </w:rPr>
      <w:t xml:space="preserve">UIP </w:t>
    </w:r>
    <w:r w:rsidR="001F48BF">
      <w:rPr>
        <w:color w:val="808080" w:themeColor="background1" w:themeShade="80"/>
        <w:sz w:val="20"/>
        <w:szCs w:val="20"/>
      </w:rPr>
      <w:t xml:space="preserve">District </w:t>
    </w:r>
    <w:r w:rsidRPr="006163C6">
      <w:rPr>
        <w:color w:val="808080" w:themeColor="background1" w:themeShade="80"/>
        <w:sz w:val="20"/>
        <w:szCs w:val="20"/>
      </w:rPr>
      <w:t>Quality Criteria- Updated 8</w:t>
    </w:r>
    <w:r w:rsidR="001E5EFB" w:rsidRPr="006163C6">
      <w:rPr>
        <w:color w:val="808080" w:themeColor="background1" w:themeShade="80"/>
        <w:sz w:val="20"/>
        <w:szCs w:val="20"/>
      </w:rPr>
      <w:t>/2011</w:t>
    </w:r>
    <w:r w:rsidR="001E5EFB" w:rsidRPr="006163C6">
      <w:rPr>
        <w:color w:val="808080" w:themeColor="background1" w:themeShade="80"/>
        <w:sz w:val="20"/>
        <w:szCs w:val="20"/>
      </w:rPr>
      <w:tab/>
    </w:r>
    <w:r w:rsidR="00E90F82" w:rsidRPr="006163C6">
      <w:rPr>
        <w:color w:val="808080" w:themeColor="background1" w:themeShade="80"/>
        <w:sz w:val="20"/>
        <w:szCs w:val="20"/>
      </w:rPr>
      <w:fldChar w:fldCharType="begin"/>
    </w:r>
    <w:r w:rsidR="009B1A2A" w:rsidRPr="006163C6">
      <w:rPr>
        <w:color w:val="808080" w:themeColor="background1" w:themeShade="80"/>
        <w:sz w:val="20"/>
        <w:szCs w:val="20"/>
      </w:rPr>
      <w:instrText xml:space="preserve"> PAGE   \* MERGEFORMAT </w:instrText>
    </w:r>
    <w:r w:rsidR="00E90F82" w:rsidRPr="006163C6">
      <w:rPr>
        <w:color w:val="808080" w:themeColor="background1" w:themeShade="80"/>
        <w:sz w:val="20"/>
        <w:szCs w:val="20"/>
      </w:rPr>
      <w:fldChar w:fldCharType="separate"/>
    </w:r>
    <w:r w:rsidR="00F23F30" w:rsidRPr="00F23F30">
      <w:rPr>
        <w:b/>
        <w:noProof/>
        <w:color w:val="808080" w:themeColor="background1" w:themeShade="80"/>
        <w:sz w:val="20"/>
        <w:szCs w:val="20"/>
      </w:rPr>
      <w:t>6</w:t>
    </w:r>
    <w:r w:rsidR="00E90F82" w:rsidRPr="006163C6">
      <w:rPr>
        <w:color w:val="808080" w:themeColor="background1" w:themeShade="80"/>
        <w:sz w:val="20"/>
        <w:szCs w:val="20"/>
      </w:rPr>
      <w:fldChar w:fldCharType="end"/>
    </w:r>
    <w:r w:rsidR="001E5EFB" w:rsidRPr="006163C6">
      <w:rPr>
        <w:b/>
        <w:color w:val="808080" w:themeColor="background1" w:themeShade="80"/>
        <w:sz w:val="20"/>
        <w:szCs w:val="20"/>
      </w:rPr>
      <w:t xml:space="preserve"> </w:t>
    </w:r>
    <w:r w:rsidR="001E5EFB" w:rsidRPr="006163C6">
      <w:rPr>
        <w:color w:val="808080" w:themeColor="background1" w:themeShade="80"/>
        <w:sz w:val="20"/>
        <w:szCs w:val="20"/>
      </w:rPr>
      <w:t>|</w:t>
    </w:r>
    <w:r w:rsidR="001E5EFB" w:rsidRPr="006163C6">
      <w:rPr>
        <w:b/>
        <w:color w:val="808080" w:themeColor="background1" w:themeShade="80"/>
        <w:sz w:val="20"/>
        <w:szCs w:val="20"/>
      </w:rPr>
      <w:t xml:space="preserve"> </w:t>
    </w:r>
    <w:r w:rsidR="001E5EFB" w:rsidRPr="006163C6">
      <w:rPr>
        <w:color w:val="808080" w:themeColor="background1" w:themeShade="80"/>
        <w:spacing w:val="60"/>
        <w:sz w:val="20"/>
        <w:szCs w:val="20"/>
      </w:rPr>
      <w:t>Page</w:t>
    </w:r>
  </w:p>
  <w:p w:rsidR="001E5EFB" w:rsidRPr="0023372E" w:rsidRDefault="001E5EFB">
    <w:pPr>
      <w:pStyle w:val="Footer"/>
      <w:rPr>
        <w:rFonts w:ascii="Arial Narrow" w:hAnsi="Arial Narrow"/>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EF8" w:rsidRDefault="00684EF8" w:rsidP="0023372E">
      <w:r>
        <w:separator/>
      </w:r>
    </w:p>
  </w:footnote>
  <w:footnote w:type="continuationSeparator" w:id="0">
    <w:p w:rsidR="00684EF8" w:rsidRDefault="00684EF8" w:rsidP="0023372E">
      <w:r>
        <w:continuationSeparator/>
      </w:r>
    </w:p>
  </w:footnote>
  <w:footnote w:id="1">
    <w:p w:rsidR="0085578A" w:rsidRDefault="0085578A">
      <w:pPr>
        <w:pStyle w:val="FootnoteText"/>
      </w:pPr>
      <w:r>
        <w:rPr>
          <w:rStyle w:val="FootnoteReference"/>
        </w:rPr>
        <w:footnoteRef/>
      </w:r>
      <w:r>
        <w:t xml:space="preserve"> In </w:t>
      </w:r>
      <w:r w:rsidR="006D4D95">
        <w:t>addition</w:t>
      </w:r>
      <w:r>
        <w:t xml:space="preserve"> to criteria listed here, the Commissioner shall assign the state review panel to critically evaluate a </w:t>
      </w:r>
      <w:r w:rsidR="006D4D95">
        <w:t xml:space="preserve">school district’s </w:t>
      </w:r>
      <w:r>
        <w:t>turnaround plan in accordance with 22-11-208</w:t>
      </w:r>
      <w:r w:rsidR="006D4D95">
        <w:t xml:space="preserve"> (3</w:t>
      </w:r>
      <w:r>
        <w:t>), C.R.S.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FB" w:rsidRDefault="001E5EFB" w:rsidP="00010EF5">
    <w:pPr>
      <w:pStyle w:val="Header"/>
      <w:jc w:val="right"/>
    </w:pPr>
    <w:r>
      <w:rPr>
        <w:noProof/>
      </w:rPr>
      <w:drawing>
        <wp:inline distT="0" distB="0" distL="0" distR="0">
          <wp:extent cx="447675" cy="171450"/>
          <wp:effectExtent l="19050" t="0" r="9525" b="0"/>
          <wp:docPr id="1" name="Picture 1" descr="cd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logo2"/>
                  <pic:cNvPicPr>
                    <a:picLocks noChangeAspect="1" noChangeArrowheads="1"/>
                  </pic:cNvPicPr>
                </pic:nvPicPr>
                <pic:blipFill>
                  <a:blip r:embed="rId1"/>
                  <a:srcRect/>
                  <a:stretch>
                    <a:fillRect/>
                  </a:stretch>
                </pic:blipFill>
                <pic:spPr bwMode="auto">
                  <a:xfrm>
                    <a:off x="0" y="0"/>
                    <a:ext cx="447675" cy="171450"/>
                  </a:xfrm>
                  <a:prstGeom prst="rect">
                    <a:avLst/>
                  </a:prstGeom>
                  <a:noFill/>
                  <a:ln w="9525">
                    <a:noFill/>
                    <a:miter lim="800000"/>
                    <a:headEnd/>
                    <a:tailEnd/>
                  </a:ln>
                </pic:spPr>
              </pic:pic>
            </a:graphicData>
          </a:graphic>
        </wp:inline>
      </w:drawing>
    </w:r>
  </w:p>
  <w:p w:rsidR="001E5EFB" w:rsidRDefault="001E5E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47D1"/>
    <w:multiLevelType w:val="hybridMultilevel"/>
    <w:tmpl w:val="AD5AFBF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16EB60F5"/>
    <w:multiLevelType w:val="hybridMultilevel"/>
    <w:tmpl w:val="73585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771870"/>
    <w:multiLevelType w:val="hybridMultilevel"/>
    <w:tmpl w:val="48428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D342E8"/>
    <w:multiLevelType w:val="hybridMultilevel"/>
    <w:tmpl w:val="FC609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DE538B"/>
    <w:multiLevelType w:val="hybridMultilevel"/>
    <w:tmpl w:val="75B2B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8C6F8B"/>
    <w:multiLevelType w:val="hybridMultilevel"/>
    <w:tmpl w:val="DA48A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52124F"/>
    <w:multiLevelType w:val="hybridMultilevel"/>
    <w:tmpl w:val="2668D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EC4F15"/>
    <w:multiLevelType w:val="hybridMultilevel"/>
    <w:tmpl w:val="1BE0D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A64497"/>
    <w:multiLevelType w:val="hybridMultilevel"/>
    <w:tmpl w:val="0B9A81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B420A3"/>
    <w:multiLevelType w:val="hybridMultilevel"/>
    <w:tmpl w:val="846C9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90790D"/>
    <w:multiLevelType w:val="hybridMultilevel"/>
    <w:tmpl w:val="3F004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4E9002B"/>
    <w:multiLevelType w:val="hybridMultilevel"/>
    <w:tmpl w:val="1B16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9D5952"/>
    <w:multiLevelType w:val="hybridMultilevel"/>
    <w:tmpl w:val="E93E7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E1150F7"/>
    <w:multiLevelType w:val="hybridMultilevel"/>
    <w:tmpl w:val="D6EE2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3838A6"/>
    <w:multiLevelType w:val="hybridMultilevel"/>
    <w:tmpl w:val="6728F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5F74B30"/>
    <w:multiLevelType w:val="hybridMultilevel"/>
    <w:tmpl w:val="5BCAD498"/>
    <w:lvl w:ilvl="0" w:tplc="6B7CD48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AB20C6"/>
    <w:multiLevelType w:val="hybridMultilevel"/>
    <w:tmpl w:val="157C8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
  </w:num>
  <w:num w:numId="4">
    <w:abstractNumId w:val="12"/>
  </w:num>
  <w:num w:numId="5">
    <w:abstractNumId w:val="10"/>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6"/>
  </w:num>
  <w:num w:numId="10">
    <w:abstractNumId w:val="8"/>
  </w:num>
  <w:num w:numId="11">
    <w:abstractNumId w:val="7"/>
  </w:num>
  <w:num w:numId="12">
    <w:abstractNumId w:val="4"/>
  </w:num>
  <w:num w:numId="13">
    <w:abstractNumId w:val="13"/>
  </w:num>
  <w:num w:numId="14">
    <w:abstractNumId w:val="14"/>
  </w:num>
  <w:num w:numId="15">
    <w:abstractNumId w:val="11"/>
  </w:num>
  <w:num w:numId="16">
    <w:abstractNumId w:val="2"/>
  </w:num>
  <w:num w:numId="17">
    <w:abstractNumId w:val="15"/>
  </w:num>
  <w:num w:numId="18">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w:hdrShapeDefaults>
  <w:footnotePr>
    <w:footnote w:id="-1"/>
    <w:footnote w:id="0"/>
  </w:footnotePr>
  <w:endnotePr>
    <w:endnote w:id="-1"/>
    <w:endnote w:id="0"/>
  </w:endnotePr>
  <w:compat/>
  <w:rsids>
    <w:rsidRoot w:val="00EC08E8"/>
    <w:rsid w:val="00010EF5"/>
    <w:rsid w:val="000146F7"/>
    <w:rsid w:val="000302ED"/>
    <w:rsid w:val="0003448C"/>
    <w:rsid w:val="00047354"/>
    <w:rsid w:val="00050FA9"/>
    <w:rsid w:val="000547D9"/>
    <w:rsid w:val="00055EED"/>
    <w:rsid w:val="00072DE3"/>
    <w:rsid w:val="00083128"/>
    <w:rsid w:val="00095357"/>
    <w:rsid w:val="000961DA"/>
    <w:rsid w:val="000B10B8"/>
    <w:rsid w:val="000B6279"/>
    <w:rsid w:val="000C1B5F"/>
    <w:rsid w:val="000C1F94"/>
    <w:rsid w:val="000D13AE"/>
    <w:rsid w:val="000D14C0"/>
    <w:rsid w:val="000D24E8"/>
    <w:rsid w:val="000E1BE8"/>
    <w:rsid w:val="00143084"/>
    <w:rsid w:val="00144352"/>
    <w:rsid w:val="00160BD6"/>
    <w:rsid w:val="00164502"/>
    <w:rsid w:val="00171230"/>
    <w:rsid w:val="00183E45"/>
    <w:rsid w:val="00190160"/>
    <w:rsid w:val="00194AA4"/>
    <w:rsid w:val="001C2C6E"/>
    <w:rsid w:val="001C6CB0"/>
    <w:rsid w:val="001D6A9F"/>
    <w:rsid w:val="001D6BF3"/>
    <w:rsid w:val="001E5EFB"/>
    <w:rsid w:val="001E7AB4"/>
    <w:rsid w:val="001F43B6"/>
    <w:rsid w:val="001F48BF"/>
    <w:rsid w:val="00202E39"/>
    <w:rsid w:val="0020316F"/>
    <w:rsid w:val="00204C8C"/>
    <w:rsid w:val="002160D5"/>
    <w:rsid w:val="0022237C"/>
    <w:rsid w:val="0023372E"/>
    <w:rsid w:val="00234528"/>
    <w:rsid w:val="00234902"/>
    <w:rsid w:val="00240029"/>
    <w:rsid w:val="00245D35"/>
    <w:rsid w:val="002534AF"/>
    <w:rsid w:val="00254354"/>
    <w:rsid w:val="002623DA"/>
    <w:rsid w:val="002666B2"/>
    <w:rsid w:val="00271FEC"/>
    <w:rsid w:val="0027475D"/>
    <w:rsid w:val="002747E5"/>
    <w:rsid w:val="002759DE"/>
    <w:rsid w:val="0028587B"/>
    <w:rsid w:val="00292C29"/>
    <w:rsid w:val="00293439"/>
    <w:rsid w:val="002B18B7"/>
    <w:rsid w:val="002B3DC3"/>
    <w:rsid w:val="002C4073"/>
    <w:rsid w:val="002C480E"/>
    <w:rsid w:val="002C76EF"/>
    <w:rsid w:val="002F7320"/>
    <w:rsid w:val="00306E38"/>
    <w:rsid w:val="00312DA1"/>
    <w:rsid w:val="00313084"/>
    <w:rsid w:val="003359BD"/>
    <w:rsid w:val="00336CF1"/>
    <w:rsid w:val="003552C1"/>
    <w:rsid w:val="00361494"/>
    <w:rsid w:val="00373702"/>
    <w:rsid w:val="00376C2C"/>
    <w:rsid w:val="003772A8"/>
    <w:rsid w:val="003807DD"/>
    <w:rsid w:val="003827D8"/>
    <w:rsid w:val="00385FD7"/>
    <w:rsid w:val="003955F7"/>
    <w:rsid w:val="00395A93"/>
    <w:rsid w:val="003B41D3"/>
    <w:rsid w:val="003B5C9D"/>
    <w:rsid w:val="003B739E"/>
    <w:rsid w:val="003C0679"/>
    <w:rsid w:val="003C0D15"/>
    <w:rsid w:val="003D33DF"/>
    <w:rsid w:val="003D5307"/>
    <w:rsid w:val="003E5544"/>
    <w:rsid w:val="003F54E5"/>
    <w:rsid w:val="0040410E"/>
    <w:rsid w:val="00410014"/>
    <w:rsid w:val="004154D8"/>
    <w:rsid w:val="00416E1D"/>
    <w:rsid w:val="00422F82"/>
    <w:rsid w:val="00432720"/>
    <w:rsid w:val="00433E9F"/>
    <w:rsid w:val="004435E4"/>
    <w:rsid w:val="00454939"/>
    <w:rsid w:val="00460225"/>
    <w:rsid w:val="004679B1"/>
    <w:rsid w:val="00473727"/>
    <w:rsid w:val="00486951"/>
    <w:rsid w:val="00490B10"/>
    <w:rsid w:val="004A43DF"/>
    <w:rsid w:val="004A55CD"/>
    <w:rsid w:val="004A5E10"/>
    <w:rsid w:val="004A6F25"/>
    <w:rsid w:val="004D0BB5"/>
    <w:rsid w:val="004E60FB"/>
    <w:rsid w:val="00512700"/>
    <w:rsid w:val="00512DB8"/>
    <w:rsid w:val="00521C15"/>
    <w:rsid w:val="0053728C"/>
    <w:rsid w:val="00544C05"/>
    <w:rsid w:val="005526EB"/>
    <w:rsid w:val="005641BB"/>
    <w:rsid w:val="00574147"/>
    <w:rsid w:val="0057587C"/>
    <w:rsid w:val="005D3DC8"/>
    <w:rsid w:val="005F02DD"/>
    <w:rsid w:val="005F4E1B"/>
    <w:rsid w:val="00601124"/>
    <w:rsid w:val="006113DC"/>
    <w:rsid w:val="006163C6"/>
    <w:rsid w:val="006230C0"/>
    <w:rsid w:val="00632845"/>
    <w:rsid w:val="00636860"/>
    <w:rsid w:val="00640ED7"/>
    <w:rsid w:val="00646C38"/>
    <w:rsid w:val="00652586"/>
    <w:rsid w:val="00654D09"/>
    <w:rsid w:val="006551FD"/>
    <w:rsid w:val="00657B9F"/>
    <w:rsid w:val="0066105B"/>
    <w:rsid w:val="0066253E"/>
    <w:rsid w:val="00667A7C"/>
    <w:rsid w:val="00667BC3"/>
    <w:rsid w:val="006765FC"/>
    <w:rsid w:val="00684EF8"/>
    <w:rsid w:val="00691C81"/>
    <w:rsid w:val="006A044E"/>
    <w:rsid w:val="006A2281"/>
    <w:rsid w:val="006A500D"/>
    <w:rsid w:val="006A50BF"/>
    <w:rsid w:val="006A7438"/>
    <w:rsid w:val="006B0177"/>
    <w:rsid w:val="006D4D95"/>
    <w:rsid w:val="006D4FD1"/>
    <w:rsid w:val="006F4CBF"/>
    <w:rsid w:val="006F5D99"/>
    <w:rsid w:val="006F6622"/>
    <w:rsid w:val="007211D6"/>
    <w:rsid w:val="0072122D"/>
    <w:rsid w:val="00734384"/>
    <w:rsid w:val="00764178"/>
    <w:rsid w:val="0076459F"/>
    <w:rsid w:val="0076526C"/>
    <w:rsid w:val="0077231B"/>
    <w:rsid w:val="00777446"/>
    <w:rsid w:val="00780A26"/>
    <w:rsid w:val="00781A03"/>
    <w:rsid w:val="00791DDA"/>
    <w:rsid w:val="007923F6"/>
    <w:rsid w:val="007A126C"/>
    <w:rsid w:val="007B50E4"/>
    <w:rsid w:val="007C1EC9"/>
    <w:rsid w:val="007C41BE"/>
    <w:rsid w:val="007C616A"/>
    <w:rsid w:val="007D0D3A"/>
    <w:rsid w:val="007D6787"/>
    <w:rsid w:val="007E16D1"/>
    <w:rsid w:val="007E3ECF"/>
    <w:rsid w:val="007F30C9"/>
    <w:rsid w:val="00810002"/>
    <w:rsid w:val="008311EE"/>
    <w:rsid w:val="00832012"/>
    <w:rsid w:val="008435AC"/>
    <w:rsid w:val="008521BE"/>
    <w:rsid w:val="0085578A"/>
    <w:rsid w:val="00864958"/>
    <w:rsid w:val="00885684"/>
    <w:rsid w:val="00886EFF"/>
    <w:rsid w:val="0089321C"/>
    <w:rsid w:val="00897D71"/>
    <w:rsid w:val="008A020D"/>
    <w:rsid w:val="008B6EA5"/>
    <w:rsid w:val="008D19CD"/>
    <w:rsid w:val="008D769B"/>
    <w:rsid w:val="008E582D"/>
    <w:rsid w:val="008E79B6"/>
    <w:rsid w:val="00901EC5"/>
    <w:rsid w:val="00910D63"/>
    <w:rsid w:val="00910E52"/>
    <w:rsid w:val="00911955"/>
    <w:rsid w:val="00913907"/>
    <w:rsid w:val="009200C8"/>
    <w:rsid w:val="009426D3"/>
    <w:rsid w:val="00947854"/>
    <w:rsid w:val="00951031"/>
    <w:rsid w:val="009642AE"/>
    <w:rsid w:val="00967582"/>
    <w:rsid w:val="00975A31"/>
    <w:rsid w:val="009809D8"/>
    <w:rsid w:val="00980CAA"/>
    <w:rsid w:val="00994CEE"/>
    <w:rsid w:val="009B1A2A"/>
    <w:rsid w:val="009C0003"/>
    <w:rsid w:val="009D4376"/>
    <w:rsid w:val="009F04C6"/>
    <w:rsid w:val="00A01733"/>
    <w:rsid w:val="00A07958"/>
    <w:rsid w:val="00A211E1"/>
    <w:rsid w:val="00A322B5"/>
    <w:rsid w:val="00A53D1F"/>
    <w:rsid w:val="00A65F5C"/>
    <w:rsid w:val="00A73D1E"/>
    <w:rsid w:val="00A90777"/>
    <w:rsid w:val="00A949E8"/>
    <w:rsid w:val="00A97D4E"/>
    <w:rsid w:val="00AF2151"/>
    <w:rsid w:val="00AF57D9"/>
    <w:rsid w:val="00B0537F"/>
    <w:rsid w:val="00B11BD7"/>
    <w:rsid w:val="00B15175"/>
    <w:rsid w:val="00B17078"/>
    <w:rsid w:val="00B3182D"/>
    <w:rsid w:val="00B42442"/>
    <w:rsid w:val="00B4707D"/>
    <w:rsid w:val="00B52461"/>
    <w:rsid w:val="00B538E5"/>
    <w:rsid w:val="00B53A18"/>
    <w:rsid w:val="00B64200"/>
    <w:rsid w:val="00B71199"/>
    <w:rsid w:val="00B74CEA"/>
    <w:rsid w:val="00B755E6"/>
    <w:rsid w:val="00B83CF8"/>
    <w:rsid w:val="00B842F0"/>
    <w:rsid w:val="00B84B3C"/>
    <w:rsid w:val="00B91426"/>
    <w:rsid w:val="00B91E56"/>
    <w:rsid w:val="00B95479"/>
    <w:rsid w:val="00B96911"/>
    <w:rsid w:val="00B96E38"/>
    <w:rsid w:val="00BB20AA"/>
    <w:rsid w:val="00BE3167"/>
    <w:rsid w:val="00BE7B38"/>
    <w:rsid w:val="00BF35F9"/>
    <w:rsid w:val="00C02D7A"/>
    <w:rsid w:val="00C04427"/>
    <w:rsid w:val="00C15088"/>
    <w:rsid w:val="00C1723A"/>
    <w:rsid w:val="00C20BFB"/>
    <w:rsid w:val="00C211AF"/>
    <w:rsid w:val="00C21304"/>
    <w:rsid w:val="00C239E1"/>
    <w:rsid w:val="00C33508"/>
    <w:rsid w:val="00C462FD"/>
    <w:rsid w:val="00C47877"/>
    <w:rsid w:val="00C5255B"/>
    <w:rsid w:val="00C655D6"/>
    <w:rsid w:val="00C72AFE"/>
    <w:rsid w:val="00C814E8"/>
    <w:rsid w:val="00C85DC6"/>
    <w:rsid w:val="00C96B59"/>
    <w:rsid w:val="00CA5ADF"/>
    <w:rsid w:val="00CA737C"/>
    <w:rsid w:val="00CD065A"/>
    <w:rsid w:val="00CD0DB8"/>
    <w:rsid w:val="00CE34B5"/>
    <w:rsid w:val="00CE5364"/>
    <w:rsid w:val="00D04D6B"/>
    <w:rsid w:val="00D06494"/>
    <w:rsid w:val="00D23122"/>
    <w:rsid w:val="00D51416"/>
    <w:rsid w:val="00D52344"/>
    <w:rsid w:val="00D555C0"/>
    <w:rsid w:val="00D75C08"/>
    <w:rsid w:val="00D82A8C"/>
    <w:rsid w:val="00D94852"/>
    <w:rsid w:val="00D94E67"/>
    <w:rsid w:val="00DA1C64"/>
    <w:rsid w:val="00DB3F0B"/>
    <w:rsid w:val="00DB63D1"/>
    <w:rsid w:val="00DD130E"/>
    <w:rsid w:val="00DE07BD"/>
    <w:rsid w:val="00DF0FC2"/>
    <w:rsid w:val="00DF76CC"/>
    <w:rsid w:val="00E00988"/>
    <w:rsid w:val="00E02576"/>
    <w:rsid w:val="00E20D0A"/>
    <w:rsid w:val="00E32F38"/>
    <w:rsid w:val="00E40D5B"/>
    <w:rsid w:val="00E709E0"/>
    <w:rsid w:val="00E7542C"/>
    <w:rsid w:val="00E7658A"/>
    <w:rsid w:val="00E90A16"/>
    <w:rsid w:val="00E90F82"/>
    <w:rsid w:val="00EA4F7B"/>
    <w:rsid w:val="00EA7201"/>
    <w:rsid w:val="00EB47FD"/>
    <w:rsid w:val="00EC08E8"/>
    <w:rsid w:val="00EC4093"/>
    <w:rsid w:val="00EE1431"/>
    <w:rsid w:val="00EE1A39"/>
    <w:rsid w:val="00EF109D"/>
    <w:rsid w:val="00EF3B2B"/>
    <w:rsid w:val="00EF6E03"/>
    <w:rsid w:val="00F01026"/>
    <w:rsid w:val="00F07F29"/>
    <w:rsid w:val="00F13880"/>
    <w:rsid w:val="00F23F30"/>
    <w:rsid w:val="00F27AE1"/>
    <w:rsid w:val="00F33E76"/>
    <w:rsid w:val="00F440FB"/>
    <w:rsid w:val="00F5362D"/>
    <w:rsid w:val="00F826B0"/>
    <w:rsid w:val="00FA1A5D"/>
    <w:rsid w:val="00FA49D9"/>
    <w:rsid w:val="00FB28EA"/>
    <w:rsid w:val="00FD398E"/>
    <w:rsid w:val="00FD6314"/>
    <w:rsid w:val="00FF4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4D8"/>
  </w:style>
  <w:style w:type="paragraph" w:styleId="Heading1">
    <w:name w:val="heading 1"/>
    <w:basedOn w:val="Normal"/>
    <w:next w:val="Normal"/>
    <w:link w:val="Heading1Char"/>
    <w:uiPriority w:val="9"/>
    <w:qFormat/>
    <w:rsid w:val="00791DDA"/>
    <w:pPr>
      <w:keepNext/>
      <w:spacing w:before="240" w:after="60"/>
      <w:outlineLvl w:val="0"/>
    </w:pPr>
    <w:rPr>
      <w:rFonts w:ascii="Cambria" w:eastAsia="Times New Roman" w:hAnsi="Cambria"/>
      <w:b/>
      <w:bCs/>
      <w:color w:val="1F497D"/>
      <w:kern w:val="32"/>
      <w:sz w:val="24"/>
      <w:szCs w:val="32"/>
    </w:rPr>
  </w:style>
  <w:style w:type="paragraph" w:styleId="Heading2">
    <w:name w:val="heading 2"/>
    <w:basedOn w:val="Normal"/>
    <w:next w:val="Normal"/>
    <w:link w:val="Heading2Char"/>
    <w:uiPriority w:val="99"/>
    <w:qFormat/>
    <w:rsid w:val="004D0BB5"/>
    <w:pPr>
      <w:keepNext/>
      <w:outlineLvl w:val="1"/>
    </w:pPr>
    <w:rPr>
      <w:rFonts w:ascii="Cambria" w:eastAsia="Times New Roman" w:hAnsi="Cambria"/>
      <w:b/>
      <w:bCs/>
      <w:i/>
      <w:iCs/>
      <w:sz w:val="24"/>
      <w:szCs w:val="28"/>
    </w:rPr>
  </w:style>
  <w:style w:type="paragraph" w:styleId="Heading3">
    <w:name w:val="heading 3"/>
    <w:basedOn w:val="Normal"/>
    <w:next w:val="Normal"/>
    <w:link w:val="Heading3Char"/>
    <w:uiPriority w:val="99"/>
    <w:qFormat/>
    <w:rsid w:val="001C2C6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1DDA"/>
    <w:rPr>
      <w:rFonts w:ascii="Cambria" w:hAnsi="Cambria" w:cs="Times New Roman"/>
      <w:b/>
      <w:bCs/>
      <w:color w:val="1F497D"/>
      <w:kern w:val="32"/>
      <w:sz w:val="32"/>
      <w:szCs w:val="32"/>
    </w:rPr>
  </w:style>
  <w:style w:type="character" w:customStyle="1" w:styleId="Heading2Char">
    <w:name w:val="Heading 2 Char"/>
    <w:basedOn w:val="DefaultParagraphFont"/>
    <w:link w:val="Heading2"/>
    <w:uiPriority w:val="99"/>
    <w:locked/>
    <w:rsid w:val="004D0BB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C2C6E"/>
    <w:rPr>
      <w:rFonts w:ascii="Cambria" w:hAnsi="Cambria" w:cs="Times New Roman"/>
      <w:b/>
      <w:bCs/>
      <w:sz w:val="26"/>
      <w:szCs w:val="26"/>
    </w:rPr>
  </w:style>
  <w:style w:type="paragraph" w:styleId="ListParagraph">
    <w:name w:val="List Paragraph"/>
    <w:basedOn w:val="Normal"/>
    <w:uiPriority w:val="99"/>
    <w:qFormat/>
    <w:rsid w:val="00EC08E8"/>
    <w:pPr>
      <w:ind w:left="720"/>
    </w:pPr>
  </w:style>
  <w:style w:type="table" w:styleId="TableGrid">
    <w:name w:val="Table Grid"/>
    <w:basedOn w:val="TableNormal"/>
    <w:uiPriority w:val="99"/>
    <w:rsid w:val="00EC08E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23372E"/>
    <w:pPr>
      <w:tabs>
        <w:tab w:val="center" w:pos="4680"/>
        <w:tab w:val="right" w:pos="9360"/>
      </w:tabs>
    </w:pPr>
  </w:style>
  <w:style w:type="character" w:customStyle="1" w:styleId="HeaderChar">
    <w:name w:val="Header Char"/>
    <w:basedOn w:val="DefaultParagraphFont"/>
    <w:link w:val="Header"/>
    <w:uiPriority w:val="99"/>
    <w:locked/>
    <w:rsid w:val="0023372E"/>
    <w:rPr>
      <w:rFonts w:ascii="Calibri" w:eastAsia="Times New Roman" w:hAnsi="Calibri" w:cs="Times New Roman"/>
    </w:rPr>
  </w:style>
  <w:style w:type="paragraph" w:styleId="Footer">
    <w:name w:val="footer"/>
    <w:basedOn w:val="Normal"/>
    <w:link w:val="FooterChar"/>
    <w:uiPriority w:val="99"/>
    <w:rsid w:val="0023372E"/>
    <w:pPr>
      <w:tabs>
        <w:tab w:val="center" w:pos="4680"/>
        <w:tab w:val="right" w:pos="9360"/>
      </w:tabs>
    </w:pPr>
  </w:style>
  <w:style w:type="character" w:customStyle="1" w:styleId="FooterChar">
    <w:name w:val="Footer Char"/>
    <w:basedOn w:val="DefaultParagraphFont"/>
    <w:link w:val="Footer"/>
    <w:uiPriority w:val="99"/>
    <w:locked/>
    <w:rsid w:val="0023372E"/>
    <w:rPr>
      <w:rFonts w:ascii="Calibri" w:eastAsia="Times New Roman" w:hAnsi="Calibri" w:cs="Times New Roman"/>
    </w:rPr>
  </w:style>
  <w:style w:type="paragraph" w:styleId="BalloonText">
    <w:name w:val="Balloon Text"/>
    <w:basedOn w:val="Normal"/>
    <w:link w:val="BalloonTextChar"/>
    <w:uiPriority w:val="99"/>
    <w:semiHidden/>
    <w:rsid w:val="002337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372E"/>
    <w:rPr>
      <w:rFonts w:ascii="Tahoma" w:eastAsia="Times New Roman" w:hAnsi="Tahoma" w:cs="Tahoma"/>
      <w:sz w:val="16"/>
      <w:szCs w:val="16"/>
    </w:rPr>
  </w:style>
  <w:style w:type="table" w:customStyle="1" w:styleId="MediumShading1-Accent11">
    <w:name w:val="Medium Shading 1 - Accent 11"/>
    <w:uiPriority w:val="99"/>
    <w:rsid w:val="00791DDA"/>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styleId="CommentReference">
    <w:name w:val="annotation reference"/>
    <w:basedOn w:val="DefaultParagraphFont"/>
    <w:uiPriority w:val="99"/>
    <w:semiHidden/>
    <w:rsid w:val="00385FD7"/>
    <w:rPr>
      <w:rFonts w:cs="Times New Roman"/>
      <w:sz w:val="16"/>
      <w:szCs w:val="16"/>
    </w:rPr>
  </w:style>
  <w:style w:type="paragraph" w:styleId="CommentText">
    <w:name w:val="annotation text"/>
    <w:basedOn w:val="Normal"/>
    <w:link w:val="CommentTextChar"/>
    <w:uiPriority w:val="99"/>
    <w:semiHidden/>
    <w:rsid w:val="00385FD7"/>
    <w:rPr>
      <w:sz w:val="20"/>
      <w:szCs w:val="20"/>
    </w:rPr>
  </w:style>
  <w:style w:type="character" w:customStyle="1" w:styleId="CommentTextChar">
    <w:name w:val="Comment Text Char"/>
    <w:basedOn w:val="DefaultParagraphFont"/>
    <w:link w:val="CommentText"/>
    <w:uiPriority w:val="99"/>
    <w:semiHidden/>
    <w:locked/>
    <w:rsid w:val="00385FD7"/>
    <w:rPr>
      <w:rFonts w:cs="Times New Roman"/>
    </w:rPr>
  </w:style>
  <w:style w:type="paragraph" w:styleId="CommentSubject">
    <w:name w:val="annotation subject"/>
    <w:basedOn w:val="CommentText"/>
    <w:next w:val="CommentText"/>
    <w:link w:val="CommentSubjectChar"/>
    <w:uiPriority w:val="99"/>
    <w:semiHidden/>
    <w:rsid w:val="00385FD7"/>
    <w:rPr>
      <w:b/>
      <w:bCs/>
    </w:rPr>
  </w:style>
  <w:style w:type="character" w:customStyle="1" w:styleId="CommentSubjectChar">
    <w:name w:val="Comment Subject Char"/>
    <w:basedOn w:val="CommentTextChar"/>
    <w:link w:val="CommentSubject"/>
    <w:uiPriority w:val="99"/>
    <w:semiHidden/>
    <w:locked/>
    <w:rsid w:val="00385FD7"/>
    <w:rPr>
      <w:b/>
      <w:bCs/>
    </w:rPr>
  </w:style>
  <w:style w:type="paragraph" w:styleId="NoSpacing">
    <w:name w:val="No Spacing"/>
    <w:uiPriority w:val="99"/>
    <w:qFormat/>
    <w:rsid w:val="00385FD7"/>
  </w:style>
  <w:style w:type="character" w:styleId="Hyperlink">
    <w:name w:val="Hyperlink"/>
    <w:basedOn w:val="DefaultParagraphFont"/>
    <w:uiPriority w:val="99"/>
    <w:rsid w:val="002F7320"/>
    <w:rPr>
      <w:rFonts w:cs="Times New Roman"/>
      <w:color w:val="0000FF"/>
      <w:u w:val="single"/>
    </w:rPr>
  </w:style>
  <w:style w:type="character" w:styleId="FollowedHyperlink">
    <w:name w:val="FollowedHyperlink"/>
    <w:basedOn w:val="DefaultParagraphFont"/>
    <w:uiPriority w:val="99"/>
    <w:semiHidden/>
    <w:rsid w:val="006551FD"/>
    <w:rPr>
      <w:rFonts w:cs="Times New Roman"/>
      <w:color w:val="800080"/>
      <w:u w:val="single"/>
    </w:rPr>
  </w:style>
  <w:style w:type="paragraph" w:styleId="FootnoteText">
    <w:name w:val="footnote text"/>
    <w:basedOn w:val="Normal"/>
    <w:link w:val="FootnoteTextChar"/>
    <w:uiPriority w:val="99"/>
    <w:semiHidden/>
    <w:unhideWhenUsed/>
    <w:rsid w:val="0085578A"/>
    <w:rPr>
      <w:sz w:val="20"/>
      <w:szCs w:val="20"/>
    </w:rPr>
  </w:style>
  <w:style w:type="character" w:customStyle="1" w:styleId="FootnoteTextChar">
    <w:name w:val="Footnote Text Char"/>
    <w:basedOn w:val="DefaultParagraphFont"/>
    <w:link w:val="FootnoteText"/>
    <w:uiPriority w:val="99"/>
    <w:semiHidden/>
    <w:rsid w:val="0085578A"/>
    <w:rPr>
      <w:sz w:val="20"/>
      <w:szCs w:val="20"/>
    </w:rPr>
  </w:style>
  <w:style w:type="character" w:styleId="FootnoteReference">
    <w:name w:val="footnote reference"/>
    <w:basedOn w:val="DefaultParagraphFont"/>
    <w:uiPriority w:val="99"/>
    <w:semiHidden/>
    <w:unhideWhenUsed/>
    <w:rsid w:val="0085578A"/>
    <w:rPr>
      <w:vertAlign w:val="superscript"/>
    </w:rPr>
  </w:style>
  <w:style w:type="paragraph" w:styleId="Subtitle">
    <w:name w:val="Subtitle"/>
    <w:basedOn w:val="Normal"/>
    <w:next w:val="Normal"/>
    <w:link w:val="SubtitleChar"/>
    <w:qFormat/>
    <w:locked/>
    <w:rsid w:val="006163C6"/>
    <w:pPr>
      <w:numPr>
        <w:ilvl w:val="1"/>
      </w:numPr>
    </w:pPr>
    <w:rPr>
      <w:rFonts w:ascii="Cambria" w:eastAsia="Times New Roman" w:hAnsi="Cambria"/>
      <w:b/>
      <w:iCs/>
      <w:smallCaps/>
      <w:color w:val="4F81BD"/>
      <w:spacing w:val="15"/>
      <w:sz w:val="24"/>
      <w:szCs w:val="24"/>
    </w:rPr>
  </w:style>
  <w:style w:type="character" w:customStyle="1" w:styleId="SubtitleChar">
    <w:name w:val="Subtitle Char"/>
    <w:basedOn w:val="DefaultParagraphFont"/>
    <w:link w:val="Subtitle"/>
    <w:rsid w:val="006163C6"/>
    <w:rPr>
      <w:rFonts w:ascii="Cambria" w:eastAsia="Times New Roman" w:hAnsi="Cambria"/>
      <w:b/>
      <w:iCs/>
      <w:smallCap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551423321">
      <w:marLeft w:val="0"/>
      <w:marRight w:val="0"/>
      <w:marTop w:val="0"/>
      <w:marBottom w:val="0"/>
      <w:divBdr>
        <w:top w:val="none" w:sz="0" w:space="0" w:color="auto"/>
        <w:left w:val="none" w:sz="0" w:space="0" w:color="auto"/>
        <w:bottom w:val="none" w:sz="0" w:space="0" w:color="auto"/>
        <w:right w:val="none" w:sz="0" w:space="0" w:color="auto"/>
      </w:divBdr>
    </w:div>
    <w:div w:id="146369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vie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6913-A778-45B2-91D5-8294E7C0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Unified Improvement Plan Quality Criteria (District Level)</vt:lpstr>
    </vt:vector>
  </TitlesOfParts>
  <Company>CDE</Company>
  <LinksUpToDate>false</LinksUpToDate>
  <CharactersWithSpaces>20310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Unified Improvement Plan Quality Criteria (District Level)</dc:title>
  <dc:subject/>
  <dc:creator>huddleston_J</dc:creator>
  <cp:keywords/>
  <dc:description/>
  <cp:lastModifiedBy>medler_l</cp:lastModifiedBy>
  <cp:revision>2</cp:revision>
  <cp:lastPrinted>2011-07-11T16:16:00Z</cp:lastPrinted>
  <dcterms:created xsi:type="dcterms:W3CDTF">2011-08-12T18:20:00Z</dcterms:created>
  <dcterms:modified xsi:type="dcterms:W3CDTF">2011-08-12T18:20:00Z</dcterms:modified>
</cp:coreProperties>
</file>