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4439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87A41" w:rsidRPr="00D5423D" w:rsidRDefault="00D87A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D87A4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A41">
              <w:rPr>
                <w:rFonts w:asciiTheme="minorHAnsi" w:hAnsiTheme="minorHAnsi"/>
                <w:color w:val="000000"/>
                <w:sz w:val="20"/>
                <w:szCs w:val="20"/>
              </w:rPr>
              <w:t>Analyze factors that influence healthy eating behaviors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Pr="00D5423D" w:rsidRDefault="00D87A41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CH09-GR.7-S.2-GLE.1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D87A4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A41">
              <w:rPr>
                <w:rFonts w:asciiTheme="minorHAnsi" w:hAnsiTheme="minorHAnsi"/>
                <w:bCs/>
                <w:sz w:val="20"/>
                <w:szCs w:val="20"/>
              </w:rPr>
              <w:t>Demonstrate the ability to make healthy food choices in a variety of settings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Default="00D87A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CH09-GR.7-S.2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D87A4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A41">
              <w:rPr>
                <w:rFonts w:asciiTheme="minorHAnsi" w:hAnsiTheme="minorHAnsi"/>
                <w:color w:val="000000"/>
                <w:sz w:val="20"/>
                <w:szCs w:val="20"/>
              </w:rPr>
              <w:t>Compare and contrast healthy and unhealthy relationships (family, peer, and dating)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Default="00D87A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CH09-GR.7-S.2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D87A4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A41">
              <w:rPr>
                <w:rFonts w:asciiTheme="minorHAnsi" w:hAnsiTheme="minorHAnsi"/>
                <w:color w:val="000000"/>
                <w:sz w:val="20"/>
                <w:szCs w:val="20"/>
              </w:rPr>
              <w:t>Analyze the internal and external factors that influence sexual decision-making and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Default="00D87A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CH09-GR.7-S.2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D87A4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A41">
              <w:rPr>
                <w:rFonts w:asciiTheme="minorHAnsi" w:hAnsiTheme="minorHAnsi"/>
                <w:color w:val="000000"/>
                <w:sz w:val="20"/>
                <w:szCs w:val="20"/>
              </w:rPr>
              <w:t>Define sexually transmitted diseases (STDs), including human immunodeficiency virus (HIV) and acquired immune deficiency syndrome (AIDS)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Pr="00D5423D" w:rsidRDefault="00D87A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CH09-GR.7-S.2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87A41" w:rsidRPr="00D5423D" w:rsidRDefault="00D87A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D87A4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A41">
              <w:rPr>
                <w:rFonts w:asciiTheme="minorHAnsi" w:hAnsiTheme="minorHAnsi"/>
                <w:bCs/>
                <w:sz w:val="20"/>
                <w:szCs w:val="20"/>
              </w:rPr>
              <w:t>Demonstrate effective communication skills to express feelings appropriately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87A41" w:rsidRPr="00D5423D" w:rsidRDefault="00D87A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CH09-GR.7-S.3-GLE.1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D87A4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A41">
              <w:rPr>
                <w:rFonts w:asciiTheme="minorHAnsi" w:hAnsiTheme="minorHAnsi"/>
                <w:bCs/>
                <w:sz w:val="20"/>
                <w:szCs w:val="20"/>
              </w:rPr>
              <w:t>Develop self-management skills to prevent and manage stress</w:t>
            </w:r>
            <w:r w:rsidRPr="00D87A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Default="00D87A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CH09-GR.7-S.3-GLE.2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87A41" w:rsidRPr="00D5423D" w:rsidRDefault="00D87A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D87A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A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Analyze the consequences of using alcohol, tobacco and other drugs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Pr="00D5423D" w:rsidRDefault="00D87A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CH09-GR.7-S.4-GLE.1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D87A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7A41">
              <w:rPr>
                <w:rFonts w:asciiTheme="minorHAnsi" w:hAnsiTheme="minorHAnsi"/>
                <w:bCs/>
                <w:sz w:val="20"/>
                <w:szCs w:val="20"/>
              </w:rPr>
              <w:t>Demonstrate safety procedures for a variety of situations</w:t>
            </w:r>
            <w:r w:rsidRPr="00D87A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Pr="00D5423D" w:rsidRDefault="00D87A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CH09-GR.7-S.4-GLE.2</w:t>
            </w:r>
          </w:p>
        </w:tc>
      </w:tr>
      <w:tr w:rsidR="00D763A1" w:rsidRPr="00D5423D" w:rsidTr="005F451B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C8" w:rsidRDefault="009327C8" w:rsidP="00F36A58">
      <w:r>
        <w:separator/>
      </w:r>
    </w:p>
  </w:endnote>
  <w:endnote w:type="continuationSeparator" w:id="0">
    <w:p w:rsidR="009327C8" w:rsidRDefault="009327C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224346" w:rsidP="00A86B29">
    <w:pPr>
      <w:rPr>
        <w:sz w:val="16"/>
        <w:szCs w:val="16"/>
      </w:rPr>
    </w:pPr>
    <w:r>
      <w:rPr>
        <w:sz w:val="16"/>
        <w:szCs w:val="16"/>
      </w:rPr>
      <w:t>7</w:t>
    </w:r>
    <w:r w:rsidRPr="002243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014F90">
      <w:rPr>
        <w:sz w:val="16"/>
        <w:szCs w:val="16"/>
      </w:rPr>
      <w:t>Comprehensive Health</w:t>
    </w:r>
    <w:r w:rsidR="00016F99" w:rsidRPr="001A50CB">
      <w:rPr>
        <w:sz w:val="16"/>
        <w:szCs w:val="16"/>
      </w:rPr>
      <w:ptab w:relativeTo="margin" w:alignment="center" w:leader="none"/>
    </w:r>
    <w:r w:rsidR="006C18C7" w:rsidRPr="006C18C7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AA51F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AA51F4" w:rsidRPr="001A50CB">
          <w:rPr>
            <w:sz w:val="16"/>
            <w:szCs w:val="16"/>
          </w:rPr>
          <w:fldChar w:fldCharType="separate"/>
        </w:r>
        <w:r w:rsidR="006C18C7">
          <w:rPr>
            <w:noProof/>
            <w:sz w:val="16"/>
            <w:szCs w:val="16"/>
          </w:rPr>
          <w:t>3</w:t>
        </w:r>
        <w:r w:rsidR="00AA51F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AA51F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AA51F4" w:rsidRPr="001A50CB">
          <w:rPr>
            <w:sz w:val="16"/>
            <w:szCs w:val="16"/>
          </w:rPr>
          <w:fldChar w:fldCharType="separate"/>
        </w:r>
        <w:r w:rsidR="006C18C7">
          <w:rPr>
            <w:noProof/>
            <w:sz w:val="16"/>
            <w:szCs w:val="16"/>
          </w:rPr>
          <w:t>4</w:t>
        </w:r>
        <w:r w:rsidR="00AA51F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C8" w:rsidRDefault="009327C8" w:rsidP="00F36A58">
      <w:r>
        <w:separator/>
      </w:r>
    </w:p>
  </w:footnote>
  <w:footnote w:type="continuationSeparator" w:id="0">
    <w:p w:rsidR="009327C8" w:rsidRDefault="009327C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7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24346">
      <w:rPr>
        <w:rFonts w:asciiTheme="minorHAnsi" w:hAnsiTheme="minorHAnsi"/>
        <w:b/>
        <w:sz w:val="20"/>
        <w:szCs w:val="20"/>
      </w:rPr>
      <w:t>7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5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2"/>
  </w:num>
  <w:num w:numId="12">
    <w:abstractNumId w:val="20"/>
  </w:num>
  <w:num w:numId="13">
    <w:abstractNumId w:val="12"/>
  </w:num>
  <w:num w:numId="14">
    <w:abstractNumId w:val="27"/>
  </w:num>
  <w:num w:numId="15">
    <w:abstractNumId w:val="16"/>
  </w:num>
  <w:num w:numId="16">
    <w:abstractNumId w:val="1"/>
  </w:num>
  <w:num w:numId="17">
    <w:abstractNumId w:val="24"/>
  </w:num>
  <w:num w:numId="18">
    <w:abstractNumId w:val="19"/>
  </w:num>
  <w:num w:numId="19">
    <w:abstractNumId w:val="4"/>
  </w:num>
  <w:num w:numId="20">
    <w:abstractNumId w:val="18"/>
  </w:num>
  <w:num w:numId="21">
    <w:abstractNumId w:val="7"/>
  </w:num>
  <w:num w:numId="22">
    <w:abstractNumId w:val="15"/>
  </w:num>
  <w:num w:numId="23">
    <w:abstractNumId w:val="25"/>
  </w:num>
  <w:num w:numId="24">
    <w:abstractNumId w:val="6"/>
  </w:num>
  <w:num w:numId="25">
    <w:abstractNumId w:val="23"/>
  </w:num>
  <w:num w:numId="26">
    <w:abstractNumId w:val="30"/>
  </w:num>
  <w:num w:numId="27">
    <w:abstractNumId w:val="14"/>
  </w:num>
  <w:num w:numId="28">
    <w:abstractNumId w:val="17"/>
  </w:num>
  <w:num w:numId="29">
    <w:abstractNumId w:val="10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84929"/>
    <w:rsid w:val="001951E1"/>
    <w:rsid w:val="001A50CB"/>
    <w:rsid w:val="001B5F07"/>
    <w:rsid w:val="001C53AD"/>
    <w:rsid w:val="001D01C0"/>
    <w:rsid w:val="001F5B7D"/>
    <w:rsid w:val="0020176D"/>
    <w:rsid w:val="00224346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5F451B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18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D8F"/>
    <w:rsid w:val="0093017C"/>
    <w:rsid w:val="009327C8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51F4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433B-60E9-4B20-B83F-2340FBE9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7</cp:revision>
  <cp:lastPrinted>2013-01-05T21:12:00Z</cp:lastPrinted>
  <dcterms:created xsi:type="dcterms:W3CDTF">2013-01-05T20:46:00Z</dcterms:created>
  <dcterms:modified xsi:type="dcterms:W3CDTF">2013-01-25T20:30:00Z</dcterms:modified>
</cp:coreProperties>
</file>