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B54" w:rsidRPr="008F3505" w:rsidRDefault="000A0B54" w:rsidP="000A0B54">
      <w:pPr>
        <w:ind w:left="1440" w:hanging="1440"/>
        <w:jc w:val="both"/>
        <w:rPr>
          <w:rFonts w:ascii="Calibri" w:hAnsi="Calibri" w:cs="Arial"/>
          <w:sz w:val="21"/>
          <w:szCs w:val="21"/>
        </w:rPr>
      </w:pPr>
      <w:r>
        <w:rPr>
          <w:rFonts w:ascii="Calibri" w:hAnsi="Calibri" w:cs="Arial"/>
          <w:noProof/>
          <w:sz w:val="21"/>
          <w:szCs w:val="21"/>
        </w:rPr>
        <w:drawing>
          <wp:anchor distT="0" distB="0" distL="114300" distR="114300" simplePos="0" relativeHeight="251658240" behindDoc="0" locked="1" layoutInCell="1" allowOverlap="0">
            <wp:simplePos x="0" y="0"/>
            <wp:positionH relativeFrom="page">
              <wp:align>center</wp:align>
            </wp:positionH>
            <wp:positionV relativeFrom="page">
              <wp:posOffset>514350</wp:posOffset>
            </wp:positionV>
            <wp:extent cx="6400800" cy="1219200"/>
            <wp:effectExtent l="19050" t="0" r="0" b="0"/>
            <wp:wrapSquare wrapText="bothSides"/>
            <wp:docPr id="2" name="Picture 2" descr="CD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_letterhead"/>
                    <pic:cNvPicPr>
                      <a:picLocks noChangeAspect="1" noChangeArrowheads="1"/>
                    </pic:cNvPicPr>
                  </pic:nvPicPr>
                  <pic:blipFill>
                    <a:blip r:embed="rId5" cstate="print"/>
                    <a:srcRect/>
                    <a:stretch>
                      <a:fillRect/>
                    </a:stretch>
                  </pic:blipFill>
                  <pic:spPr bwMode="auto">
                    <a:xfrm>
                      <a:off x="0" y="0"/>
                      <a:ext cx="6400800" cy="1219200"/>
                    </a:xfrm>
                    <a:prstGeom prst="rect">
                      <a:avLst/>
                    </a:prstGeom>
                    <a:noFill/>
                    <a:ln w="9525">
                      <a:noFill/>
                      <a:miter lim="800000"/>
                      <a:headEnd/>
                      <a:tailEnd/>
                    </a:ln>
                  </pic:spPr>
                </pic:pic>
              </a:graphicData>
            </a:graphic>
          </wp:anchor>
        </w:drawing>
      </w:r>
      <w:r w:rsidRPr="008F3505">
        <w:rPr>
          <w:rFonts w:ascii="Calibri" w:hAnsi="Calibri" w:cs="Arial"/>
          <w:sz w:val="21"/>
          <w:szCs w:val="21"/>
        </w:rPr>
        <w:t>TO:</w:t>
      </w:r>
      <w:r w:rsidRPr="008F3505">
        <w:rPr>
          <w:rFonts w:ascii="Calibri" w:hAnsi="Calibri" w:cs="Arial"/>
          <w:sz w:val="21"/>
          <w:szCs w:val="21"/>
        </w:rPr>
        <w:tab/>
      </w:r>
    </w:p>
    <w:p w:rsidR="000A0B54" w:rsidRPr="008F3505" w:rsidRDefault="000A0B54" w:rsidP="000A0B54">
      <w:pPr>
        <w:ind w:left="1440"/>
        <w:jc w:val="both"/>
        <w:rPr>
          <w:rFonts w:ascii="Calibri" w:hAnsi="Calibri" w:cs="Arial"/>
          <w:sz w:val="21"/>
          <w:szCs w:val="21"/>
        </w:rPr>
      </w:pPr>
      <w:r w:rsidRPr="008F3505">
        <w:rPr>
          <w:rFonts w:ascii="Calibri" w:hAnsi="Calibri" w:cs="Arial"/>
          <w:sz w:val="21"/>
          <w:szCs w:val="21"/>
        </w:rPr>
        <w:t>Food Service Director</w:t>
      </w:r>
    </w:p>
    <w:p w:rsidR="000A0B54" w:rsidRPr="008F3505" w:rsidRDefault="000A0B54" w:rsidP="000A0B54">
      <w:pPr>
        <w:ind w:left="1440" w:hanging="1440"/>
        <w:jc w:val="both"/>
        <w:rPr>
          <w:rFonts w:ascii="Calibri" w:hAnsi="Calibri" w:cs="Arial"/>
          <w:sz w:val="16"/>
          <w:szCs w:val="16"/>
        </w:rPr>
      </w:pPr>
    </w:p>
    <w:p w:rsidR="000A0B54" w:rsidRPr="008F3505" w:rsidRDefault="000A0B54" w:rsidP="000A0B54">
      <w:pPr>
        <w:ind w:left="1440" w:hanging="1440"/>
        <w:jc w:val="both"/>
        <w:rPr>
          <w:rFonts w:ascii="Calibri" w:hAnsi="Calibri" w:cs="Arial"/>
          <w:sz w:val="21"/>
          <w:szCs w:val="21"/>
        </w:rPr>
      </w:pPr>
      <w:r w:rsidRPr="008F3505">
        <w:rPr>
          <w:rFonts w:ascii="Calibri" w:hAnsi="Calibri" w:cs="Arial"/>
          <w:sz w:val="21"/>
          <w:szCs w:val="21"/>
        </w:rPr>
        <w:t>FROM:</w:t>
      </w:r>
      <w:r w:rsidRPr="008F3505">
        <w:rPr>
          <w:rFonts w:ascii="Calibri" w:hAnsi="Calibri" w:cs="Arial"/>
          <w:sz w:val="21"/>
          <w:szCs w:val="21"/>
        </w:rPr>
        <w:tab/>
        <w:t>Jennifer Otey, Office of School Nutrition</w:t>
      </w:r>
    </w:p>
    <w:p w:rsidR="000A0B54" w:rsidRPr="008F3505" w:rsidRDefault="000A0B54" w:rsidP="000A0B54">
      <w:pPr>
        <w:ind w:left="1440" w:hanging="1440"/>
        <w:jc w:val="both"/>
        <w:rPr>
          <w:rFonts w:ascii="Calibri" w:hAnsi="Calibri" w:cs="Arial"/>
          <w:sz w:val="16"/>
          <w:szCs w:val="16"/>
        </w:rPr>
      </w:pPr>
    </w:p>
    <w:p w:rsidR="000A0B54" w:rsidRPr="008F3505" w:rsidRDefault="000A0B54" w:rsidP="000A0B54">
      <w:pPr>
        <w:ind w:left="1440" w:hanging="1440"/>
        <w:jc w:val="both"/>
        <w:rPr>
          <w:rFonts w:ascii="Calibri" w:hAnsi="Calibri" w:cs="Arial"/>
          <w:sz w:val="21"/>
          <w:szCs w:val="21"/>
        </w:rPr>
      </w:pPr>
      <w:r w:rsidRPr="008F3505">
        <w:rPr>
          <w:rFonts w:ascii="Calibri" w:hAnsi="Calibri" w:cs="Arial"/>
          <w:sz w:val="21"/>
          <w:szCs w:val="21"/>
        </w:rPr>
        <w:t>DATE:</w:t>
      </w:r>
      <w:r w:rsidRPr="008F3505">
        <w:rPr>
          <w:rFonts w:ascii="Calibri" w:hAnsi="Calibri" w:cs="Arial"/>
          <w:sz w:val="21"/>
          <w:szCs w:val="21"/>
        </w:rPr>
        <w:tab/>
      </w:r>
      <w:r w:rsidRPr="009924B2">
        <w:rPr>
          <w:rFonts w:ascii="Calibri" w:hAnsi="Calibri" w:cs="Arial"/>
          <w:sz w:val="21"/>
          <w:szCs w:val="21"/>
        </w:rPr>
        <w:t>December 11, 2012</w:t>
      </w:r>
    </w:p>
    <w:p w:rsidR="000A0B54" w:rsidRPr="008F3505" w:rsidRDefault="000A0B54" w:rsidP="000A0B54">
      <w:pPr>
        <w:ind w:left="1440" w:hanging="1440"/>
        <w:jc w:val="both"/>
        <w:rPr>
          <w:rFonts w:ascii="Calibri" w:hAnsi="Calibri" w:cs="Arial"/>
          <w:sz w:val="16"/>
          <w:szCs w:val="16"/>
        </w:rPr>
      </w:pPr>
    </w:p>
    <w:p w:rsidR="000A0B54" w:rsidRPr="008F3505" w:rsidRDefault="000A0B54" w:rsidP="000A0B54">
      <w:pPr>
        <w:ind w:left="1440" w:hanging="1440"/>
        <w:jc w:val="both"/>
        <w:rPr>
          <w:rFonts w:ascii="Calibri" w:hAnsi="Calibri" w:cs="Arial"/>
          <w:sz w:val="21"/>
          <w:szCs w:val="21"/>
        </w:rPr>
      </w:pPr>
      <w:r w:rsidRPr="008F3505">
        <w:rPr>
          <w:rFonts w:ascii="Calibri" w:hAnsi="Calibri" w:cs="Arial"/>
          <w:sz w:val="21"/>
          <w:szCs w:val="21"/>
        </w:rPr>
        <w:t>SUBJECT:</w:t>
      </w:r>
      <w:r w:rsidRPr="008F3505">
        <w:rPr>
          <w:rFonts w:ascii="Calibri" w:hAnsi="Calibri" w:cs="Arial"/>
          <w:sz w:val="21"/>
          <w:szCs w:val="21"/>
        </w:rPr>
        <w:tab/>
        <w:t xml:space="preserve">2013 Child Nutrition Programs State Matching Funds </w:t>
      </w:r>
    </w:p>
    <w:p w:rsidR="000A0B54" w:rsidRPr="008F3505" w:rsidRDefault="000A0B54" w:rsidP="000A0B54">
      <w:pPr>
        <w:jc w:val="both"/>
        <w:rPr>
          <w:rFonts w:ascii="Calibri" w:hAnsi="Calibri" w:cs="Arial"/>
          <w:sz w:val="21"/>
          <w:szCs w:val="21"/>
        </w:rPr>
      </w:pPr>
      <w:r w:rsidRPr="008F3505">
        <w:rPr>
          <w:rFonts w:ascii="Calibri" w:hAnsi="Calibri" w:cs="Arial"/>
          <w:sz w:val="21"/>
          <w:szCs w:val="21"/>
        </w:rPr>
        <w:t>__________________________________________________________________________________</w:t>
      </w:r>
      <w:r>
        <w:rPr>
          <w:rFonts w:ascii="Calibri" w:hAnsi="Calibri" w:cs="Arial"/>
          <w:sz w:val="21"/>
          <w:szCs w:val="21"/>
        </w:rPr>
        <w:t>_______</w:t>
      </w:r>
    </w:p>
    <w:p w:rsidR="000A0B54" w:rsidRPr="008F3505" w:rsidRDefault="000A0B54" w:rsidP="000A0B54">
      <w:pPr>
        <w:jc w:val="both"/>
        <w:rPr>
          <w:rFonts w:ascii="Calibri" w:hAnsi="Calibri" w:cs="Arial"/>
          <w:sz w:val="16"/>
          <w:szCs w:val="16"/>
        </w:rPr>
      </w:pPr>
    </w:p>
    <w:p w:rsidR="000A0B54" w:rsidRPr="008F3505" w:rsidRDefault="000A0B54" w:rsidP="000A0B54">
      <w:pPr>
        <w:jc w:val="both"/>
        <w:rPr>
          <w:rFonts w:ascii="Calibri" w:hAnsi="Calibri" w:cs="Arial"/>
          <w:sz w:val="21"/>
          <w:szCs w:val="21"/>
        </w:rPr>
      </w:pPr>
      <w:r w:rsidRPr="008F3505">
        <w:rPr>
          <w:rFonts w:ascii="Calibri" w:hAnsi="Calibri" w:cs="Arial"/>
          <w:sz w:val="21"/>
          <w:szCs w:val="21"/>
        </w:rPr>
        <w:t xml:space="preserve">The Colorado General Assembly, in its 2001 regular session, passed legislation that affected Child Nutrition Programs. Section 35 of Senate Bill 01-129 amended the School Finance Act to include a new section, 22-54-123, National School Lunch Act, Appropriation of State Matching Funds. These matching funds respond to a federal statutory matching requirement. The amount of state funds authorized and appropriated for this purpose is statutorily set at $2,472,644. This represents the minimum level required to meet the federal matching requirement. </w:t>
      </w:r>
    </w:p>
    <w:p w:rsidR="000A0B54" w:rsidRPr="008F3505" w:rsidRDefault="000A0B54" w:rsidP="000A0B54">
      <w:pPr>
        <w:jc w:val="both"/>
        <w:rPr>
          <w:rFonts w:ascii="Calibri" w:hAnsi="Calibri" w:cs="Arial"/>
          <w:sz w:val="16"/>
          <w:szCs w:val="16"/>
        </w:rPr>
      </w:pPr>
    </w:p>
    <w:p w:rsidR="000A0B54" w:rsidRPr="008F3505" w:rsidRDefault="000A0B54" w:rsidP="000A0B54">
      <w:pPr>
        <w:jc w:val="both"/>
        <w:rPr>
          <w:rFonts w:ascii="Calibri" w:hAnsi="Calibri" w:cs="Arial"/>
          <w:sz w:val="21"/>
          <w:szCs w:val="21"/>
        </w:rPr>
      </w:pPr>
      <w:r w:rsidRPr="008F3505">
        <w:rPr>
          <w:rFonts w:ascii="Calibri" w:hAnsi="Calibri" w:cs="Arial"/>
          <w:sz w:val="21"/>
          <w:szCs w:val="21"/>
        </w:rPr>
        <w:t xml:space="preserve">Payment in the amount of </w:t>
      </w:r>
      <w:r w:rsidRPr="00DF6519">
        <w:rPr>
          <w:rFonts w:ascii="Calibri" w:hAnsi="Calibri" w:cs="Arial"/>
          <w:b/>
          <w:sz w:val="21"/>
          <w:szCs w:val="21"/>
        </w:rPr>
        <w:t>$</w:t>
      </w:r>
      <w:r w:rsidRPr="008F3505">
        <w:rPr>
          <w:rFonts w:ascii="Calibri" w:hAnsi="Calibri" w:cs="Arial"/>
          <w:sz w:val="21"/>
          <w:szCs w:val="21"/>
        </w:rPr>
        <w:t xml:space="preserve"> has been issued by CDE as your district’s share of the SY 2012-2013 Child Nutrition Programs State Matching Funds and is enclosed.</w:t>
      </w:r>
    </w:p>
    <w:p w:rsidR="000A0B54" w:rsidRPr="008F3505" w:rsidRDefault="000A0B54" w:rsidP="000A0B54">
      <w:pPr>
        <w:jc w:val="both"/>
        <w:rPr>
          <w:rFonts w:ascii="Calibri" w:hAnsi="Calibri" w:cs="Arial"/>
          <w:sz w:val="16"/>
          <w:szCs w:val="16"/>
        </w:rPr>
      </w:pPr>
    </w:p>
    <w:p w:rsidR="000A0B54" w:rsidRPr="008F3505" w:rsidRDefault="000A0B54" w:rsidP="000A0B54">
      <w:pPr>
        <w:jc w:val="both"/>
        <w:rPr>
          <w:rFonts w:ascii="Calibri" w:hAnsi="Calibri" w:cs="Arial"/>
          <w:sz w:val="21"/>
          <w:szCs w:val="21"/>
        </w:rPr>
      </w:pPr>
      <w:r w:rsidRPr="008F3505">
        <w:rPr>
          <w:rFonts w:ascii="Calibri" w:hAnsi="Calibri" w:cs="Arial"/>
          <w:sz w:val="21"/>
          <w:szCs w:val="21"/>
        </w:rPr>
        <w:t>The distribution methodology and accounting requirements are as follows:</w:t>
      </w:r>
    </w:p>
    <w:p w:rsidR="000A0B54" w:rsidRPr="008F3505" w:rsidRDefault="000A0B54" w:rsidP="000A0B54">
      <w:pPr>
        <w:jc w:val="both"/>
        <w:rPr>
          <w:rFonts w:ascii="Calibri" w:hAnsi="Calibri" w:cs="Arial"/>
          <w:sz w:val="16"/>
          <w:szCs w:val="16"/>
        </w:rPr>
      </w:pPr>
    </w:p>
    <w:p w:rsidR="000A0B54" w:rsidRPr="008F3505" w:rsidRDefault="000A0B54" w:rsidP="000A0B54">
      <w:pPr>
        <w:numPr>
          <w:ilvl w:val="0"/>
          <w:numId w:val="1"/>
        </w:numPr>
        <w:jc w:val="both"/>
        <w:rPr>
          <w:rFonts w:ascii="Calibri" w:hAnsi="Calibri" w:cs="Arial"/>
          <w:sz w:val="21"/>
          <w:szCs w:val="21"/>
        </w:rPr>
      </w:pPr>
      <w:r w:rsidRPr="008F3505">
        <w:rPr>
          <w:rFonts w:ascii="Calibri" w:hAnsi="Calibri" w:cs="Arial"/>
          <w:sz w:val="21"/>
          <w:szCs w:val="21"/>
        </w:rPr>
        <w:t>Each participating district’s pro</w:t>
      </w:r>
      <w:r>
        <w:rPr>
          <w:rFonts w:ascii="Calibri" w:hAnsi="Calibri" w:cs="Arial"/>
          <w:sz w:val="21"/>
          <w:szCs w:val="21"/>
        </w:rPr>
        <w:t xml:space="preserve"> </w:t>
      </w:r>
      <w:r w:rsidRPr="008F3505">
        <w:rPr>
          <w:rFonts w:ascii="Calibri" w:hAnsi="Calibri" w:cs="Arial"/>
          <w:sz w:val="21"/>
          <w:szCs w:val="21"/>
        </w:rPr>
        <w:t xml:space="preserve">rata share of the state’s total number of reimbursable lunches served in the preceding school year is determined. This means that school year 2011-2012 meal totals are used to determine the distribution amount for 2012-2013. </w:t>
      </w:r>
    </w:p>
    <w:p w:rsidR="000A0B54" w:rsidRPr="008F3505" w:rsidRDefault="000A0B54" w:rsidP="000A0B54">
      <w:pPr>
        <w:ind w:left="720"/>
        <w:jc w:val="both"/>
        <w:rPr>
          <w:rFonts w:ascii="Calibri" w:hAnsi="Calibri" w:cs="Arial"/>
          <w:sz w:val="16"/>
          <w:szCs w:val="16"/>
        </w:rPr>
      </w:pPr>
    </w:p>
    <w:p w:rsidR="000A0B54" w:rsidRPr="008F3505" w:rsidRDefault="000A0B54" w:rsidP="000A0B54">
      <w:pPr>
        <w:numPr>
          <w:ilvl w:val="0"/>
          <w:numId w:val="1"/>
        </w:numPr>
        <w:jc w:val="both"/>
        <w:rPr>
          <w:rFonts w:ascii="Calibri" w:hAnsi="Calibri" w:cs="Arial"/>
          <w:sz w:val="21"/>
          <w:szCs w:val="21"/>
        </w:rPr>
      </w:pPr>
      <w:r w:rsidRPr="008F3505">
        <w:rPr>
          <w:rFonts w:ascii="Calibri" w:hAnsi="Calibri" w:cs="Arial"/>
          <w:sz w:val="21"/>
          <w:szCs w:val="21"/>
        </w:rPr>
        <w:t>The pro</w:t>
      </w:r>
      <w:r>
        <w:rPr>
          <w:rFonts w:ascii="Calibri" w:hAnsi="Calibri" w:cs="Arial"/>
          <w:sz w:val="21"/>
          <w:szCs w:val="21"/>
        </w:rPr>
        <w:t xml:space="preserve"> </w:t>
      </w:r>
      <w:r w:rsidRPr="008F3505">
        <w:rPr>
          <w:rFonts w:ascii="Calibri" w:hAnsi="Calibri" w:cs="Arial"/>
          <w:sz w:val="21"/>
          <w:szCs w:val="21"/>
        </w:rPr>
        <w:t xml:space="preserve">rata share factor is applied to the total matching funds made available to determine each participating district’s share. </w:t>
      </w:r>
    </w:p>
    <w:p w:rsidR="000A0B54" w:rsidRPr="008F3505" w:rsidRDefault="000A0B54" w:rsidP="000A0B54">
      <w:pPr>
        <w:ind w:left="720"/>
        <w:jc w:val="both"/>
        <w:rPr>
          <w:rFonts w:ascii="Calibri" w:hAnsi="Calibri" w:cs="Arial"/>
          <w:sz w:val="16"/>
          <w:szCs w:val="16"/>
        </w:rPr>
      </w:pPr>
    </w:p>
    <w:p w:rsidR="000A0B54" w:rsidRPr="008F3505" w:rsidRDefault="000A0B54" w:rsidP="000A0B54">
      <w:pPr>
        <w:numPr>
          <w:ilvl w:val="0"/>
          <w:numId w:val="1"/>
        </w:numPr>
        <w:jc w:val="both"/>
        <w:rPr>
          <w:rFonts w:ascii="Calibri" w:hAnsi="Calibri" w:cs="Arial"/>
          <w:sz w:val="21"/>
          <w:szCs w:val="21"/>
        </w:rPr>
      </w:pPr>
      <w:r w:rsidRPr="008F3505">
        <w:rPr>
          <w:rFonts w:ascii="Calibri" w:hAnsi="Calibri" w:cs="Arial"/>
          <w:sz w:val="21"/>
          <w:szCs w:val="21"/>
        </w:rPr>
        <w:t xml:space="preserve">Each participating district then receives a single lump sum payment each year. </w:t>
      </w:r>
    </w:p>
    <w:p w:rsidR="000A0B54" w:rsidRPr="008F3505" w:rsidRDefault="000A0B54" w:rsidP="000A0B54">
      <w:pPr>
        <w:jc w:val="both"/>
        <w:rPr>
          <w:rFonts w:ascii="Calibri" w:hAnsi="Calibri" w:cs="Arial"/>
          <w:sz w:val="16"/>
          <w:szCs w:val="16"/>
        </w:rPr>
      </w:pPr>
    </w:p>
    <w:p w:rsidR="000A0B54" w:rsidRPr="008F3505" w:rsidRDefault="000A0B54" w:rsidP="000A0B54">
      <w:pPr>
        <w:numPr>
          <w:ilvl w:val="0"/>
          <w:numId w:val="1"/>
        </w:numPr>
        <w:jc w:val="both"/>
        <w:rPr>
          <w:rFonts w:ascii="Calibri" w:hAnsi="Calibri" w:cs="Arial"/>
          <w:sz w:val="21"/>
          <w:szCs w:val="21"/>
        </w:rPr>
      </w:pPr>
      <w:r w:rsidRPr="008F3505">
        <w:rPr>
          <w:rFonts w:ascii="Calibri" w:hAnsi="Calibri" w:cs="Arial"/>
          <w:sz w:val="21"/>
          <w:szCs w:val="21"/>
        </w:rPr>
        <w:t>Although the payment is based upon a proration method using the prior year’s meal counts, the funds should be recognized as current school year (2012-2013) revenue.</w:t>
      </w:r>
    </w:p>
    <w:p w:rsidR="000A0B54" w:rsidRPr="008F3505" w:rsidRDefault="000A0B54" w:rsidP="000A0B54">
      <w:pPr>
        <w:ind w:left="720"/>
        <w:jc w:val="both"/>
        <w:rPr>
          <w:rFonts w:ascii="Calibri" w:hAnsi="Calibri" w:cs="Arial"/>
          <w:sz w:val="16"/>
          <w:szCs w:val="16"/>
        </w:rPr>
      </w:pPr>
    </w:p>
    <w:p w:rsidR="000A0B54" w:rsidRPr="008F3505" w:rsidRDefault="000A0B54" w:rsidP="000A0B54">
      <w:pPr>
        <w:numPr>
          <w:ilvl w:val="0"/>
          <w:numId w:val="1"/>
        </w:numPr>
        <w:jc w:val="both"/>
        <w:rPr>
          <w:rFonts w:ascii="Calibri" w:hAnsi="Calibri"/>
          <w:sz w:val="21"/>
          <w:szCs w:val="21"/>
        </w:rPr>
      </w:pPr>
      <w:r w:rsidRPr="008F3505">
        <w:rPr>
          <w:rFonts w:ascii="Calibri" w:hAnsi="Calibri" w:cs="Arial"/>
          <w:sz w:val="21"/>
          <w:szCs w:val="21"/>
        </w:rPr>
        <w:t>The payment will be identified as “</w:t>
      </w:r>
      <w:r w:rsidRPr="008F3505">
        <w:rPr>
          <w:rFonts w:ascii="Calibri" w:hAnsi="Calibri" w:cs="Arial"/>
          <w:bCs/>
          <w:sz w:val="21"/>
          <w:szCs w:val="21"/>
        </w:rPr>
        <w:t>SMCN – State Matching, Child Nutrition.</w:t>
      </w:r>
      <w:r w:rsidRPr="008F3505">
        <w:rPr>
          <w:rFonts w:ascii="Calibri" w:hAnsi="Calibri" w:cs="Arial"/>
          <w:sz w:val="21"/>
          <w:szCs w:val="21"/>
        </w:rPr>
        <w:t xml:space="preserve">” The funds must be deposited to the Food Service Fund (Fund 51), and the grant code must reflect grant code </w:t>
      </w:r>
      <w:r w:rsidRPr="008F3505">
        <w:rPr>
          <w:rFonts w:ascii="Calibri" w:hAnsi="Calibri" w:cs="Arial"/>
          <w:bCs/>
          <w:sz w:val="21"/>
          <w:szCs w:val="21"/>
          <w:u w:val="single"/>
        </w:rPr>
        <w:t>3161</w:t>
      </w:r>
      <w:r w:rsidRPr="008F3505">
        <w:rPr>
          <w:rFonts w:ascii="Calibri" w:hAnsi="Calibri" w:cs="Arial"/>
          <w:sz w:val="21"/>
          <w:szCs w:val="21"/>
        </w:rPr>
        <w:t xml:space="preserve">, for proper tracking. It is </w:t>
      </w:r>
      <w:r w:rsidRPr="008F3505">
        <w:rPr>
          <w:rFonts w:ascii="Calibri" w:hAnsi="Calibri" w:cs="Arial"/>
          <w:sz w:val="21"/>
          <w:szCs w:val="21"/>
          <w:u w:val="single"/>
        </w:rPr>
        <w:t>not</w:t>
      </w:r>
      <w:r w:rsidRPr="008F3505">
        <w:rPr>
          <w:rFonts w:ascii="Calibri" w:hAnsi="Calibri" w:cs="Arial"/>
          <w:sz w:val="21"/>
          <w:szCs w:val="21"/>
        </w:rPr>
        <w:t xml:space="preserve"> necessary to track expenditures with the grant code 3161 because these funds may be used for any allowable food service program costs. The statute is very specific in the requirement that these funds are to be used solely to benefit your Child Nutrition Program operations, and not for any other purposes.</w:t>
      </w:r>
    </w:p>
    <w:p w:rsidR="000A0B54" w:rsidRPr="008F3505" w:rsidRDefault="000A0B54" w:rsidP="000A0B54">
      <w:pPr>
        <w:ind w:left="720"/>
        <w:jc w:val="both"/>
        <w:rPr>
          <w:rFonts w:ascii="Calibri" w:hAnsi="Calibri" w:cs="Arial"/>
          <w:sz w:val="16"/>
          <w:szCs w:val="16"/>
        </w:rPr>
      </w:pPr>
    </w:p>
    <w:p w:rsidR="000A0B54" w:rsidRPr="008F3505" w:rsidRDefault="000A0B54" w:rsidP="000A0B54">
      <w:pPr>
        <w:pStyle w:val="ListParagraph"/>
        <w:numPr>
          <w:ilvl w:val="0"/>
          <w:numId w:val="2"/>
        </w:numPr>
        <w:jc w:val="both"/>
        <w:rPr>
          <w:rFonts w:ascii="Calibri" w:hAnsi="Calibri" w:cs="Arial"/>
          <w:sz w:val="21"/>
          <w:szCs w:val="21"/>
        </w:rPr>
      </w:pPr>
      <w:r w:rsidRPr="008F3505">
        <w:rPr>
          <w:rFonts w:ascii="Calibri" w:hAnsi="Calibri" w:cs="Arial"/>
          <w:sz w:val="21"/>
          <w:szCs w:val="21"/>
        </w:rPr>
        <w:t xml:space="preserve">Furthermore, these funds are to be used to “supplement and not supplant” other funds.  </w:t>
      </w:r>
    </w:p>
    <w:p w:rsidR="000A0B54" w:rsidRPr="008F3505" w:rsidRDefault="000A0B54" w:rsidP="000A0B54">
      <w:pPr>
        <w:ind w:left="720"/>
        <w:jc w:val="both"/>
        <w:rPr>
          <w:rFonts w:ascii="Calibri" w:hAnsi="Calibri" w:cs="Arial"/>
          <w:sz w:val="16"/>
          <w:szCs w:val="16"/>
        </w:rPr>
      </w:pPr>
    </w:p>
    <w:p w:rsidR="000A0B54" w:rsidRPr="008F3505" w:rsidRDefault="000A0B54" w:rsidP="000A0B54">
      <w:pPr>
        <w:jc w:val="both"/>
        <w:rPr>
          <w:rFonts w:ascii="Calibri" w:hAnsi="Calibri" w:cs="Arial"/>
          <w:sz w:val="21"/>
          <w:szCs w:val="21"/>
        </w:rPr>
      </w:pPr>
      <w:r w:rsidRPr="008F3505">
        <w:rPr>
          <w:rFonts w:ascii="Calibri" w:hAnsi="Calibri" w:cs="Arial"/>
          <w:sz w:val="21"/>
          <w:szCs w:val="21"/>
        </w:rPr>
        <w:t>If you have questions please contact me at 303.866.6450 or 888.245.6092 (outside the Denver metro area).</w:t>
      </w:r>
    </w:p>
    <w:p w:rsidR="000A0B54" w:rsidRPr="008F3505" w:rsidRDefault="000A0B54" w:rsidP="000A0B54">
      <w:pPr>
        <w:ind w:left="720"/>
        <w:rPr>
          <w:rFonts w:ascii="Calibri" w:hAnsi="Calibri" w:cs="Arial"/>
          <w:sz w:val="21"/>
          <w:szCs w:val="21"/>
        </w:rPr>
      </w:pPr>
    </w:p>
    <w:p w:rsidR="000A0B54" w:rsidRPr="008F3505" w:rsidRDefault="000A0B54" w:rsidP="000A0B54">
      <w:pPr>
        <w:ind w:left="720"/>
        <w:rPr>
          <w:rFonts w:ascii="Calibri" w:hAnsi="Calibri" w:cs="Arial"/>
          <w:sz w:val="16"/>
          <w:szCs w:val="16"/>
        </w:rPr>
      </w:pPr>
    </w:p>
    <w:p w:rsidR="00D62169" w:rsidRDefault="000A0B54" w:rsidP="000A0B54">
      <w:r w:rsidRPr="008F3505">
        <w:rPr>
          <w:rFonts w:ascii="Calibri" w:hAnsi="Calibri" w:cs="Arial"/>
          <w:sz w:val="21"/>
          <w:szCs w:val="21"/>
        </w:rPr>
        <w:t>Enclosure</w:t>
      </w:r>
    </w:p>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736F"/>
    <w:multiLevelType w:val="hybridMultilevel"/>
    <w:tmpl w:val="B3322D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F40D35"/>
    <w:multiLevelType w:val="hybridMultilevel"/>
    <w:tmpl w:val="AA1EC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A0B54"/>
    <w:rsid w:val="000A0B54"/>
    <w:rsid w:val="001845C5"/>
    <w:rsid w:val="00976607"/>
    <w:rsid w:val="0099647A"/>
    <w:rsid w:val="00A930FD"/>
    <w:rsid w:val="00CA0859"/>
    <w:rsid w:val="00D62169"/>
    <w:rsid w:val="00D6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B54"/>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B5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Company>CDE</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Macklin_S</cp:lastModifiedBy>
  <cp:revision>2</cp:revision>
  <dcterms:created xsi:type="dcterms:W3CDTF">2012-12-11T16:31:00Z</dcterms:created>
  <dcterms:modified xsi:type="dcterms:W3CDTF">2012-12-11T16:31:00Z</dcterms:modified>
</cp:coreProperties>
</file>