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0" w:type="dxa"/>
        <w:tblLook w:val="04A0"/>
      </w:tblPr>
      <w:tblGrid>
        <w:gridCol w:w="4083"/>
        <w:gridCol w:w="3698"/>
        <w:gridCol w:w="6529"/>
      </w:tblGrid>
      <w:tr w:rsidR="008C66D9" w:rsidRPr="008C66D9" w:rsidTr="00F632AF">
        <w:tc>
          <w:tcPr>
            <w:tcW w:w="4914" w:type="dxa"/>
            <w:shd w:val="clear" w:color="auto" w:fill="00B050"/>
          </w:tcPr>
          <w:p w:rsidR="008C66D9" w:rsidRPr="008C66D9" w:rsidRDefault="008C66D9">
            <w:pPr>
              <w:rPr>
                <w:b/>
              </w:rPr>
            </w:pPr>
            <w:r w:rsidRPr="008C66D9">
              <w:rPr>
                <w:b/>
              </w:rPr>
              <w:t>Program</w:t>
            </w:r>
          </w:p>
        </w:tc>
        <w:tc>
          <w:tcPr>
            <w:tcW w:w="4392" w:type="dxa"/>
            <w:shd w:val="clear" w:color="auto" w:fill="00B050"/>
          </w:tcPr>
          <w:p w:rsidR="008C66D9" w:rsidRPr="008C66D9" w:rsidRDefault="008C66D9">
            <w:pPr>
              <w:rPr>
                <w:b/>
              </w:rPr>
            </w:pPr>
            <w:r w:rsidRPr="008C66D9">
              <w:rPr>
                <w:b/>
              </w:rPr>
              <w:t>Regulation</w:t>
            </w:r>
          </w:p>
        </w:tc>
        <w:tc>
          <w:tcPr>
            <w:tcW w:w="5004" w:type="dxa"/>
            <w:shd w:val="clear" w:color="auto" w:fill="00B050"/>
          </w:tcPr>
          <w:p w:rsidR="008C66D9" w:rsidRPr="008C66D9" w:rsidRDefault="008C66D9">
            <w:pPr>
              <w:rPr>
                <w:b/>
              </w:rPr>
            </w:pPr>
            <w:r w:rsidRPr="008C66D9">
              <w:rPr>
                <w:b/>
              </w:rPr>
              <w:t>Description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8C66D9" w:rsidP="008C66D9">
            <w:r>
              <w:t>Direct Cert</w:t>
            </w:r>
          </w:p>
        </w:tc>
        <w:tc>
          <w:tcPr>
            <w:tcW w:w="4392" w:type="dxa"/>
            <w:vAlign w:val="center"/>
          </w:tcPr>
          <w:p w:rsidR="008C66D9" w:rsidRDefault="008C66D9" w:rsidP="008C66D9">
            <w:r>
              <w:t>Frequency of Matching</w:t>
            </w:r>
          </w:p>
        </w:tc>
        <w:tc>
          <w:tcPr>
            <w:tcW w:w="5004" w:type="dxa"/>
            <w:vAlign w:val="center"/>
          </w:tcPr>
          <w:p w:rsidR="008C66D9" w:rsidRDefault="00F5405D" w:rsidP="008C66D9">
            <w:r>
              <w:t>Matching must be done 3 times</w:t>
            </w:r>
            <w:r w:rsidR="008C66D9">
              <w:t xml:space="preserve"> per year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8C66D9" w:rsidP="008C66D9">
            <w:r>
              <w:t>Direct Cert</w:t>
            </w:r>
          </w:p>
        </w:tc>
        <w:tc>
          <w:tcPr>
            <w:tcW w:w="4392" w:type="dxa"/>
            <w:vAlign w:val="center"/>
          </w:tcPr>
          <w:p w:rsidR="008C66D9" w:rsidRDefault="008C66D9" w:rsidP="008C66D9">
            <w:r>
              <w:t>Benchmarks</w:t>
            </w:r>
          </w:p>
        </w:tc>
        <w:tc>
          <w:tcPr>
            <w:tcW w:w="5004" w:type="dxa"/>
            <w:vAlign w:val="center"/>
          </w:tcPr>
          <w:p w:rsidR="008C66D9" w:rsidRDefault="008C66D9" w:rsidP="008C66D9">
            <w:r>
              <w:t>Requires 80% of eligible students to be matched in 11-12; 90%, in 12-13; &amp; 95% in 13-14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8C66D9" w:rsidP="008C66D9">
            <w:r>
              <w:t>Free and Reduced</w:t>
            </w:r>
          </w:p>
        </w:tc>
        <w:tc>
          <w:tcPr>
            <w:tcW w:w="4392" w:type="dxa"/>
            <w:vAlign w:val="center"/>
          </w:tcPr>
          <w:p w:rsidR="008C66D9" w:rsidRDefault="008C66D9" w:rsidP="008C66D9">
            <w:r>
              <w:t>Foster Children</w:t>
            </w:r>
          </w:p>
        </w:tc>
        <w:tc>
          <w:tcPr>
            <w:tcW w:w="5004" w:type="dxa"/>
            <w:vAlign w:val="center"/>
          </w:tcPr>
          <w:p w:rsidR="008C66D9" w:rsidRDefault="008C66D9" w:rsidP="008C66D9">
            <w:r>
              <w:t>Foster children are categorically eligible; they are no longer a household of one; districts are encouraged to obtain lists from the county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8C66D9" w:rsidP="008C66D9">
            <w:r>
              <w:t>Free and Reduced</w:t>
            </w:r>
          </w:p>
        </w:tc>
        <w:tc>
          <w:tcPr>
            <w:tcW w:w="4392" w:type="dxa"/>
            <w:vAlign w:val="center"/>
          </w:tcPr>
          <w:p w:rsidR="008C66D9" w:rsidRDefault="008C66D9" w:rsidP="008C66D9">
            <w:r>
              <w:t>Social Security Numbers</w:t>
            </w:r>
          </w:p>
        </w:tc>
        <w:tc>
          <w:tcPr>
            <w:tcW w:w="5004" w:type="dxa"/>
            <w:vAlign w:val="center"/>
          </w:tcPr>
          <w:p w:rsidR="008C66D9" w:rsidRDefault="008C66D9" w:rsidP="008C66D9">
            <w:r>
              <w:t>Only the last four digits must be provided on applications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8C66D9" w:rsidP="008C66D9">
            <w:r>
              <w:t>Verification</w:t>
            </w:r>
          </w:p>
        </w:tc>
        <w:tc>
          <w:tcPr>
            <w:tcW w:w="4392" w:type="dxa"/>
            <w:vAlign w:val="center"/>
          </w:tcPr>
          <w:p w:rsidR="008C66D9" w:rsidRDefault="008C66D9" w:rsidP="008C66D9">
            <w:r>
              <w:t>Social Security Numbers</w:t>
            </w:r>
          </w:p>
        </w:tc>
        <w:tc>
          <w:tcPr>
            <w:tcW w:w="5004" w:type="dxa"/>
            <w:vAlign w:val="center"/>
          </w:tcPr>
          <w:p w:rsidR="008C66D9" w:rsidRDefault="008C66D9" w:rsidP="008C66D9">
            <w:r>
              <w:t>Removes the requirement that SSNs be collected for Verification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DF69CC" w:rsidP="008C66D9">
            <w:r>
              <w:t>Nutrition Standards</w:t>
            </w:r>
          </w:p>
        </w:tc>
        <w:tc>
          <w:tcPr>
            <w:tcW w:w="4392" w:type="dxa"/>
            <w:vAlign w:val="center"/>
          </w:tcPr>
          <w:p w:rsidR="00D303C4" w:rsidRDefault="004E1F73" w:rsidP="008C66D9">
            <w:r>
              <w:t>New Meal Patterns</w:t>
            </w:r>
          </w:p>
        </w:tc>
        <w:tc>
          <w:tcPr>
            <w:tcW w:w="5004" w:type="dxa"/>
            <w:vAlign w:val="center"/>
          </w:tcPr>
          <w:p w:rsidR="008C66D9" w:rsidRDefault="00DF69CC" w:rsidP="008C66D9">
            <w:r>
              <w:t xml:space="preserve">Includes </w:t>
            </w:r>
            <w:r w:rsidR="00D303C4">
              <w:t xml:space="preserve">$0.06 reimbursement increase, elimination of NSMP, new breakfast and lunch meal patterns, 3-year CRE cycle, 2-week review period, </w:t>
            </w:r>
            <w:r w:rsidR="00517B7D">
              <w:t xml:space="preserve">SMI-CRE combination, and </w:t>
            </w:r>
            <w:r w:rsidR="00D303C4">
              <w:t>milk to be fat-free (flavored or unflavored) or 1% (unflavored)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D303C4" w:rsidP="008C66D9">
            <w:r>
              <w:t>Meal Service</w:t>
            </w:r>
          </w:p>
        </w:tc>
        <w:tc>
          <w:tcPr>
            <w:tcW w:w="4392" w:type="dxa"/>
            <w:vAlign w:val="center"/>
          </w:tcPr>
          <w:p w:rsidR="008C66D9" w:rsidRDefault="00D303C4" w:rsidP="008C66D9">
            <w:r>
              <w:t>Water</w:t>
            </w:r>
          </w:p>
        </w:tc>
        <w:tc>
          <w:tcPr>
            <w:tcW w:w="5004" w:type="dxa"/>
            <w:vAlign w:val="center"/>
          </w:tcPr>
          <w:p w:rsidR="008C66D9" w:rsidRDefault="00F5405D" w:rsidP="008C66D9">
            <w:r>
              <w:t>Water is to be available, without restriction, at no charge, in the place where lunch meals are served</w:t>
            </w:r>
            <w:r w:rsidR="002C1BF0">
              <w:t>; also applies to ACSP</w:t>
            </w:r>
          </w:p>
        </w:tc>
      </w:tr>
      <w:tr w:rsidR="008C66D9" w:rsidTr="00F632AF">
        <w:tc>
          <w:tcPr>
            <w:tcW w:w="4914" w:type="dxa"/>
            <w:vAlign w:val="center"/>
          </w:tcPr>
          <w:p w:rsidR="008C66D9" w:rsidRDefault="00F5405D" w:rsidP="008C66D9">
            <w:r>
              <w:t>Meal Service</w:t>
            </w:r>
          </w:p>
        </w:tc>
        <w:tc>
          <w:tcPr>
            <w:tcW w:w="4392" w:type="dxa"/>
            <w:vAlign w:val="center"/>
          </w:tcPr>
          <w:p w:rsidR="008C66D9" w:rsidRDefault="00F5405D" w:rsidP="008C66D9">
            <w:r>
              <w:t>Milk</w:t>
            </w:r>
          </w:p>
        </w:tc>
        <w:tc>
          <w:tcPr>
            <w:tcW w:w="5004" w:type="dxa"/>
            <w:vAlign w:val="center"/>
          </w:tcPr>
          <w:p w:rsidR="008C66D9" w:rsidRPr="00F5405D" w:rsidRDefault="00F5405D" w:rsidP="004E1F73">
            <w:r w:rsidRPr="00F5405D">
              <w:t xml:space="preserve">SFAs must offer at least two choices from </w:t>
            </w:r>
            <w:r w:rsidRPr="00F5405D">
              <w:rPr>
                <w:rFonts w:ascii="Calibri" w:eastAsia="Calibri" w:hAnsi="Calibri" w:cs="Times New Roman"/>
                <w:bCs/>
              </w:rPr>
              <w:t xml:space="preserve">fat-free milk, </w:t>
            </w:r>
            <w:r>
              <w:rPr>
                <w:bCs/>
              </w:rPr>
              <w:t xml:space="preserve">low-fat </w:t>
            </w:r>
            <w:r w:rsidRPr="00F5405D">
              <w:rPr>
                <w:rFonts w:ascii="Calibri" w:eastAsia="Calibri" w:hAnsi="Calibri" w:cs="Times New Roman"/>
                <w:bCs/>
              </w:rPr>
              <w:t xml:space="preserve">milk, </w:t>
            </w:r>
            <w:r w:rsidRPr="00F5405D">
              <w:rPr>
                <w:rFonts w:ascii="Calibri" w:eastAsia="Calibri" w:hAnsi="Calibri" w:cs="Times New Roman"/>
              </w:rPr>
              <w:t xml:space="preserve">fat-free or low-fat </w:t>
            </w:r>
            <w:r w:rsidRPr="00F5405D">
              <w:rPr>
                <w:rFonts w:ascii="Calibri" w:eastAsia="Calibri" w:hAnsi="Calibri" w:cs="Times New Roman"/>
                <w:bCs/>
              </w:rPr>
              <w:t xml:space="preserve">lactose reduced milk, </w:t>
            </w:r>
            <w:r w:rsidRPr="00F5405D">
              <w:rPr>
                <w:rFonts w:ascii="Calibri" w:eastAsia="Calibri" w:hAnsi="Calibri" w:cs="Times New Roman"/>
              </w:rPr>
              <w:t xml:space="preserve">fat-free or low-fat </w:t>
            </w:r>
            <w:r w:rsidRPr="00F5405D">
              <w:rPr>
                <w:rFonts w:ascii="Calibri" w:eastAsia="Calibri" w:hAnsi="Calibri" w:cs="Times New Roman"/>
                <w:bCs/>
              </w:rPr>
              <w:t xml:space="preserve">lactose-free milk, </w:t>
            </w:r>
            <w:r w:rsidRPr="00F5405D">
              <w:rPr>
                <w:rFonts w:ascii="Calibri" w:eastAsia="Calibri" w:hAnsi="Calibri" w:cs="Times New Roman"/>
              </w:rPr>
              <w:t xml:space="preserve">fat-free or low-fat </w:t>
            </w:r>
            <w:r w:rsidRPr="00F5405D">
              <w:rPr>
                <w:rFonts w:ascii="Calibri" w:eastAsia="Calibri" w:hAnsi="Calibri" w:cs="Times New Roman"/>
                <w:bCs/>
              </w:rPr>
              <w:t xml:space="preserve">buttermilk, and </w:t>
            </w:r>
            <w:r w:rsidRPr="00F5405D">
              <w:rPr>
                <w:rFonts w:ascii="Calibri" w:eastAsia="Calibri" w:hAnsi="Calibri" w:cs="Times New Roman"/>
              </w:rPr>
              <w:t xml:space="preserve">fat-free or low-fat </w:t>
            </w:r>
            <w:r w:rsidRPr="00F5405D">
              <w:rPr>
                <w:rFonts w:ascii="Calibri" w:eastAsia="Calibri" w:hAnsi="Calibri" w:cs="Times New Roman"/>
                <w:bCs/>
              </w:rPr>
              <w:t>acidified milk</w:t>
            </w:r>
            <w:r w:rsidRPr="00F5405D">
              <w:rPr>
                <w:bCs/>
              </w:rPr>
              <w:t xml:space="preserve">; </w:t>
            </w:r>
            <w:r w:rsidR="004E1F73">
              <w:rPr>
                <w:bCs/>
              </w:rPr>
              <w:t>now that the New Meal Patterns are in effect, if flavored milk is offered, it must be fat-free</w:t>
            </w:r>
            <w:r w:rsidR="00042CC5">
              <w:rPr>
                <w:bCs/>
              </w:rPr>
              <w:t>.</w:t>
            </w:r>
          </w:p>
        </w:tc>
      </w:tr>
      <w:tr w:rsidR="008C66D9" w:rsidTr="00C2122A">
        <w:tc>
          <w:tcPr>
            <w:tcW w:w="4914" w:type="dxa"/>
            <w:vAlign w:val="center"/>
          </w:tcPr>
          <w:p w:rsidR="008C66D9" w:rsidRDefault="00B25844" w:rsidP="008C66D9">
            <w:r>
              <w:t>Meal Service</w:t>
            </w:r>
          </w:p>
        </w:tc>
        <w:tc>
          <w:tcPr>
            <w:tcW w:w="4392" w:type="dxa"/>
            <w:vAlign w:val="center"/>
          </w:tcPr>
          <w:p w:rsidR="008C66D9" w:rsidRDefault="00B25844" w:rsidP="008C66D9">
            <w:r>
              <w:t>School Food Safety Program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C66D9" w:rsidRDefault="00B25844" w:rsidP="008C66D9">
            <w:r>
              <w:t>HACCP principles are to be applied to any facility/part of a facility where food is stored, prepared, or served for any FNS program</w:t>
            </w:r>
          </w:p>
        </w:tc>
      </w:tr>
      <w:tr w:rsidR="00EA2578" w:rsidTr="00C2122A">
        <w:tc>
          <w:tcPr>
            <w:tcW w:w="4914" w:type="dxa"/>
            <w:vAlign w:val="center"/>
          </w:tcPr>
          <w:p w:rsidR="00EA2578" w:rsidRDefault="00EA2578" w:rsidP="00483384">
            <w:r>
              <w:t>Wellness</w:t>
            </w:r>
          </w:p>
        </w:tc>
        <w:tc>
          <w:tcPr>
            <w:tcW w:w="4392" w:type="dxa"/>
            <w:vAlign w:val="center"/>
          </w:tcPr>
          <w:p w:rsidR="00EA2578" w:rsidRDefault="00EA2578" w:rsidP="00483384">
            <w:r>
              <w:t>Local Wellness Policies</w:t>
            </w:r>
          </w:p>
        </w:tc>
        <w:tc>
          <w:tcPr>
            <w:tcW w:w="5004" w:type="dxa"/>
            <w:shd w:val="clear" w:color="auto" w:fill="FFFFFF" w:themeFill="background1"/>
            <w:vAlign w:val="center"/>
          </w:tcPr>
          <w:p w:rsidR="00EA2578" w:rsidRDefault="00C2122A" w:rsidP="00C2122A">
            <w:r>
              <w:t>WP are to include goals for nutrition promotion; public involvement is expanded; WP information must be made available to the public; SFAs are required to measure/assess the WP; SFA official to be designated to ensure compliance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483384">
            <w:r>
              <w:t>Food Safety Inspections</w:t>
            </w:r>
          </w:p>
        </w:tc>
        <w:tc>
          <w:tcPr>
            <w:tcW w:w="4392" w:type="dxa"/>
            <w:vAlign w:val="center"/>
          </w:tcPr>
          <w:p w:rsidR="00AF6C12" w:rsidRDefault="00AF6C12" w:rsidP="00483384">
            <w:r>
              <w:t>Food Safety Inspection Reports</w:t>
            </w:r>
          </w:p>
        </w:tc>
        <w:tc>
          <w:tcPr>
            <w:tcW w:w="5004" w:type="dxa"/>
            <w:vAlign w:val="center"/>
          </w:tcPr>
          <w:p w:rsidR="00AF6C12" w:rsidRDefault="00AF6C12" w:rsidP="00483384">
            <w:r>
              <w:t>Reporting requirements are extended through FY 15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Breakfast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Breakfast Outreach</w:t>
            </w:r>
          </w:p>
        </w:tc>
        <w:tc>
          <w:tcPr>
            <w:tcW w:w="5004" w:type="dxa"/>
            <w:vAlign w:val="center"/>
          </w:tcPr>
          <w:p w:rsidR="00AF6C12" w:rsidRDefault="00AF6C12" w:rsidP="008C66D9">
            <w:r>
              <w:t>SFAs are to inform eligible families of the availability of breakfasts—just prior to or at the beginning of the year in the packets sent with F&amp;R apps; reminders should be sent multiple times in the year; can be through means normally used to communicate; can be printed or electronic</w:t>
            </w:r>
            <w:r w:rsidR="00EE6CE6">
              <w:t xml:space="preserve">. Helpful toolkit at </w:t>
            </w:r>
            <w:hyperlink r:id="rId6" w:history="1">
              <w:r w:rsidR="00EE6CE6" w:rsidRPr="00AF793F">
                <w:rPr>
                  <w:rStyle w:val="Hyperlink"/>
                  <w:sz w:val="24"/>
                  <w:szCs w:val="24"/>
                </w:rPr>
                <w:t>http://www.fns.usda.gov/cnd/Breakfast/expansion/default.htm</w:t>
              </w:r>
            </w:hyperlink>
            <w:r w:rsidR="00EE6CE6">
              <w:rPr>
                <w:sz w:val="24"/>
                <w:szCs w:val="24"/>
              </w:rPr>
              <w:t>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Financial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Equity in School Lunch Pricing</w:t>
            </w:r>
          </w:p>
        </w:tc>
        <w:tc>
          <w:tcPr>
            <w:tcW w:w="5004" w:type="dxa"/>
            <w:vAlign w:val="center"/>
          </w:tcPr>
          <w:p w:rsidR="00AF6C12" w:rsidRDefault="00AF6C12" w:rsidP="004E1F73">
            <w:r>
              <w:t xml:space="preserve">SFAs not charging, on average, the difference between the paid and free reimbursement are required to raise prices, over time, according to formulas provided. The </w:t>
            </w:r>
            <w:r w:rsidR="004E1F73">
              <w:t>annual cap is $0.10 regarding the highest amount SFAs would be required to raise prices in any one year.</w:t>
            </w:r>
          </w:p>
        </w:tc>
      </w:tr>
      <w:tr w:rsidR="0023190C" w:rsidTr="004E1F73">
        <w:tc>
          <w:tcPr>
            <w:tcW w:w="4914" w:type="dxa"/>
            <w:vAlign w:val="center"/>
          </w:tcPr>
          <w:p w:rsidR="0023190C" w:rsidRDefault="0023190C" w:rsidP="008C66D9">
            <w:r>
              <w:lastRenderedPageBreak/>
              <w:t>Financial</w:t>
            </w:r>
          </w:p>
        </w:tc>
        <w:tc>
          <w:tcPr>
            <w:tcW w:w="4392" w:type="dxa"/>
            <w:vAlign w:val="center"/>
          </w:tcPr>
          <w:p w:rsidR="0023190C" w:rsidRDefault="008376E8" w:rsidP="008C66D9">
            <w:r>
              <w:t>Revenue from Non-program Food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23190C" w:rsidRDefault="008376E8" w:rsidP="008C66D9">
            <w:r>
              <w:t>All foods not part of the reimbursable meal must generate revenue at least equal to the cost.</w:t>
            </w:r>
          </w:p>
        </w:tc>
      </w:tr>
      <w:tr w:rsidR="006F177E" w:rsidTr="004E1F73">
        <w:tc>
          <w:tcPr>
            <w:tcW w:w="4914" w:type="dxa"/>
            <w:vAlign w:val="center"/>
          </w:tcPr>
          <w:p w:rsidR="006F177E" w:rsidRDefault="006F177E" w:rsidP="008C66D9">
            <w:r>
              <w:t>Financial</w:t>
            </w:r>
          </w:p>
        </w:tc>
        <w:tc>
          <w:tcPr>
            <w:tcW w:w="4392" w:type="dxa"/>
            <w:vAlign w:val="center"/>
          </w:tcPr>
          <w:p w:rsidR="006F177E" w:rsidRDefault="006F177E" w:rsidP="008C66D9">
            <w:r>
              <w:t>Indirect Costs Guidance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6F177E" w:rsidRDefault="004E1F73" w:rsidP="008C66D9">
            <w:r>
              <w:t>Provides information on indirect costs charged to SFAs.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Misc.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Cooperation with Program Research</w:t>
            </w:r>
          </w:p>
        </w:tc>
        <w:tc>
          <w:tcPr>
            <w:tcW w:w="5004" w:type="dxa"/>
            <w:vAlign w:val="center"/>
          </w:tcPr>
          <w:p w:rsidR="00AF6C12" w:rsidRDefault="00AF6C12" w:rsidP="008C66D9">
            <w:r>
              <w:t>SAs, SFAs, and schools are required to cooperate with USDA officials/contractors conducting evaluations &amp; research.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State Agency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Full Use of Federal Funds</w:t>
            </w:r>
          </w:p>
        </w:tc>
        <w:tc>
          <w:tcPr>
            <w:tcW w:w="5004" w:type="dxa"/>
            <w:vAlign w:val="center"/>
          </w:tcPr>
          <w:p w:rsidR="00AF6C12" w:rsidRDefault="00AF6C12" w:rsidP="008C66D9">
            <w:r>
              <w:t>Federal funds are not to be subject to state budget restrictions or limitations including hiring freezes, furloughs, and travel restrictions.</w:t>
            </w:r>
          </w:p>
        </w:tc>
      </w:tr>
      <w:tr w:rsidR="007B4739" w:rsidTr="00F632AF">
        <w:tc>
          <w:tcPr>
            <w:tcW w:w="4914" w:type="dxa"/>
            <w:vAlign w:val="center"/>
          </w:tcPr>
          <w:p w:rsidR="007B4739" w:rsidRDefault="007B4739" w:rsidP="008C66D9">
            <w:r>
              <w:t>Farm to School</w:t>
            </w:r>
          </w:p>
        </w:tc>
        <w:tc>
          <w:tcPr>
            <w:tcW w:w="4392" w:type="dxa"/>
            <w:vAlign w:val="center"/>
          </w:tcPr>
          <w:p w:rsidR="007B4739" w:rsidRDefault="007B4739" w:rsidP="008C66D9">
            <w:r>
              <w:t>Grants</w:t>
            </w:r>
          </w:p>
        </w:tc>
        <w:tc>
          <w:tcPr>
            <w:tcW w:w="5004" w:type="dxa"/>
            <w:vAlign w:val="center"/>
          </w:tcPr>
          <w:p w:rsidR="007B4739" w:rsidRDefault="007B4739" w:rsidP="008C66D9">
            <w:r>
              <w:t>Request for applications for grants has been issued.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Permanent Agreements</w:t>
            </w:r>
          </w:p>
        </w:tc>
        <w:tc>
          <w:tcPr>
            <w:tcW w:w="5004" w:type="dxa"/>
            <w:vAlign w:val="center"/>
          </w:tcPr>
          <w:p w:rsidR="00AF6C12" w:rsidRDefault="00E35C00" w:rsidP="008C66D9">
            <w:r>
              <w:t>There must now be permanent agreements between the SA and all SFSP sponsors. Current sponsors in the future will submit an annual budget to be reviewed by the SA.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Site Limits</w:t>
            </w:r>
          </w:p>
        </w:tc>
        <w:tc>
          <w:tcPr>
            <w:tcW w:w="5004" w:type="dxa"/>
            <w:vAlign w:val="center"/>
          </w:tcPr>
          <w:p w:rsidR="00AF6C12" w:rsidRDefault="00D03FED" w:rsidP="008C66D9">
            <w:r>
              <w:t>All sponsors may operate 200 sites and serve an average of 50,000 children daily.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SFSP Outreach</w:t>
            </w:r>
          </w:p>
        </w:tc>
        <w:tc>
          <w:tcPr>
            <w:tcW w:w="5004" w:type="dxa"/>
            <w:vAlign w:val="center"/>
          </w:tcPr>
          <w:p w:rsidR="00AF6C12" w:rsidRPr="00495DE3" w:rsidRDefault="00495DE3" w:rsidP="008C66D9">
            <w:r w:rsidRPr="00495DE3">
              <w:t xml:space="preserve">SFAs must cooperate with SFSP sponsors, to the maximum extent practicable, to inform eligible families of the availability &amp; location of SFSP meals. Can be through normal communication means. Helpful toolkit at </w:t>
            </w:r>
            <w:hyperlink r:id="rId7" w:history="1">
              <w:r w:rsidRPr="00495DE3">
                <w:rPr>
                  <w:rStyle w:val="Hyperlink"/>
                  <w:rFonts w:ascii="Calibri" w:eastAsia="Calibri" w:hAnsi="Calibri" w:cs="Times New Roman"/>
                  <w:color w:val="0000FF"/>
                </w:rPr>
                <w:t>www.summerfood.usda.gov/library/toolkit.pdf</w:t>
              </w:r>
            </w:hyperlink>
            <w:r w:rsidRPr="00495DE3">
              <w:t xml:space="preserve">. 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Meal Times &amp; Offer vs. Serve</w:t>
            </w:r>
          </w:p>
        </w:tc>
        <w:tc>
          <w:tcPr>
            <w:tcW w:w="5004" w:type="dxa"/>
            <w:vAlign w:val="center"/>
          </w:tcPr>
          <w:p w:rsidR="00AF6C12" w:rsidRDefault="00483384" w:rsidP="008C66D9">
            <w:r>
              <w:t>Restrictions on amount of time between meals and amount of time for meals are waived. Meal times must still be provided to and approved by the SA. Non-school sponsors may now use OVS</w:t>
            </w:r>
            <w:r w:rsidR="000F55E9">
              <w:t xml:space="preserve"> (following the food-based approach)</w:t>
            </w:r>
            <w:r>
              <w:t>.</w:t>
            </w:r>
            <w:r w:rsidR="0083322B">
              <w:t xml:space="preserve"> NB: Not part of Reauthorization.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Site Monitoring Waiver</w:t>
            </w:r>
          </w:p>
        </w:tc>
        <w:tc>
          <w:tcPr>
            <w:tcW w:w="5004" w:type="dxa"/>
            <w:vAlign w:val="center"/>
          </w:tcPr>
          <w:p w:rsidR="00AF6C12" w:rsidRDefault="00CF070F" w:rsidP="008C66D9">
            <w:r>
              <w:t>SA may waive the requirement that sponsors conduct the first week site visit (for sites successful in the previous year). Sponsors still must conduct the four-week review. NB: Not part of Reauthorization.</w:t>
            </w:r>
          </w:p>
        </w:tc>
      </w:tr>
      <w:tr w:rsidR="00AF6C12" w:rsidTr="00F632AF">
        <w:tc>
          <w:tcPr>
            <w:tcW w:w="4914" w:type="dxa"/>
            <w:vAlign w:val="center"/>
          </w:tcPr>
          <w:p w:rsidR="00AF6C12" w:rsidRDefault="00AF6C12" w:rsidP="008C66D9">
            <w:r>
              <w:t>Summer Food Service Program</w:t>
            </w:r>
          </w:p>
        </w:tc>
        <w:tc>
          <w:tcPr>
            <w:tcW w:w="4392" w:type="dxa"/>
            <w:vAlign w:val="center"/>
          </w:tcPr>
          <w:p w:rsidR="00AF6C12" w:rsidRDefault="00AF6C12" w:rsidP="008C66D9">
            <w:r>
              <w:t>For Profit Sites</w:t>
            </w:r>
          </w:p>
        </w:tc>
        <w:tc>
          <w:tcPr>
            <w:tcW w:w="5004" w:type="dxa"/>
            <w:vAlign w:val="center"/>
          </w:tcPr>
          <w:p w:rsidR="00AF6C12" w:rsidRDefault="005D47F9" w:rsidP="008C66D9">
            <w:r>
              <w:t>Meals may now be served at for-profit sites operated by non-profit sponsors.</w:t>
            </w:r>
            <w:r w:rsidR="00CE16B1">
              <w:t xml:space="preserve"> These must be open sites.</w:t>
            </w:r>
            <w:r w:rsidR="0067033A">
              <w:t xml:space="preserve"> The sponsor must maintain operational control over the meal service at the site; no SFSP funds may be provided to the site.</w:t>
            </w:r>
            <w:r w:rsidR="00DF773B">
              <w:t xml:space="preserve"> NB: Not part of Reauthorization.</w:t>
            </w:r>
          </w:p>
        </w:tc>
      </w:tr>
    </w:tbl>
    <w:p w:rsidR="00CD78E6" w:rsidRDefault="00CD78E6"/>
    <w:sectPr w:rsidR="00CD78E6" w:rsidSect="00F632A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7E" w:rsidRDefault="006F177E" w:rsidP="00327B14">
      <w:pPr>
        <w:spacing w:after="0" w:line="240" w:lineRule="auto"/>
      </w:pPr>
      <w:r>
        <w:separator/>
      </w:r>
    </w:p>
  </w:endnote>
  <w:endnote w:type="continuationSeparator" w:id="0">
    <w:p w:rsidR="006F177E" w:rsidRDefault="006F177E" w:rsidP="0032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7E" w:rsidRDefault="00AD5EBB">
    <w:pPr>
      <w:pStyle w:val="Footer"/>
    </w:pPr>
    <w:r>
      <w:t>Updated 6/29/12</w:t>
    </w:r>
  </w:p>
  <w:p w:rsidR="006F177E" w:rsidRDefault="006F1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7E" w:rsidRDefault="006F177E" w:rsidP="00327B14">
      <w:pPr>
        <w:spacing w:after="0" w:line="240" w:lineRule="auto"/>
      </w:pPr>
      <w:r>
        <w:separator/>
      </w:r>
    </w:p>
  </w:footnote>
  <w:footnote w:type="continuationSeparator" w:id="0">
    <w:p w:rsidR="006F177E" w:rsidRDefault="006F177E" w:rsidP="0032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D9"/>
    <w:rsid w:val="00042CC5"/>
    <w:rsid w:val="000F55E9"/>
    <w:rsid w:val="0023190C"/>
    <w:rsid w:val="002C1BF0"/>
    <w:rsid w:val="00327B14"/>
    <w:rsid w:val="00377A7A"/>
    <w:rsid w:val="00481B33"/>
    <w:rsid w:val="00483384"/>
    <w:rsid w:val="00495DE3"/>
    <w:rsid w:val="004B2DC7"/>
    <w:rsid w:val="004E1F73"/>
    <w:rsid w:val="00517B7D"/>
    <w:rsid w:val="00523A12"/>
    <w:rsid w:val="005D47F9"/>
    <w:rsid w:val="0067033A"/>
    <w:rsid w:val="006F177E"/>
    <w:rsid w:val="00771DC0"/>
    <w:rsid w:val="007B4739"/>
    <w:rsid w:val="007D5C18"/>
    <w:rsid w:val="007E749A"/>
    <w:rsid w:val="0083322B"/>
    <w:rsid w:val="008376E8"/>
    <w:rsid w:val="00840B45"/>
    <w:rsid w:val="008C66D9"/>
    <w:rsid w:val="009B397C"/>
    <w:rsid w:val="00AD5EBB"/>
    <w:rsid w:val="00AF6C12"/>
    <w:rsid w:val="00B25844"/>
    <w:rsid w:val="00B372A9"/>
    <w:rsid w:val="00B5135F"/>
    <w:rsid w:val="00B66A79"/>
    <w:rsid w:val="00C2122A"/>
    <w:rsid w:val="00CD78E6"/>
    <w:rsid w:val="00CE16B1"/>
    <w:rsid w:val="00CF070F"/>
    <w:rsid w:val="00D03FED"/>
    <w:rsid w:val="00D303C4"/>
    <w:rsid w:val="00DF69CC"/>
    <w:rsid w:val="00DF773B"/>
    <w:rsid w:val="00E35C00"/>
    <w:rsid w:val="00EA2578"/>
    <w:rsid w:val="00EE6CE6"/>
    <w:rsid w:val="00F241C9"/>
    <w:rsid w:val="00F5405D"/>
    <w:rsid w:val="00F632AF"/>
    <w:rsid w:val="00F75C67"/>
    <w:rsid w:val="00F76924"/>
    <w:rsid w:val="00FB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14"/>
  </w:style>
  <w:style w:type="paragraph" w:styleId="Footer">
    <w:name w:val="footer"/>
    <w:basedOn w:val="Normal"/>
    <w:link w:val="FooterChar"/>
    <w:uiPriority w:val="99"/>
    <w:unhideWhenUsed/>
    <w:rsid w:val="003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14"/>
  </w:style>
  <w:style w:type="paragraph" w:styleId="BalloonText">
    <w:name w:val="Balloon Text"/>
    <w:basedOn w:val="Normal"/>
    <w:link w:val="BalloonTextChar"/>
    <w:uiPriority w:val="99"/>
    <w:semiHidden/>
    <w:unhideWhenUsed/>
    <w:rsid w:val="003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mmerfood.usda.gov/library/toolk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s.usda.gov/cnd/Breakfast/expansion/default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37</cp:revision>
  <dcterms:created xsi:type="dcterms:W3CDTF">2011-07-01T17:15:00Z</dcterms:created>
  <dcterms:modified xsi:type="dcterms:W3CDTF">2012-06-29T15:17:00Z</dcterms:modified>
</cp:coreProperties>
</file>