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1"/>
        <w:gridCol w:w="563"/>
        <w:gridCol w:w="616"/>
        <w:gridCol w:w="529"/>
        <w:gridCol w:w="574"/>
        <w:gridCol w:w="554"/>
        <w:gridCol w:w="508"/>
        <w:gridCol w:w="543"/>
        <w:gridCol w:w="587"/>
        <w:gridCol w:w="536"/>
        <w:gridCol w:w="610"/>
        <w:gridCol w:w="627"/>
        <w:gridCol w:w="552"/>
      </w:tblGrid>
      <w:tr w:rsidR="00E9444B" w:rsidTr="00E9444B">
        <w:trPr>
          <w:tblHeader/>
        </w:trPr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222D13" w:rsidP="00E9444B">
            <w:pPr>
              <w:jc w:val="center"/>
              <w:rPr>
                <w:b/>
                <w:color w:val="FFFFFF" w:themeColor="background1"/>
              </w:rPr>
            </w:pPr>
            <w:r w:rsidRPr="00E9444B">
              <w:rPr>
                <w:b/>
                <w:color w:val="FFFFFF" w:themeColor="background1"/>
              </w:rPr>
              <w:t>Job Target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0E11D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Aug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222D13" w:rsidP="000E11D0">
            <w:pPr>
              <w:rPr>
                <w:color w:val="FFFFFF" w:themeColor="background1"/>
              </w:rPr>
            </w:pPr>
            <w:r w:rsidRPr="00E9444B">
              <w:rPr>
                <w:color w:val="FFFFFF" w:themeColor="background1"/>
              </w:rPr>
              <w:t>Sept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222D13">
            <w:pPr>
              <w:rPr>
                <w:color w:val="FFFFFF" w:themeColor="background1"/>
              </w:rPr>
            </w:pPr>
            <w:r w:rsidRPr="00E9444B">
              <w:rPr>
                <w:color w:val="FFFFFF" w:themeColor="background1"/>
              </w:rPr>
              <w:t>O</w:t>
            </w:r>
            <w:r w:rsidR="000E11D0">
              <w:rPr>
                <w:color w:val="FFFFFF" w:themeColor="background1"/>
              </w:rPr>
              <w:t>ct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0E11D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Nov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0E11D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0E11D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Jan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0E11D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Feb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222D13" w:rsidP="000E11D0">
            <w:pPr>
              <w:rPr>
                <w:color w:val="FFFFFF" w:themeColor="background1"/>
              </w:rPr>
            </w:pPr>
            <w:r w:rsidRPr="00E9444B">
              <w:rPr>
                <w:color w:val="FFFFFF" w:themeColor="background1"/>
              </w:rPr>
              <w:t>Mar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222D13" w:rsidP="000E11D0">
            <w:pPr>
              <w:rPr>
                <w:color w:val="FFFFFF" w:themeColor="background1"/>
              </w:rPr>
            </w:pPr>
            <w:r w:rsidRPr="00E9444B">
              <w:rPr>
                <w:color w:val="FFFFFF" w:themeColor="background1"/>
              </w:rPr>
              <w:t>Apr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222D13">
            <w:pPr>
              <w:rPr>
                <w:color w:val="FFFFFF" w:themeColor="background1"/>
              </w:rPr>
            </w:pPr>
            <w:r w:rsidRPr="00E9444B">
              <w:rPr>
                <w:color w:val="FFFFFF" w:themeColor="background1"/>
              </w:rPr>
              <w:t>May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222D13">
            <w:pPr>
              <w:rPr>
                <w:color w:val="FFFFFF" w:themeColor="background1"/>
              </w:rPr>
            </w:pPr>
            <w:r w:rsidRPr="00E9444B">
              <w:rPr>
                <w:color w:val="FFFFFF" w:themeColor="background1"/>
              </w:rPr>
              <w:t>June</w:t>
            </w:r>
          </w:p>
        </w:tc>
        <w:tc>
          <w:tcPr>
            <w:tcW w:w="0" w:type="auto"/>
            <w:shd w:val="clear" w:color="auto" w:fill="4F6228" w:themeFill="accent3" w:themeFillShade="80"/>
          </w:tcPr>
          <w:p w:rsidR="00222D13" w:rsidRPr="00E9444B" w:rsidRDefault="00222D13">
            <w:pPr>
              <w:rPr>
                <w:color w:val="FFFFFF" w:themeColor="background1"/>
              </w:rPr>
            </w:pPr>
            <w:r w:rsidRPr="00E9444B">
              <w:rPr>
                <w:color w:val="FFFFFF" w:themeColor="background1"/>
              </w:rPr>
              <w:t>July</w:t>
            </w:r>
          </w:p>
        </w:tc>
      </w:tr>
      <w:tr w:rsidR="00222D13" w:rsidTr="00222D13">
        <w:tc>
          <w:tcPr>
            <w:tcW w:w="0" w:type="auto"/>
          </w:tcPr>
          <w:p w:rsidR="00B50386" w:rsidRDefault="00222D13" w:rsidP="000D090B">
            <w:r>
              <w:t xml:space="preserve">Update </w:t>
            </w:r>
            <w:r w:rsidR="00111943">
              <w:t>child records</w:t>
            </w:r>
            <w:r w:rsidR="00F11A91">
              <w:t>. Archive children who are not returning and add new ch</w:t>
            </w:r>
            <w:r w:rsidR="00AF61E0">
              <w:t>ildren to the appropriate class.</w:t>
            </w:r>
          </w:p>
          <w:p w:rsidR="000D090B" w:rsidRDefault="000D090B" w:rsidP="000D090B"/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F11A91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</w:tr>
      <w:tr w:rsidR="00222D13" w:rsidTr="00222D13">
        <w:tc>
          <w:tcPr>
            <w:tcW w:w="0" w:type="auto"/>
          </w:tcPr>
          <w:p w:rsidR="00335DDA" w:rsidRDefault="009A36B9">
            <w:r>
              <w:rPr>
                <w:i/>
              </w:rPr>
              <w:t xml:space="preserve">For preschool classrooms: </w:t>
            </w:r>
            <w:bookmarkStart w:id="0" w:name="_GoBack"/>
            <w:bookmarkEnd w:id="0"/>
            <w:r w:rsidR="00111943">
              <w:t>Update c</w:t>
            </w:r>
            <w:r w:rsidR="00222D13">
              <w:t>olor</w:t>
            </w:r>
            <w:r w:rsidR="00111943">
              <w:t>ed bands</w:t>
            </w:r>
            <w:r w:rsidR="00222D13">
              <w:t xml:space="preserve"> for returning children (</w:t>
            </w:r>
            <w:r w:rsidR="00111943">
              <w:t>preschool 3s and 4s</w:t>
            </w:r>
            <w:r w:rsidR="00222D13">
              <w:t>) at the beginning of the program year.</w:t>
            </w:r>
            <w:r w:rsidR="00230FF5">
              <w:t xml:space="preserve"> If a child is going to kindergarten next year</w:t>
            </w:r>
            <w:r w:rsidR="00111943">
              <w:t>,</w:t>
            </w:r>
            <w:r w:rsidR="00A635F3">
              <w:t xml:space="preserve"> they should be </w:t>
            </w:r>
            <w:r w:rsidR="00560493">
              <w:t xml:space="preserve">in the </w:t>
            </w:r>
            <w:r w:rsidR="00A635F3">
              <w:t>b</w:t>
            </w:r>
            <w:r w:rsidR="00230FF5">
              <w:t>lue</w:t>
            </w:r>
            <w:r w:rsidR="00560493">
              <w:t xml:space="preserve"> colored band</w:t>
            </w:r>
            <w:r w:rsidR="00230FF5">
              <w:t xml:space="preserve">. </w:t>
            </w:r>
            <w:r w:rsidR="00560493">
              <w:t>If a child is two years out from kindergarten, they should be in the green colored band.</w:t>
            </w:r>
          </w:p>
          <w:p w:rsidR="000D090B" w:rsidRDefault="000D090B"/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</w:p>
        </w:tc>
      </w:tr>
      <w:tr w:rsidR="00222D13" w:rsidTr="00222D13">
        <w:tc>
          <w:tcPr>
            <w:tcW w:w="0" w:type="auto"/>
          </w:tcPr>
          <w:p w:rsidR="00222D13" w:rsidRDefault="00111943">
            <w:r>
              <w:t>Clean up user accounts</w:t>
            </w:r>
            <w:r w:rsidR="00222D13">
              <w:t>. Disable the accounts of any teacher or team member who no longer works for your organization</w:t>
            </w:r>
            <w:r w:rsidR="00363B07">
              <w:t>.</w:t>
            </w:r>
            <w:r w:rsidR="00F11A91">
              <w:t xml:space="preserve"> Do not delete</w:t>
            </w:r>
            <w:r>
              <w:t>!</w:t>
            </w:r>
          </w:p>
          <w:p w:rsidR="00B50386" w:rsidRDefault="00B50386"/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</w:tr>
      <w:tr w:rsidR="00810DA2" w:rsidTr="00222D13">
        <w:tc>
          <w:tcPr>
            <w:tcW w:w="0" w:type="auto"/>
          </w:tcPr>
          <w:p w:rsidR="00810DA2" w:rsidRDefault="00810DA2" w:rsidP="00B757D4">
            <w:r>
              <w:t>Use the Professional Development Course Report and</w:t>
            </w:r>
            <w:r w:rsidR="00111943">
              <w:t xml:space="preserve"> Interr</w:t>
            </w:r>
            <w:r>
              <w:t>ater Reliability Repo</w:t>
            </w:r>
            <w:r w:rsidR="00B757D4">
              <w:t>rt</w:t>
            </w:r>
            <w:r>
              <w:t xml:space="preserve"> to monitor staff completion of </w:t>
            </w:r>
            <w:r w:rsidR="00B757D4">
              <w:t>Basic Courses</w:t>
            </w:r>
            <w:r>
              <w:t>/IRR</w:t>
            </w:r>
            <w:r w:rsidR="000D090B">
              <w:t>.</w:t>
            </w:r>
          </w:p>
          <w:p w:rsidR="000D090B" w:rsidRDefault="000D090B" w:rsidP="00B757D4"/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</w:p>
        </w:tc>
        <w:tc>
          <w:tcPr>
            <w:tcW w:w="0" w:type="auto"/>
          </w:tcPr>
          <w:p w:rsidR="00810DA2" w:rsidRDefault="0011194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</w:p>
        </w:tc>
        <w:tc>
          <w:tcPr>
            <w:tcW w:w="0" w:type="auto"/>
          </w:tcPr>
          <w:p w:rsidR="00810DA2" w:rsidRDefault="00810DA2" w:rsidP="00A815EF">
            <w:pPr>
              <w:jc w:val="center"/>
            </w:pPr>
          </w:p>
        </w:tc>
      </w:tr>
      <w:tr w:rsidR="00222D13" w:rsidTr="00222D13">
        <w:tc>
          <w:tcPr>
            <w:tcW w:w="0" w:type="auto"/>
          </w:tcPr>
          <w:p w:rsidR="00222D13" w:rsidRDefault="00111943">
            <w:r>
              <w:t xml:space="preserve">Use </w:t>
            </w:r>
            <w:r w:rsidR="000D090B">
              <w:t xml:space="preserve">the </w:t>
            </w:r>
            <w:r>
              <w:t>Manage Children feature</w:t>
            </w:r>
            <w:r w:rsidR="000D090B">
              <w:t xml:space="preserve"> to monitor for appropriate c</w:t>
            </w:r>
            <w:r w:rsidR="00222D13">
              <w:t xml:space="preserve">lass </w:t>
            </w:r>
            <w:r w:rsidR="00B913F2">
              <w:t>assignment, birth</w:t>
            </w:r>
            <w:r w:rsidR="000D090B">
              <w:t xml:space="preserve"> </w:t>
            </w:r>
            <w:r w:rsidR="00B913F2">
              <w:t>date</w:t>
            </w:r>
            <w:r w:rsidR="00875584">
              <w:t>,</w:t>
            </w:r>
            <w:r w:rsidR="00222D13">
              <w:t xml:space="preserve"> color</w:t>
            </w:r>
            <w:r w:rsidR="000D090B">
              <w:t>ed</w:t>
            </w:r>
            <w:r w:rsidR="00222D13">
              <w:t xml:space="preserve"> band, home language survey,</w:t>
            </w:r>
            <w:r w:rsidR="00810DA2">
              <w:t xml:space="preserve"> school district,</w:t>
            </w:r>
            <w:r w:rsidR="00222D13">
              <w:t xml:space="preserve"> </w:t>
            </w:r>
            <w:r w:rsidR="00363B07">
              <w:t>and funding</w:t>
            </w:r>
            <w:r>
              <w:t xml:space="preserve"> source</w:t>
            </w:r>
            <w:r w:rsidR="000D090B">
              <w:t xml:space="preserve"> associated with each </w:t>
            </w:r>
            <w:r>
              <w:t>child (change view as needed to add/remove columns)</w:t>
            </w:r>
          </w:p>
          <w:p w:rsidR="00B50386" w:rsidRDefault="00B50386"/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22D13" w:rsidRDefault="00222D13" w:rsidP="00A815EF">
            <w:pPr>
              <w:jc w:val="center"/>
            </w:pPr>
            <w:r>
              <w:t>x</w:t>
            </w:r>
          </w:p>
        </w:tc>
      </w:tr>
      <w:tr w:rsidR="002829EE" w:rsidTr="00222D13">
        <w:tc>
          <w:tcPr>
            <w:tcW w:w="0" w:type="auto"/>
          </w:tcPr>
          <w:p w:rsidR="00B50386" w:rsidRDefault="002829EE" w:rsidP="00111943">
            <w:r>
              <w:t xml:space="preserve">Use the Add/Edit Funding Source Feature to ensure all children in your program have the appropriate </w:t>
            </w:r>
            <w:r w:rsidR="00111943">
              <w:t>funding source attached to them and to make sure no children are missing a funding source(s).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2829EE" w:rsidRDefault="002829EE" w:rsidP="00A815EF">
            <w:pPr>
              <w:jc w:val="center"/>
            </w:pPr>
            <w:r>
              <w:t>x</w:t>
            </w:r>
          </w:p>
        </w:tc>
      </w:tr>
      <w:tr w:rsidR="00363B07" w:rsidTr="00222D13">
        <w:tc>
          <w:tcPr>
            <w:tcW w:w="0" w:type="auto"/>
          </w:tcPr>
          <w:p w:rsidR="00363B07" w:rsidRDefault="00363B07">
            <w:r>
              <w:t>Use the Documentation Report</w:t>
            </w:r>
            <w:r w:rsidR="00111943">
              <w:t xml:space="preserve"> (Admin Site)</w:t>
            </w:r>
            <w:r>
              <w:t xml:space="preserve"> or the Documentation by Objective and Dimension report </w:t>
            </w:r>
            <w:r w:rsidR="00111943">
              <w:t>(Teacher Site)</w:t>
            </w:r>
            <w:r>
              <w:t xml:space="preserve"> to ensure teachers are entering evidence, assigning objectives and</w:t>
            </w:r>
            <w:r w:rsidR="00111943">
              <w:t xml:space="preserve"> selecting preliminary ratings.</w:t>
            </w:r>
          </w:p>
          <w:p w:rsidR="00B50386" w:rsidRDefault="00B50386"/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</w:tr>
      <w:tr w:rsidR="005E245A" w:rsidTr="00222D13">
        <w:tc>
          <w:tcPr>
            <w:tcW w:w="0" w:type="auto"/>
          </w:tcPr>
          <w:p w:rsidR="00B50386" w:rsidRDefault="005E245A" w:rsidP="000D090B">
            <w:r>
              <w:lastRenderedPageBreak/>
              <w:t>Use the View Documentation Feature under</w:t>
            </w:r>
            <w:r w:rsidR="00F11A91">
              <w:t xml:space="preserve"> the Documentation Tab</w:t>
            </w:r>
            <w:r>
              <w:t xml:space="preserve"> to analyze the type and quality of evidence teachers are entering.</w:t>
            </w:r>
          </w:p>
          <w:p w:rsidR="000D090B" w:rsidRDefault="000D090B" w:rsidP="000D090B"/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</w:tr>
      <w:tr w:rsidR="00363B07" w:rsidTr="00222D13">
        <w:tc>
          <w:tcPr>
            <w:tcW w:w="0" w:type="auto"/>
          </w:tcPr>
          <w:p w:rsidR="00B50386" w:rsidRDefault="00F11A91">
            <w:r>
              <w:t xml:space="preserve">Pull the </w:t>
            </w:r>
            <w:r w:rsidR="00363B07">
              <w:t>Assessment Status Report</w:t>
            </w:r>
            <w:r>
              <w:t xml:space="preserve"> under the checkpoint tab</w:t>
            </w:r>
            <w:r w:rsidR="00363B07">
              <w:t xml:space="preserve"> to ensure teachers are </w:t>
            </w:r>
            <w:r w:rsidR="00111943">
              <w:t>on track toward finalizing checkpoint ratings in all areas.</w:t>
            </w:r>
          </w:p>
          <w:p w:rsidR="00B50386" w:rsidRDefault="00B50386"/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</w:tr>
      <w:tr w:rsidR="005E245A" w:rsidTr="00222D13">
        <w:tc>
          <w:tcPr>
            <w:tcW w:w="0" w:type="auto"/>
          </w:tcPr>
          <w:p w:rsidR="005E245A" w:rsidRDefault="005E245A">
            <w:r>
              <w:t xml:space="preserve">Generate the Classroom Profile Report </w:t>
            </w:r>
            <w:r w:rsidR="000D090B">
              <w:t>(Teacher S</w:t>
            </w:r>
            <w:r>
              <w:t>ite</w:t>
            </w:r>
            <w:r w:rsidR="000D090B">
              <w:t>)</w:t>
            </w:r>
            <w:r>
              <w:t xml:space="preserve"> to use when you are reviewing teacher lesson plans to ensur</w:t>
            </w:r>
            <w:r w:rsidR="00111943">
              <w:t>e they are planning intentional</w:t>
            </w:r>
            <w:r>
              <w:t>, appropriate activities for children.</w:t>
            </w:r>
          </w:p>
          <w:p w:rsidR="00B50386" w:rsidRDefault="00B50386"/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  <w:r>
              <w:t>x</w:t>
            </w:r>
          </w:p>
        </w:tc>
      </w:tr>
      <w:tr w:rsidR="00363B07" w:rsidTr="00222D13">
        <w:tc>
          <w:tcPr>
            <w:tcW w:w="0" w:type="auto"/>
          </w:tcPr>
          <w:p w:rsidR="00363B07" w:rsidRDefault="00111943">
            <w:r>
              <w:t xml:space="preserve">Generate fall child outcomes reports: </w:t>
            </w:r>
            <w:r w:rsidR="00363B07">
              <w:t>Snapshot, Comparative</w:t>
            </w:r>
            <w:r w:rsidR="000D090B">
              <w:t>.</w:t>
            </w:r>
          </w:p>
          <w:p w:rsidR="00B50386" w:rsidRDefault="00B50386"/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</w:tr>
      <w:tr w:rsidR="00363B07" w:rsidTr="00222D13">
        <w:tc>
          <w:tcPr>
            <w:tcW w:w="0" w:type="auto"/>
          </w:tcPr>
          <w:p w:rsidR="00363B07" w:rsidRDefault="000D090B">
            <w:r>
              <w:t>Analyze</w:t>
            </w:r>
            <w:r w:rsidR="00A11ED6">
              <w:t xml:space="preserve"> fall child ou</w:t>
            </w:r>
            <w:r w:rsidR="00363B07">
              <w:t>tcome</w:t>
            </w:r>
            <w:r w:rsidR="00A11ED6">
              <w:t>s</w:t>
            </w:r>
            <w:r w:rsidR="00363B07">
              <w:t xml:space="preserve"> </w:t>
            </w:r>
            <w:r w:rsidR="00A11ED6">
              <w:t>r</w:t>
            </w:r>
            <w:r w:rsidR="00363B07">
              <w:t>eport</w:t>
            </w:r>
            <w:r w:rsidR="00F11A91">
              <w:t xml:space="preserve">s. </w:t>
            </w:r>
            <w:r w:rsidR="00111943">
              <w:t>Data analysis and interpretation should</w:t>
            </w:r>
            <w:r w:rsidR="00F11A91">
              <w:t xml:space="preserve"> </w:t>
            </w:r>
            <w:r w:rsidR="00111943">
              <w:t>include</w:t>
            </w:r>
            <w:r w:rsidR="00F11A91">
              <w:t xml:space="preserve"> steps for continuous program improvement.</w:t>
            </w:r>
            <w:r w:rsidR="00363B07">
              <w:t xml:space="preserve"> </w:t>
            </w:r>
          </w:p>
          <w:p w:rsidR="00B50386" w:rsidRDefault="00B50386"/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</w:tr>
      <w:tr w:rsidR="00363B07" w:rsidTr="00222D13">
        <w:tc>
          <w:tcPr>
            <w:tcW w:w="0" w:type="auto"/>
          </w:tcPr>
          <w:p w:rsidR="00363B07" w:rsidRDefault="00363B07">
            <w:r>
              <w:t>Share</w:t>
            </w:r>
            <w:r w:rsidR="00111943">
              <w:t xml:space="preserve"> fall outcomes a</w:t>
            </w:r>
            <w:r w:rsidR="00F11A91">
              <w:t>nalysis</w:t>
            </w:r>
            <w:r w:rsidR="00111943">
              <w:t xml:space="preserve"> with s</w:t>
            </w:r>
            <w:r w:rsidR="00B50386">
              <w:t>takeh</w:t>
            </w:r>
            <w:r>
              <w:t>olders</w:t>
            </w:r>
            <w:r w:rsidR="00111943">
              <w:t>.</w:t>
            </w:r>
          </w:p>
          <w:p w:rsidR="00B50386" w:rsidRDefault="00B50386"/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</w:tr>
      <w:tr w:rsidR="00363B07" w:rsidTr="00222D13">
        <w:tc>
          <w:tcPr>
            <w:tcW w:w="0" w:type="auto"/>
          </w:tcPr>
          <w:p w:rsidR="00363B07" w:rsidRDefault="00A11ED6">
            <w:r>
              <w:t>Generate winter child outcomes r</w:t>
            </w:r>
            <w:r w:rsidR="00111943">
              <w:t>eports: C</w:t>
            </w:r>
            <w:r w:rsidR="005E245A">
              <w:t xml:space="preserve">omparative, </w:t>
            </w:r>
            <w:r w:rsidR="00111943">
              <w:t>Growth. You can also create an alignment r</w:t>
            </w:r>
            <w:r>
              <w:t>eport using the option under the Snapshot report.</w:t>
            </w:r>
          </w:p>
          <w:p w:rsidR="00B50386" w:rsidRDefault="00B50386"/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</w:tr>
      <w:tr w:rsidR="00A11ED6" w:rsidTr="00222D13">
        <w:tc>
          <w:tcPr>
            <w:tcW w:w="0" w:type="auto"/>
          </w:tcPr>
          <w:p w:rsidR="00A11ED6" w:rsidRDefault="00A11ED6" w:rsidP="00A11ED6">
            <w:r>
              <w:t xml:space="preserve">Analyze winter outcomes reports. Data analysis and interpretation should include steps for continuous program improvement. </w:t>
            </w:r>
          </w:p>
          <w:p w:rsidR="00A11ED6" w:rsidRDefault="00A11ED6"/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  <w:tc>
          <w:tcPr>
            <w:tcW w:w="0" w:type="auto"/>
          </w:tcPr>
          <w:p w:rsidR="00A11ED6" w:rsidRDefault="00A11ED6" w:rsidP="00A815EF">
            <w:pPr>
              <w:jc w:val="center"/>
            </w:pPr>
          </w:p>
        </w:tc>
      </w:tr>
      <w:tr w:rsidR="00363B07" w:rsidTr="00222D13">
        <w:tc>
          <w:tcPr>
            <w:tcW w:w="0" w:type="auto"/>
          </w:tcPr>
          <w:p w:rsidR="00B50386" w:rsidRDefault="00363B07" w:rsidP="00A11ED6">
            <w:r>
              <w:t>Share</w:t>
            </w:r>
            <w:r w:rsidR="00A11ED6">
              <w:t xml:space="preserve"> w</w:t>
            </w:r>
            <w:r w:rsidR="00F11A91">
              <w:t>inter</w:t>
            </w:r>
            <w:r w:rsidR="00A11ED6">
              <w:t xml:space="preserve"> outcomes a</w:t>
            </w:r>
            <w:r w:rsidR="00F11A91">
              <w:t>nalysis</w:t>
            </w:r>
            <w:r w:rsidR="00A11ED6">
              <w:t xml:space="preserve"> with s</w:t>
            </w:r>
            <w:r w:rsidR="00B50386">
              <w:t>takeh</w:t>
            </w:r>
            <w:r>
              <w:t>olders</w:t>
            </w:r>
            <w:r w:rsidR="00F11A91">
              <w:t>.</w:t>
            </w:r>
          </w:p>
          <w:p w:rsidR="000D090B" w:rsidRDefault="000D090B" w:rsidP="00A11ED6"/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</w:tr>
      <w:tr w:rsidR="00363B07" w:rsidTr="00222D13">
        <w:tc>
          <w:tcPr>
            <w:tcW w:w="0" w:type="auto"/>
          </w:tcPr>
          <w:p w:rsidR="000112E9" w:rsidRDefault="00A11ED6" w:rsidP="000112E9">
            <w:r>
              <w:t>Generate sp</w:t>
            </w:r>
            <w:r w:rsidR="002829EE">
              <w:t xml:space="preserve">ring </w:t>
            </w:r>
            <w:r>
              <w:t>child o</w:t>
            </w:r>
            <w:r w:rsidR="002829EE">
              <w:t>utcome</w:t>
            </w:r>
            <w:r>
              <w:t>s</w:t>
            </w:r>
            <w:r w:rsidR="002829EE">
              <w:t xml:space="preserve"> </w:t>
            </w:r>
            <w:r>
              <w:t>r</w:t>
            </w:r>
            <w:r w:rsidR="002829EE">
              <w:t>eports</w:t>
            </w:r>
            <w:r>
              <w:t xml:space="preserve">: </w:t>
            </w:r>
            <w:r w:rsidR="005E245A">
              <w:t xml:space="preserve">Comparative, Growth. </w:t>
            </w:r>
            <w:r>
              <w:t>You can also create an alignment report using the option under the Snapshot report.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B50386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</w:tr>
      <w:tr w:rsidR="00363B07" w:rsidTr="00222D13">
        <w:tc>
          <w:tcPr>
            <w:tcW w:w="0" w:type="auto"/>
          </w:tcPr>
          <w:p w:rsidR="000112E9" w:rsidRDefault="002829EE" w:rsidP="00A11ED6">
            <w:r>
              <w:lastRenderedPageBreak/>
              <w:t xml:space="preserve">Analyze </w:t>
            </w:r>
            <w:r w:rsidR="00A11ED6">
              <w:t>spring outcomes reports</w:t>
            </w:r>
            <w:r w:rsidR="00F11A91">
              <w:t xml:space="preserve">. Create an analysis that includes a report out on school readiness for those children leaving for kindergarten. </w:t>
            </w:r>
          </w:p>
          <w:p w:rsidR="000D090B" w:rsidRDefault="000D090B" w:rsidP="00A11ED6"/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B50386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  <w:tc>
          <w:tcPr>
            <w:tcW w:w="0" w:type="auto"/>
          </w:tcPr>
          <w:p w:rsidR="00363B07" w:rsidRDefault="00363B07" w:rsidP="00A815EF">
            <w:pPr>
              <w:jc w:val="center"/>
            </w:pPr>
          </w:p>
        </w:tc>
      </w:tr>
      <w:tr w:rsidR="005E245A" w:rsidTr="00222D13">
        <w:tc>
          <w:tcPr>
            <w:tcW w:w="0" w:type="auto"/>
          </w:tcPr>
          <w:p w:rsidR="005E245A" w:rsidRDefault="004F4E49">
            <w:r>
              <w:t>Share sp</w:t>
            </w:r>
            <w:r w:rsidR="00B50386">
              <w:t xml:space="preserve">ring </w:t>
            </w:r>
            <w:r>
              <w:t>a</w:t>
            </w:r>
            <w:r w:rsidR="00B50386">
              <w:t>nalysis with Stakeholders.</w:t>
            </w:r>
          </w:p>
          <w:p w:rsidR="000112E9" w:rsidRDefault="000112E9"/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  <w:tc>
          <w:tcPr>
            <w:tcW w:w="0" w:type="auto"/>
          </w:tcPr>
          <w:p w:rsidR="005E245A" w:rsidRDefault="00B50386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5A" w:rsidRDefault="005E245A" w:rsidP="00A815EF">
            <w:pPr>
              <w:jc w:val="center"/>
            </w:pPr>
          </w:p>
        </w:tc>
      </w:tr>
      <w:tr w:rsidR="000D090B" w:rsidTr="000D090B">
        <w:tc>
          <w:tcPr>
            <w:tcW w:w="0" w:type="auto"/>
            <w:gridSpan w:val="13"/>
            <w:shd w:val="clear" w:color="auto" w:fill="EEECE1" w:themeFill="background2"/>
          </w:tcPr>
          <w:p w:rsidR="000D090B" w:rsidRPr="000D090B" w:rsidRDefault="000D090B" w:rsidP="00A815EF">
            <w:pPr>
              <w:jc w:val="center"/>
              <w:rPr>
                <w:i/>
              </w:rPr>
            </w:pPr>
            <w:r w:rsidRPr="000D090B">
              <w:rPr>
                <w:i/>
              </w:rPr>
              <w:t>For programs serving preschoolers with disabilities</w:t>
            </w:r>
          </w:p>
        </w:tc>
      </w:tr>
      <w:tr w:rsidR="00B5231F" w:rsidTr="000D090B">
        <w:tc>
          <w:tcPr>
            <w:tcW w:w="0" w:type="auto"/>
          </w:tcPr>
          <w:p w:rsidR="00B5231F" w:rsidRDefault="00B5231F" w:rsidP="00B5231F">
            <w:r>
              <w:t xml:space="preserve">Use OSEP Entry Status Report to monitor OSEP entry information </w:t>
            </w:r>
          </w:p>
          <w:p w:rsidR="000112E9" w:rsidRDefault="000112E9" w:rsidP="00B5231F"/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</w:tr>
      <w:tr w:rsidR="00B5231F" w:rsidTr="00222D13">
        <w:tc>
          <w:tcPr>
            <w:tcW w:w="0" w:type="auto"/>
          </w:tcPr>
          <w:p w:rsidR="000D090B" w:rsidRDefault="00B5231F" w:rsidP="00B5231F">
            <w:r>
              <w:t xml:space="preserve">Use OSEP Exit Status Form </w:t>
            </w:r>
            <w:r w:rsidR="000D090B">
              <w:t xml:space="preserve">at the class level </w:t>
            </w:r>
            <w:r>
              <w:t xml:space="preserve">to complete exits for children exiting preschool special education </w:t>
            </w:r>
          </w:p>
          <w:p w:rsidR="00B5231F" w:rsidRDefault="00B5231F" w:rsidP="00B5231F">
            <w:r>
              <w:t>(</w:t>
            </w:r>
            <w:r w:rsidR="000D090B">
              <w:t>D</w:t>
            </w:r>
            <w:r w:rsidR="00A11ED6">
              <w:t>eadline = July 15)</w:t>
            </w:r>
          </w:p>
          <w:p w:rsidR="000112E9" w:rsidRDefault="000112E9" w:rsidP="00B5231F"/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</w:tr>
      <w:tr w:rsidR="00B5231F" w:rsidTr="00222D13">
        <w:tc>
          <w:tcPr>
            <w:tcW w:w="0" w:type="auto"/>
          </w:tcPr>
          <w:p w:rsidR="00B5231F" w:rsidRDefault="00B5231F">
            <w:pPr>
              <w:rPr>
                <w:i/>
              </w:rPr>
            </w:pPr>
            <w:r>
              <w:t xml:space="preserve">Use OSEP </w:t>
            </w:r>
            <w:r w:rsidR="000D090B">
              <w:t>Federally Mandated</w:t>
            </w:r>
            <w:r>
              <w:t xml:space="preserve"> and Exit Status reports to monitor OSEP exits</w:t>
            </w:r>
            <w:r w:rsidR="000D090B">
              <w:t xml:space="preserve"> </w:t>
            </w:r>
          </w:p>
          <w:p w:rsidR="000D090B" w:rsidRPr="000D090B" w:rsidRDefault="000D090B" w:rsidP="000D090B">
            <w:pPr>
              <w:jc w:val="right"/>
              <w:rPr>
                <w:i/>
                <w:sz w:val="20"/>
                <w:szCs w:val="20"/>
              </w:rPr>
            </w:pPr>
            <w:r w:rsidRPr="000D090B">
              <w:rPr>
                <w:i/>
                <w:sz w:val="20"/>
                <w:szCs w:val="20"/>
              </w:rPr>
              <w:t>See OSEP Exit Step-by-Step Guidance for a more detailed walkthrough</w:t>
            </w:r>
          </w:p>
          <w:p w:rsidR="000112E9" w:rsidRDefault="000112E9"/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B5231F" w:rsidRDefault="00B5231F" w:rsidP="00A815EF">
            <w:pPr>
              <w:jc w:val="center"/>
            </w:pPr>
          </w:p>
        </w:tc>
      </w:tr>
    </w:tbl>
    <w:p w:rsidR="00CA55DC" w:rsidRDefault="00CA55DC"/>
    <w:sectPr w:rsidR="00CA55DC" w:rsidSect="00A635F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54" w:rsidRDefault="00471B54" w:rsidP="00222D13">
      <w:pPr>
        <w:spacing w:after="0" w:line="240" w:lineRule="auto"/>
      </w:pPr>
      <w:r>
        <w:separator/>
      </w:r>
    </w:p>
  </w:endnote>
  <w:endnote w:type="continuationSeparator" w:id="0">
    <w:p w:rsidR="00471B54" w:rsidRDefault="00471B54" w:rsidP="0022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896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DDA" w:rsidRDefault="00335D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6B9">
          <w:rPr>
            <w:noProof/>
          </w:rPr>
          <w:t>3</w:t>
        </w:r>
        <w:r>
          <w:rPr>
            <w:noProof/>
          </w:rPr>
          <w:fldChar w:fldCharType="end"/>
        </w:r>
        <w:r w:rsidR="00A635F3">
          <w:rPr>
            <w:noProof/>
          </w:rPr>
          <w:tab/>
        </w:r>
        <w:r w:rsidR="00A635F3">
          <w:rPr>
            <w:noProof/>
          </w:rPr>
          <w:tab/>
          <w:t>updated 6/3/16</w:t>
        </w:r>
      </w:p>
    </w:sdtContent>
  </w:sdt>
  <w:p w:rsidR="00335DDA" w:rsidRDefault="00335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54" w:rsidRDefault="00471B54" w:rsidP="00222D13">
      <w:pPr>
        <w:spacing w:after="0" w:line="240" w:lineRule="auto"/>
      </w:pPr>
      <w:r>
        <w:separator/>
      </w:r>
    </w:p>
  </w:footnote>
  <w:footnote w:type="continuationSeparator" w:id="0">
    <w:p w:rsidR="00471B54" w:rsidRDefault="00471B54" w:rsidP="0022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13" w:rsidRPr="00A635F3" w:rsidRDefault="00A635F3">
    <w:pPr>
      <w:pStyle w:val="HeaderEven"/>
      <w:rPr>
        <w:color w:val="4F6228" w:themeColor="accent3" w:themeShade="80"/>
        <w:sz w:val="32"/>
        <w:szCs w:val="32"/>
      </w:rPr>
    </w:pPr>
    <w:r>
      <w:rPr>
        <w:i/>
        <w:color w:val="4F6228" w:themeColor="accent3" w:themeShade="80"/>
        <w:sz w:val="32"/>
        <w:szCs w:val="32"/>
      </w:rPr>
      <w:t>GOLD</w:t>
    </w:r>
    <w:r>
      <w:rPr>
        <w:color w:val="4F6228" w:themeColor="accent3" w:themeShade="80"/>
        <w:sz w:val="32"/>
        <w:szCs w:val="32"/>
      </w:rPr>
      <w:t>® Online Assessment Monthly Job Targets for Administrators</w:t>
    </w:r>
  </w:p>
  <w:p w:rsidR="00222D13" w:rsidRPr="00A635F3" w:rsidRDefault="00222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3"/>
    <w:rsid w:val="000112E9"/>
    <w:rsid w:val="000D090B"/>
    <w:rsid w:val="000E11D0"/>
    <w:rsid w:val="00111943"/>
    <w:rsid w:val="001A66B5"/>
    <w:rsid w:val="00206081"/>
    <w:rsid w:val="00210703"/>
    <w:rsid w:val="00222D13"/>
    <w:rsid w:val="00230FF5"/>
    <w:rsid w:val="002829EE"/>
    <w:rsid w:val="002939C5"/>
    <w:rsid w:val="00335DDA"/>
    <w:rsid w:val="00363B07"/>
    <w:rsid w:val="00471B54"/>
    <w:rsid w:val="00495582"/>
    <w:rsid w:val="00496437"/>
    <w:rsid w:val="004F4E49"/>
    <w:rsid w:val="00560493"/>
    <w:rsid w:val="005E245A"/>
    <w:rsid w:val="00641ED2"/>
    <w:rsid w:val="007803A3"/>
    <w:rsid w:val="00810DA2"/>
    <w:rsid w:val="00875584"/>
    <w:rsid w:val="0090759F"/>
    <w:rsid w:val="009A36B9"/>
    <w:rsid w:val="00A11ED6"/>
    <w:rsid w:val="00A57132"/>
    <w:rsid w:val="00A635F3"/>
    <w:rsid w:val="00A815EF"/>
    <w:rsid w:val="00AB48BD"/>
    <w:rsid w:val="00AF61E0"/>
    <w:rsid w:val="00B50386"/>
    <w:rsid w:val="00B5231F"/>
    <w:rsid w:val="00B53EC3"/>
    <w:rsid w:val="00B757D4"/>
    <w:rsid w:val="00B913F2"/>
    <w:rsid w:val="00CA55DC"/>
    <w:rsid w:val="00D02732"/>
    <w:rsid w:val="00D64F0C"/>
    <w:rsid w:val="00E356D6"/>
    <w:rsid w:val="00E9444B"/>
    <w:rsid w:val="00F1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C962443-C886-4E74-A3C0-2271E0A3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13"/>
  </w:style>
  <w:style w:type="paragraph" w:styleId="Footer">
    <w:name w:val="footer"/>
    <w:basedOn w:val="Normal"/>
    <w:link w:val="FooterChar"/>
    <w:uiPriority w:val="99"/>
    <w:unhideWhenUsed/>
    <w:rsid w:val="0022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13"/>
  </w:style>
  <w:style w:type="paragraph" w:styleId="BalloonText">
    <w:name w:val="Balloon Text"/>
    <w:basedOn w:val="Normal"/>
    <w:link w:val="BalloonTextChar"/>
    <w:uiPriority w:val="99"/>
    <w:semiHidden/>
    <w:unhideWhenUsed/>
    <w:rsid w:val="0022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13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222D13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222D13"/>
    <w:pPr>
      <w:spacing w:after="0" w:line="240" w:lineRule="auto"/>
    </w:pPr>
  </w:style>
  <w:style w:type="table" w:styleId="TableGrid">
    <w:name w:val="Table Grid"/>
    <w:basedOn w:val="TableNormal"/>
    <w:uiPriority w:val="59"/>
    <w:rsid w:val="0022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CBFF-FF56-439F-8E9A-AA0E08C4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 GOLD® Online Assessment Monthly Job Targets for Administrators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</dc:title>
  <dc:creator>Deborah Zapalik</dc:creator>
  <cp:lastModifiedBy>Ortiz, Nick</cp:lastModifiedBy>
  <cp:revision>6</cp:revision>
  <cp:lastPrinted>2013-04-09T15:50:00Z</cp:lastPrinted>
  <dcterms:created xsi:type="dcterms:W3CDTF">2016-06-03T19:14:00Z</dcterms:created>
  <dcterms:modified xsi:type="dcterms:W3CDTF">2016-06-03T19:37:00Z</dcterms:modified>
</cp:coreProperties>
</file>