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58BDB" w14:textId="77777777" w:rsidR="00F0389C" w:rsidRPr="00BE6A35" w:rsidRDefault="00671621" w:rsidP="00F0389C">
      <w:pPr>
        <w:jc w:val="center"/>
        <w:rPr>
          <w:b/>
          <w:sz w:val="28"/>
          <w:szCs w:val="28"/>
        </w:rPr>
      </w:pPr>
      <w:r>
        <w:rPr>
          <w:b/>
          <w:sz w:val="28"/>
          <w:szCs w:val="28"/>
        </w:rPr>
        <w:t>Agreement to Provide Meals for the Summer Food Service Program</w:t>
      </w:r>
      <w:r w:rsidR="00E610B8">
        <w:rPr>
          <w:b/>
          <w:sz w:val="28"/>
          <w:szCs w:val="28"/>
        </w:rPr>
        <w:t xml:space="preserve"> (SFSP) or Seamless Summer Option (SSO)</w:t>
      </w:r>
      <w:r w:rsidR="006B1E1C">
        <w:rPr>
          <w:b/>
          <w:sz w:val="28"/>
          <w:szCs w:val="28"/>
        </w:rPr>
        <w:t xml:space="preserve"> Emergency Feeding Options</w:t>
      </w:r>
    </w:p>
    <w:p w14:paraId="09B312CD" w14:textId="4138AF8F" w:rsidR="00A30A15" w:rsidRDefault="00671621" w:rsidP="00671621">
      <w:r>
        <w:t>This</w:t>
      </w:r>
      <w:r w:rsidR="00E610B8">
        <w:t xml:space="preserve"> temporary</w:t>
      </w:r>
      <w:r>
        <w:t xml:space="preserve"> agreement is made and entered into between</w:t>
      </w:r>
      <w:r w:rsidR="00143C69">
        <w:t xml:space="preserve"> </w:t>
      </w:r>
      <w:r w:rsidR="00982324" w:rsidRPr="00AC5946">
        <w:rPr>
          <w:highlight w:val="lightGray"/>
        </w:rPr>
        <w:fldChar w:fldCharType="begin">
          <w:ffData>
            <w:name w:val=""/>
            <w:enabled/>
            <w:calcOnExit w:val="0"/>
            <w:textInput>
              <w:default w:val="School Food Authority"/>
            </w:textInput>
          </w:ffData>
        </w:fldChar>
      </w:r>
      <w:r w:rsidR="00982324" w:rsidRPr="00AC5946">
        <w:rPr>
          <w:highlight w:val="lightGray"/>
        </w:rPr>
        <w:instrText xml:space="preserve"> FORMTEXT </w:instrText>
      </w:r>
      <w:r w:rsidR="00982324" w:rsidRPr="00AC5946">
        <w:rPr>
          <w:highlight w:val="lightGray"/>
        </w:rPr>
      </w:r>
      <w:r w:rsidR="00982324" w:rsidRPr="00AC5946">
        <w:rPr>
          <w:highlight w:val="lightGray"/>
        </w:rPr>
        <w:fldChar w:fldCharType="separate"/>
      </w:r>
      <w:r w:rsidR="00FC2BDC" w:rsidRPr="00AC5946">
        <w:rPr>
          <w:noProof/>
          <w:highlight w:val="lightGray"/>
        </w:rPr>
        <w:t>Meal Vendor</w:t>
      </w:r>
      <w:r w:rsidR="00982324" w:rsidRPr="00AC5946">
        <w:rPr>
          <w:highlight w:val="lightGray"/>
        </w:rPr>
        <w:fldChar w:fldCharType="end"/>
      </w:r>
      <w:r w:rsidR="00AC5946">
        <w:t>, hereby referred to as ‘Meal Vendor’</w:t>
      </w:r>
      <w:r w:rsidR="00982324">
        <w:t xml:space="preserve"> </w:t>
      </w:r>
      <w:r>
        <w:t xml:space="preserve">and </w:t>
      </w:r>
      <w:r w:rsidR="00143C69" w:rsidRPr="00AC5946">
        <w:rPr>
          <w:highlight w:val="lightGray"/>
        </w:rPr>
        <w:fldChar w:fldCharType="begin">
          <w:ffData>
            <w:name w:val="Text2"/>
            <w:enabled/>
            <w:calcOnExit w:val="0"/>
            <w:textInput>
              <w:default w:val="Sponsor Organization"/>
            </w:textInput>
          </w:ffData>
        </w:fldChar>
      </w:r>
      <w:bookmarkStart w:id="0" w:name="Text2"/>
      <w:r w:rsidR="00143C69" w:rsidRPr="00AC5946">
        <w:rPr>
          <w:highlight w:val="lightGray"/>
        </w:rPr>
        <w:instrText xml:space="preserve"> FORMTEXT </w:instrText>
      </w:r>
      <w:r w:rsidR="00143C69" w:rsidRPr="00AC5946">
        <w:rPr>
          <w:highlight w:val="lightGray"/>
        </w:rPr>
      </w:r>
      <w:r w:rsidR="00143C69" w:rsidRPr="00AC5946">
        <w:rPr>
          <w:highlight w:val="lightGray"/>
        </w:rPr>
        <w:fldChar w:fldCharType="separate"/>
      </w:r>
      <w:r w:rsidR="00143C69" w:rsidRPr="00AC5946">
        <w:rPr>
          <w:noProof/>
          <w:highlight w:val="lightGray"/>
        </w:rPr>
        <w:t>Sponsor Organization</w:t>
      </w:r>
      <w:r w:rsidR="00143C69" w:rsidRPr="00AC5946">
        <w:rPr>
          <w:highlight w:val="lightGray"/>
        </w:rPr>
        <w:fldChar w:fldCharType="end"/>
      </w:r>
      <w:bookmarkEnd w:id="0"/>
      <w:r w:rsidR="00AC5946" w:rsidRPr="00AC5946">
        <w:rPr>
          <w:highlight w:val="lightGray"/>
        </w:rPr>
        <w:t>/SFA</w:t>
      </w:r>
      <w:r w:rsidR="00AC5946">
        <w:t>, hereby referred to as ‘Sponsor Organization’</w:t>
      </w:r>
      <w:r w:rsidR="00143C69">
        <w:t>.</w:t>
      </w:r>
      <w:r>
        <w:t xml:space="preserve"> </w:t>
      </w:r>
      <w:r w:rsidR="00E610B8">
        <w:t xml:space="preserve">The purpose of this agreement is to provide meals during an </w:t>
      </w:r>
      <w:hyperlink r:id="rId7" w:history="1">
        <w:r w:rsidR="00E610B8" w:rsidRPr="00E610B8">
          <w:rPr>
            <w:rStyle w:val="Hyperlink"/>
          </w:rPr>
          <w:t>emergency feeding</w:t>
        </w:r>
      </w:hyperlink>
      <w:r w:rsidR="00E610B8">
        <w:t xml:space="preserve"> situation where the Sponsor</w:t>
      </w:r>
      <w:r w:rsidR="009C57B6">
        <w:t xml:space="preserve"> Organization</w:t>
      </w:r>
      <w:r w:rsidR="00E610B8">
        <w:t xml:space="preserve"> is approved to serve meals </w:t>
      </w:r>
      <w:r w:rsidR="00E610B8" w:rsidRPr="009C57B6">
        <w:rPr>
          <w:i/>
        </w:rPr>
        <w:t>outside of normal program operations</w:t>
      </w:r>
      <w:r w:rsidR="00E610B8">
        <w:t>.</w:t>
      </w:r>
      <w:r w:rsidR="006B4F51">
        <w:t xml:space="preserve"> </w:t>
      </w:r>
      <w:r w:rsidR="00334B40" w:rsidRPr="00334B40">
        <w:rPr>
          <w:b/>
        </w:rPr>
        <w:t xml:space="preserve">This agreement is not effective until approved in writing by the CDE School Nutrition Unit. </w:t>
      </w:r>
    </w:p>
    <w:p w14:paraId="35E4E577" w14:textId="7ACC5F72" w:rsidR="00671621" w:rsidRDefault="00671621" w:rsidP="00671621">
      <w:r>
        <w:t xml:space="preserve">Whereas </w:t>
      </w:r>
      <w:r w:rsidRPr="00AC5946">
        <w:t>the</w:t>
      </w:r>
      <w:r w:rsidR="00AC5946">
        <w:t xml:space="preserve"> Meal Vendor</w:t>
      </w:r>
      <w:r>
        <w:t xml:space="preserve"> agrees to supply unitized meals </w:t>
      </w:r>
      <w:r w:rsidR="00143C69">
        <w:fldChar w:fldCharType="begin">
          <w:ffData>
            <w:name w:val=""/>
            <w:enabled/>
            <w:calcOnExit w:val="0"/>
            <w:textInput>
              <w:default w:val="Inclusive OR Exclusive"/>
            </w:textInput>
          </w:ffData>
        </w:fldChar>
      </w:r>
      <w:r w:rsidR="00143C69">
        <w:instrText xml:space="preserve"> FORMTEXT </w:instrText>
      </w:r>
      <w:r w:rsidR="00143C69">
        <w:fldChar w:fldCharType="separate"/>
      </w:r>
      <w:r w:rsidR="00143C69">
        <w:rPr>
          <w:noProof/>
        </w:rPr>
        <w:t>Inclusive OR Exclusive</w:t>
      </w:r>
      <w:r w:rsidR="00143C69">
        <w:fldChar w:fldCharType="end"/>
      </w:r>
      <w:r>
        <w:t xml:space="preserve"> of milk and juice to </w:t>
      </w:r>
      <w:r w:rsidR="00AC5946">
        <w:t xml:space="preserve">the Sponsor Organization </w:t>
      </w:r>
      <w:r>
        <w:t>with and for the rates listed</w:t>
      </w:r>
      <w:r w:rsidR="00143C69">
        <w:t xml:space="preserve"> below</w:t>
      </w:r>
      <w:r>
        <w:t>:</w:t>
      </w:r>
    </w:p>
    <w:p w14:paraId="2943D967" w14:textId="77777777" w:rsidR="00671621" w:rsidRDefault="00671621" w:rsidP="00671621">
      <w:r>
        <w:t>Breakfast $</w:t>
      </w:r>
      <w:r w:rsidR="00143C69">
        <w:fldChar w:fldCharType="begin">
          <w:ffData>
            <w:name w:val="Text4"/>
            <w:enabled/>
            <w:calcOnExit w:val="0"/>
            <w:textInput/>
          </w:ffData>
        </w:fldChar>
      </w:r>
      <w:bookmarkStart w:id="1" w:name="Text4"/>
      <w:r w:rsidR="00143C69">
        <w:instrText xml:space="preserve"> FORMTEXT </w:instrText>
      </w:r>
      <w:r w:rsidR="00143C69">
        <w:fldChar w:fldCharType="separate"/>
      </w:r>
      <w:r w:rsidR="00143C69">
        <w:rPr>
          <w:noProof/>
        </w:rPr>
        <w:t> </w:t>
      </w:r>
      <w:r w:rsidR="00143C69">
        <w:rPr>
          <w:noProof/>
        </w:rPr>
        <w:t> </w:t>
      </w:r>
      <w:r w:rsidR="00143C69">
        <w:rPr>
          <w:noProof/>
        </w:rPr>
        <w:t> </w:t>
      </w:r>
      <w:r w:rsidR="00143C69">
        <w:rPr>
          <w:noProof/>
        </w:rPr>
        <w:t> </w:t>
      </w:r>
      <w:r w:rsidR="00143C69">
        <w:rPr>
          <w:noProof/>
        </w:rPr>
        <w:t> </w:t>
      </w:r>
      <w:r w:rsidR="00143C69">
        <w:fldChar w:fldCharType="end"/>
      </w:r>
      <w:bookmarkEnd w:id="1"/>
      <w:r w:rsidR="002B4939">
        <w:t xml:space="preserve">each                      </w:t>
      </w:r>
      <w:r>
        <w:t>AM/PM Snack $</w:t>
      </w:r>
      <w:r w:rsidR="00143C69">
        <w:fldChar w:fldCharType="begin">
          <w:ffData>
            <w:name w:val="Text5"/>
            <w:enabled/>
            <w:calcOnExit w:val="0"/>
            <w:textInput/>
          </w:ffData>
        </w:fldChar>
      </w:r>
      <w:bookmarkStart w:id="2" w:name="Text5"/>
      <w:r w:rsidR="00143C69">
        <w:instrText xml:space="preserve"> FORMTEXT </w:instrText>
      </w:r>
      <w:r w:rsidR="00143C69">
        <w:fldChar w:fldCharType="separate"/>
      </w:r>
      <w:r w:rsidR="00143C69">
        <w:rPr>
          <w:noProof/>
        </w:rPr>
        <w:t> </w:t>
      </w:r>
      <w:r w:rsidR="00143C69">
        <w:rPr>
          <w:noProof/>
        </w:rPr>
        <w:t> </w:t>
      </w:r>
      <w:r w:rsidR="00143C69">
        <w:rPr>
          <w:noProof/>
        </w:rPr>
        <w:t> </w:t>
      </w:r>
      <w:r w:rsidR="00143C69">
        <w:rPr>
          <w:noProof/>
        </w:rPr>
        <w:t> </w:t>
      </w:r>
      <w:r w:rsidR="00143C69">
        <w:rPr>
          <w:noProof/>
        </w:rPr>
        <w:t> </w:t>
      </w:r>
      <w:r w:rsidR="00143C69">
        <w:fldChar w:fldCharType="end"/>
      </w:r>
      <w:bookmarkEnd w:id="2"/>
      <w:r w:rsidR="002B4939">
        <w:t xml:space="preserve">each                   </w:t>
      </w:r>
      <w:r>
        <w:t>Lunch/Supper $</w:t>
      </w:r>
      <w:r w:rsidR="00143C69">
        <w:fldChar w:fldCharType="begin">
          <w:ffData>
            <w:name w:val="Text6"/>
            <w:enabled/>
            <w:calcOnExit w:val="0"/>
            <w:textInput/>
          </w:ffData>
        </w:fldChar>
      </w:r>
      <w:bookmarkStart w:id="3" w:name="Text6"/>
      <w:r w:rsidR="00143C69">
        <w:instrText xml:space="preserve"> FORMTEXT </w:instrText>
      </w:r>
      <w:r w:rsidR="00143C69">
        <w:fldChar w:fldCharType="separate"/>
      </w:r>
      <w:r w:rsidR="00143C69">
        <w:rPr>
          <w:noProof/>
        </w:rPr>
        <w:t> </w:t>
      </w:r>
      <w:r w:rsidR="00143C69">
        <w:rPr>
          <w:noProof/>
        </w:rPr>
        <w:t> </w:t>
      </w:r>
      <w:r w:rsidR="00143C69">
        <w:rPr>
          <w:noProof/>
        </w:rPr>
        <w:t> </w:t>
      </w:r>
      <w:r w:rsidR="00143C69">
        <w:rPr>
          <w:noProof/>
        </w:rPr>
        <w:t> </w:t>
      </w:r>
      <w:r w:rsidR="00143C69">
        <w:rPr>
          <w:noProof/>
        </w:rPr>
        <w:t> </w:t>
      </w:r>
      <w:r w:rsidR="00143C69">
        <w:fldChar w:fldCharType="end"/>
      </w:r>
      <w:bookmarkEnd w:id="3"/>
      <w:r>
        <w:t>each</w:t>
      </w:r>
    </w:p>
    <w:p w14:paraId="2AF80FB9" w14:textId="647CEEE6" w:rsidR="002B4939" w:rsidRDefault="00AC5946" w:rsidP="00671621">
      <w:r>
        <w:t>The Meal Vendor</w:t>
      </w:r>
      <w:r w:rsidR="002B4939">
        <w:t xml:space="preserve"> will provide meals as ordered by the </w:t>
      </w:r>
      <w:r>
        <w:t>Sponsor Organization</w:t>
      </w:r>
      <w:r w:rsidR="002B4939">
        <w:t xml:space="preserve"> during the period of </w:t>
      </w:r>
      <w:r w:rsidR="002B4939">
        <w:fldChar w:fldCharType="begin">
          <w:ffData>
            <w:name w:val="Text3"/>
            <w:enabled/>
            <w:calcOnExit w:val="0"/>
            <w:textInput>
              <w:default w:val="Date"/>
            </w:textInput>
          </w:ffData>
        </w:fldChar>
      </w:r>
      <w:r w:rsidR="002B4939">
        <w:instrText xml:space="preserve"> FORMTEXT </w:instrText>
      </w:r>
      <w:r w:rsidR="002B4939">
        <w:fldChar w:fldCharType="separate"/>
      </w:r>
      <w:r w:rsidR="002B4939">
        <w:rPr>
          <w:noProof/>
        </w:rPr>
        <w:t>Date</w:t>
      </w:r>
      <w:r w:rsidR="002B4939">
        <w:fldChar w:fldCharType="end"/>
      </w:r>
      <w:r w:rsidR="002B4939">
        <w:t xml:space="preserve"> to </w:t>
      </w:r>
      <w:r w:rsidR="002B4939">
        <w:fldChar w:fldCharType="begin">
          <w:ffData>
            <w:name w:val="Text3"/>
            <w:enabled/>
            <w:calcOnExit w:val="0"/>
            <w:textInput>
              <w:default w:val="Date"/>
            </w:textInput>
          </w:ffData>
        </w:fldChar>
      </w:r>
      <w:r w:rsidR="002B4939">
        <w:instrText xml:space="preserve"> FORMTEXT </w:instrText>
      </w:r>
      <w:r w:rsidR="002B4939">
        <w:fldChar w:fldCharType="separate"/>
      </w:r>
      <w:r w:rsidR="002B4939">
        <w:rPr>
          <w:noProof/>
        </w:rPr>
        <w:t>Date</w:t>
      </w:r>
      <w:r w:rsidR="002B4939">
        <w:fldChar w:fldCharType="end"/>
      </w:r>
      <w:r w:rsidR="00E610B8">
        <w:t xml:space="preserve"> (not to exceed </w:t>
      </w:r>
      <w:r w:rsidR="008D5E4A">
        <w:t>1</w:t>
      </w:r>
      <w:r w:rsidR="00E610B8">
        <w:t xml:space="preserve"> month unless approved by the CDE School Nutrition Unit)</w:t>
      </w:r>
      <w:r w:rsidR="002B4939">
        <w:t xml:space="preserve">. Meals are to be served </w:t>
      </w:r>
      <w:r w:rsidR="002B4939">
        <w:fldChar w:fldCharType="begin">
          <w:ffData>
            <w:name w:val=""/>
            <w:enabled/>
            <w:calcOnExit w:val="0"/>
            <w:textInput/>
          </w:ffData>
        </w:fldChar>
      </w:r>
      <w:r w:rsidR="002B4939">
        <w:instrText xml:space="preserve"> FORMTEXT </w:instrText>
      </w:r>
      <w:r w:rsidR="002B4939">
        <w:fldChar w:fldCharType="separate"/>
      </w:r>
      <w:r w:rsidR="002B4939">
        <w:rPr>
          <w:noProof/>
        </w:rPr>
        <w:t> </w:t>
      </w:r>
      <w:r w:rsidR="002B4939">
        <w:rPr>
          <w:noProof/>
        </w:rPr>
        <w:t> </w:t>
      </w:r>
      <w:r w:rsidR="002B4939">
        <w:rPr>
          <w:noProof/>
        </w:rPr>
        <w:t> </w:t>
      </w:r>
      <w:r w:rsidR="002B4939">
        <w:rPr>
          <w:noProof/>
        </w:rPr>
        <w:t> </w:t>
      </w:r>
      <w:r w:rsidR="002B4939">
        <w:rPr>
          <w:noProof/>
        </w:rPr>
        <w:t> </w:t>
      </w:r>
      <w:r w:rsidR="002B4939">
        <w:fldChar w:fldCharType="end"/>
      </w:r>
      <w:r w:rsidR="002B4939">
        <w:t xml:space="preserve"> days a week.</w:t>
      </w:r>
      <w:r w:rsidR="006B1E1C">
        <w:t xml:space="preserve"> Chart 1 contains a list of participating sites. </w:t>
      </w:r>
    </w:p>
    <w:p w14:paraId="097FF4BE" w14:textId="36EE31F3" w:rsidR="002B4939" w:rsidRDefault="00AC5946" w:rsidP="00671621">
      <w:r>
        <w:t>The Sponsor Organization</w:t>
      </w:r>
      <w:r w:rsidR="002B4939">
        <w:t xml:space="preserve"> will order meals on </w:t>
      </w:r>
      <w:r w:rsidR="002B4939">
        <w:fldChar w:fldCharType="begin">
          <w:ffData>
            <w:name w:val="Dropdown1"/>
            <w:enabled/>
            <w:calcOnExit w:val="0"/>
            <w:ddList>
              <w:listEntry w:val="Day of Week"/>
              <w:listEntry w:val="Monday"/>
              <w:listEntry w:val="Tuesday"/>
              <w:listEntry w:val="Wednesday"/>
              <w:listEntry w:val="Thursday"/>
              <w:listEntry w:val="Friday"/>
              <w:listEntry w:val="Saturday"/>
              <w:listEntry w:val="Sunday"/>
            </w:ddList>
          </w:ffData>
        </w:fldChar>
      </w:r>
      <w:bookmarkStart w:id="4" w:name="Dropdown1"/>
      <w:r w:rsidR="002B4939">
        <w:instrText xml:space="preserve"> FORMDROPDOWN </w:instrText>
      </w:r>
      <w:r w:rsidR="00163BFF">
        <w:fldChar w:fldCharType="separate"/>
      </w:r>
      <w:r w:rsidR="002B4939">
        <w:fldChar w:fldCharType="end"/>
      </w:r>
      <w:bookmarkEnd w:id="4"/>
      <w:r w:rsidR="002B4939">
        <w:t xml:space="preserve"> of the week preceding the week of delivery; orders will be placed for the total number of operating days in the succeeding week. The </w:t>
      </w:r>
      <w:r>
        <w:t>Sponsor Organization</w:t>
      </w:r>
      <w:r w:rsidR="002B4939">
        <w:t xml:space="preserve"> reserves the right to increase or decrease the number of meals ordered on a </w:t>
      </w:r>
      <w:r w:rsidR="002B4939">
        <w:fldChar w:fldCharType="begin">
          <w:ffData>
            <w:name w:val=""/>
            <w:enabled/>
            <w:calcOnExit w:val="0"/>
            <w:textInput/>
          </w:ffData>
        </w:fldChar>
      </w:r>
      <w:r w:rsidR="002B4939">
        <w:instrText xml:space="preserve"> FORMTEXT </w:instrText>
      </w:r>
      <w:r w:rsidR="002B4939">
        <w:fldChar w:fldCharType="separate"/>
      </w:r>
      <w:r w:rsidR="002B4939">
        <w:rPr>
          <w:noProof/>
        </w:rPr>
        <w:t> </w:t>
      </w:r>
      <w:r w:rsidR="002B4939">
        <w:rPr>
          <w:noProof/>
        </w:rPr>
        <w:t> </w:t>
      </w:r>
      <w:r w:rsidR="002B4939">
        <w:rPr>
          <w:noProof/>
        </w:rPr>
        <w:t> </w:t>
      </w:r>
      <w:r w:rsidR="002B4939">
        <w:rPr>
          <w:noProof/>
        </w:rPr>
        <w:t> </w:t>
      </w:r>
      <w:r w:rsidR="002B4939">
        <w:rPr>
          <w:noProof/>
        </w:rPr>
        <w:t> </w:t>
      </w:r>
      <w:r w:rsidR="002B4939">
        <w:fldChar w:fldCharType="end"/>
      </w:r>
      <w:r w:rsidR="002B4939">
        <w:t xml:space="preserve"> hour notice, or less if mutually agreed upon between the parties to this contract.</w:t>
      </w:r>
    </w:p>
    <w:p w14:paraId="0CDCC9E9" w14:textId="63552E81" w:rsidR="00143C69" w:rsidRDefault="00671621" w:rsidP="00671621">
      <w:r>
        <w:t xml:space="preserve">It is further agreed that </w:t>
      </w:r>
      <w:r w:rsidR="00AC5946">
        <w:t>the Meal Vendor</w:t>
      </w:r>
      <w:r>
        <w:t xml:space="preserve">, pursuant to the provisions of the Summer Food Service Program (SFSP) </w:t>
      </w:r>
      <w:r w:rsidR="00334B40">
        <w:t xml:space="preserve">and/or Seamless Summer Option (SSO) </w:t>
      </w:r>
      <w:r>
        <w:t xml:space="preserve">regulations, </w:t>
      </w:r>
      <w:r w:rsidR="00334B40">
        <w:t xml:space="preserve">available on the </w:t>
      </w:r>
      <w:hyperlink r:id="rId8" w:history="1">
        <w:r w:rsidR="00334B40" w:rsidRPr="00334B40">
          <w:rPr>
            <w:rStyle w:val="Hyperlink"/>
          </w:rPr>
          <w:t>Colorado School Nutrition Programs Web Page</w:t>
        </w:r>
      </w:hyperlink>
      <w:r>
        <w:t xml:space="preserve">, will assure that </w:t>
      </w:r>
      <w:r w:rsidR="006B4F51" w:rsidRPr="006B4F51">
        <w:t>all</w:t>
      </w:r>
      <w:r w:rsidRPr="006B4F51">
        <w:t xml:space="preserve"> meals</w:t>
      </w:r>
      <w:r>
        <w:t xml:space="preserve"> meet the minimum meal pattern requirements as to components and portion sizes, and will maintain full and accurate records that the </w:t>
      </w:r>
      <w:r w:rsidR="00AC5946">
        <w:t>Sponsor Organization</w:t>
      </w:r>
      <w:r w:rsidR="00143C69">
        <w:t xml:space="preserve"> </w:t>
      </w:r>
      <w:r>
        <w:t>will need to meet its responsibility</w:t>
      </w:r>
      <w:r w:rsidR="00143C69">
        <w:t>,</w:t>
      </w:r>
      <w:r>
        <w:t xml:space="preserve"> including menu records containing the amount of food prepared and daily number of meals delivered by type. </w:t>
      </w:r>
      <w:r w:rsidR="00AC5946">
        <w:t xml:space="preserve">If </w:t>
      </w:r>
      <w:hyperlink r:id="rId9" w:history="1">
        <w:r w:rsidR="00AC5946" w:rsidRPr="00AC5946">
          <w:rPr>
            <w:rStyle w:val="Hyperlink"/>
          </w:rPr>
          <w:t>USDA Foods</w:t>
        </w:r>
      </w:hyperlink>
      <w:r w:rsidR="00AC5946">
        <w:t xml:space="preserve"> (commodities) will be used in the preparation of meals, the </w:t>
      </w:r>
      <w:r w:rsidR="00C90A58">
        <w:t>Meal Vendor</w:t>
      </w:r>
      <w:r w:rsidR="00AC5946">
        <w:t xml:space="preserve"> </w:t>
      </w:r>
      <w:r w:rsidR="00AC5946">
        <w:rPr>
          <w:rFonts w:eastAsia="MS Mincho"/>
        </w:rPr>
        <w:t>w</w:t>
      </w:r>
      <w:r w:rsidR="00AC5946" w:rsidRPr="004B38D6">
        <w:rPr>
          <w:rFonts w:eastAsia="MS Mincho"/>
        </w:rPr>
        <w:t xml:space="preserve">ill conduct all activities relating to USDA Foods for which it is responsible in accordance with 7 CFR Parts 250, 210, 220, 225 and 226, as applicable. </w:t>
      </w:r>
      <w:r w:rsidR="00AC5946">
        <w:rPr>
          <w:rFonts w:eastAsia="MS Mincho"/>
        </w:rPr>
        <w:t>All USDA Foods used in the preparation of meals must be credited on the receipt/invoice to show the value of USDA Foods used. The Meal Vendor and Sponsor Organization will work with their local health departments to ensure that meals served meet all applicable health and food safety requirements. The Meal Vendor and Sponsor Organization</w:t>
      </w:r>
      <w:r w:rsidR="002D4B44">
        <w:rPr>
          <w:rFonts w:eastAsia="MS Mincho"/>
        </w:rPr>
        <w:t xml:space="preserve"> will maintain all local health certifications for the facilities in which meals are prepared and served as required by the State of Colorado.</w:t>
      </w:r>
      <w:r w:rsidR="00AC5946">
        <w:rPr>
          <w:rFonts w:eastAsia="MS Mincho"/>
        </w:rPr>
        <w:t xml:space="preserve"> </w:t>
      </w:r>
      <w:r w:rsidR="00AC4862">
        <w:t xml:space="preserve">The </w:t>
      </w:r>
      <w:r w:rsidR="002D4B44">
        <w:t>Sponsor Organization</w:t>
      </w:r>
      <w:r w:rsidR="00AC4862">
        <w:t xml:space="preserve"> is under no obligation to pay for meals that do not meet the minimum requirements under this agreement. </w:t>
      </w:r>
    </w:p>
    <w:p w14:paraId="0D3A9B8E" w14:textId="5823498B" w:rsidR="00671621" w:rsidRDefault="00671621" w:rsidP="00671621">
      <w:r>
        <w:t xml:space="preserve">These records must be reported to the </w:t>
      </w:r>
      <w:r w:rsidR="002D4B44">
        <w:t>Sponsor Organization</w:t>
      </w:r>
      <w:r>
        <w:t xml:space="preserve"> promptly at the end of each week. </w:t>
      </w:r>
      <w:r w:rsidR="002D4B44">
        <w:t>Sponsor Organization</w:t>
      </w:r>
      <w:r>
        <w:t xml:space="preserve"> agrees also to retain records required under the preceding clause for a period of 3 years</w:t>
      </w:r>
      <w:r w:rsidR="00143C69">
        <w:t xml:space="preserve"> plus the current year</w:t>
      </w:r>
      <w:r>
        <w:t xml:space="preserve"> from the date of receipt of final payment under this agreement (or longer, if an audit is in progress) and upon request to make all accounts and records pertaining to the program </w:t>
      </w:r>
      <w:r>
        <w:lastRenderedPageBreak/>
        <w:t xml:space="preserve">available to state or federal representatives for audit or administrative review at a reasonable time and place. </w:t>
      </w:r>
    </w:p>
    <w:p w14:paraId="1C6E5AFF" w14:textId="65D60B0D" w:rsidR="00671621" w:rsidRDefault="00671621" w:rsidP="00671621">
      <w:r>
        <w:t xml:space="preserve">This agreement shall be effective as of </w:t>
      </w:r>
      <w:r w:rsidR="00143C69">
        <w:fldChar w:fldCharType="begin">
          <w:ffData>
            <w:name w:val="Text3"/>
            <w:enabled/>
            <w:calcOnExit w:val="0"/>
            <w:textInput>
              <w:default w:val="Date"/>
            </w:textInput>
          </w:ffData>
        </w:fldChar>
      </w:r>
      <w:bookmarkStart w:id="5" w:name="Text3"/>
      <w:r w:rsidR="00143C69">
        <w:instrText xml:space="preserve"> FORMTEXT </w:instrText>
      </w:r>
      <w:r w:rsidR="00143C69">
        <w:fldChar w:fldCharType="separate"/>
      </w:r>
      <w:r w:rsidR="00143C69">
        <w:rPr>
          <w:noProof/>
        </w:rPr>
        <w:t>Date</w:t>
      </w:r>
      <w:r w:rsidR="00143C69">
        <w:fldChar w:fldCharType="end"/>
      </w:r>
      <w:bookmarkEnd w:id="5"/>
      <w:r>
        <w:t>. It may be terminated by notice in writing given by either party, at</w:t>
      </w:r>
      <w:r w:rsidR="00163BFF">
        <w:t xml:space="preserve"> least </w:t>
      </w:r>
      <w:r w:rsidR="00163BFF" w:rsidRPr="00163BFF">
        <w:rPr>
          <w:highlight w:val="lightGray"/>
        </w:rPr>
        <w:t>days</w:t>
      </w:r>
      <w:r>
        <w:t xml:space="preserve"> </w:t>
      </w:r>
      <w:proofErr w:type="spellStart"/>
      <w:r>
        <w:t>days</w:t>
      </w:r>
      <w:proofErr w:type="spellEnd"/>
      <w:r>
        <w:t xml:space="preserve"> prior to the date of termination. </w:t>
      </w:r>
      <w:r w:rsidR="002D4B44" w:rsidRPr="002D4B44">
        <w:rPr>
          <w:b/>
        </w:rPr>
        <w:t>This agreement will be null and void upon the date that the Sponsor Organization is no longer serving meals in the approved emergency feeding situation. This agreem</w:t>
      </w:r>
      <w:bookmarkStart w:id="6" w:name="_GoBack"/>
      <w:bookmarkEnd w:id="6"/>
      <w:r w:rsidR="002D4B44" w:rsidRPr="002D4B44">
        <w:rPr>
          <w:b/>
        </w:rPr>
        <w:t>ent does not apply to normal program operations or participation.</w:t>
      </w:r>
      <w:r w:rsidR="002D4B44">
        <w:t xml:space="preserve"> </w:t>
      </w:r>
    </w:p>
    <w:p w14:paraId="50A5BC42" w14:textId="77777777" w:rsidR="00143C69" w:rsidRDefault="00143C69" w:rsidP="00671621">
      <w:r>
        <w:t>Location of food preparation center(s):__________________________________________________________________________________________________________________________________________________________________</w:t>
      </w:r>
    </w:p>
    <w:p w14:paraId="0133FEBB" w14:textId="77777777" w:rsidR="002B4939" w:rsidRDefault="00671621">
      <w:pPr>
        <w:pStyle w:val="NoSpacing"/>
      </w:pPr>
      <w:r w:rsidRPr="00143C69">
        <w:t>In witness whereof, the parties have executed this agreement as of the dates indicated below:</w:t>
      </w:r>
    </w:p>
    <w:p w14:paraId="42BFFBBD" w14:textId="77777777" w:rsidR="00982324" w:rsidRDefault="00982324">
      <w:pPr>
        <w:pStyle w:val="NoSpacing"/>
      </w:pPr>
    </w:p>
    <w:p w14:paraId="5A295727" w14:textId="77777777" w:rsidR="00A30A15" w:rsidRDefault="00AC4862">
      <w:pPr>
        <w:pStyle w:val="NoSpacing"/>
      </w:pPr>
      <w:r>
        <w:t>Sponsor</w:t>
      </w:r>
      <w:r w:rsidR="00A30A15">
        <w:t xml:space="preserve"> </w:t>
      </w:r>
      <w:r w:rsidR="00143C69">
        <w:t>Official</w:t>
      </w:r>
      <w:r w:rsidR="00A30A15">
        <w:t xml:space="preserve"> </w:t>
      </w:r>
      <w:proofErr w:type="gramStart"/>
      <w:r w:rsidR="00A30A15">
        <w:t>Signature:_</w:t>
      </w:r>
      <w:proofErr w:type="gramEnd"/>
      <w:r w:rsidR="00A30A15">
        <w:t>_____________________________________Date:________</w:t>
      </w:r>
      <w:r w:rsidR="00143C69">
        <w:t>_</w:t>
      </w:r>
      <w:r w:rsidR="00A30A15">
        <w:t xml:space="preserve">_______ </w:t>
      </w:r>
    </w:p>
    <w:p w14:paraId="7F016222" w14:textId="77777777" w:rsidR="00143C69" w:rsidRDefault="00143C69">
      <w:pPr>
        <w:pStyle w:val="NoSpacing"/>
      </w:pPr>
    </w:p>
    <w:p w14:paraId="731EB2ED" w14:textId="77777777" w:rsidR="00143C69" w:rsidRDefault="00AC4862">
      <w:pPr>
        <w:pStyle w:val="NoSpacing"/>
      </w:pPr>
      <w:r>
        <w:t>Meal Vendor</w:t>
      </w:r>
      <w:r w:rsidR="00143C69">
        <w:t xml:space="preserve"> Official </w:t>
      </w:r>
      <w:proofErr w:type="gramStart"/>
      <w:r w:rsidR="00143C69">
        <w:t>Signature:_</w:t>
      </w:r>
      <w:proofErr w:type="gramEnd"/>
      <w:r w:rsidR="00143C69">
        <w:t>____________________________________Date:________________</w:t>
      </w:r>
    </w:p>
    <w:p w14:paraId="7BC3229C" w14:textId="77777777" w:rsidR="00AC4862" w:rsidRDefault="00AC4862">
      <w:pPr>
        <w:pStyle w:val="NoSpacing"/>
      </w:pPr>
    </w:p>
    <w:p w14:paraId="0813A5E6" w14:textId="77777777" w:rsidR="006B1E1C" w:rsidRDefault="006B1E1C">
      <w:pPr>
        <w:pStyle w:val="NoSpacing"/>
      </w:pPr>
    </w:p>
    <w:p w14:paraId="74D01955" w14:textId="77777777" w:rsidR="00AC4862" w:rsidRPr="006B1E1C" w:rsidRDefault="005E7D55">
      <w:pPr>
        <w:pStyle w:val="NoSpacing"/>
        <w:rPr>
          <w:b/>
        </w:rPr>
      </w:pPr>
      <w:r>
        <w:rPr>
          <w:b/>
        </w:rPr>
        <w:t>Exhibit</w:t>
      </w:r>
      <w:r w:rsidR="006B1E1C">
        <w:rPr>
          <w:b/>
        </w:rPr>
        <w:t xml:space="preserve"> 1: </w:t>
      </w:r>
      <w:r w:rsidR="006B1E1C" w:rsidRPr="006B1E1C">
        <w:rPr>
          <w:b/>
        </w:rPr>
        <w:t>List of Participating Sites</w:t>
      </w:r>
    </w:p>
    <w:tbl>
      <w:tblPr>
        <w:tblpPr w:leftFromText="180" w:rightFromText="180" w:vertAnchor="text" w:horzAnchor="margin" w:tblpX="-440" w:tblpY="462"/>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34"/>
        <w:gridCol w:w="2251"/>
        <w:gridCol w:w="1528"/>
        <w:gridCol w:w="1620"/>
        <w:gridCol w:w="2252"/>
      </w:tblGrid>
      <w:tr w:rsidR="006B1E1C" w:rsidRPr="006B1E1C" w14:paraId="38068046" w14:textId="77777777" w:rsidTr="006B1E1C">
        <w:trPr>
          <w:trHeight w:val="575"/>
        </w:trPr>
        <w:tc>
          <w:tcPr>
            <w:tcW w:w="4585" w:type="dxa"/>
            <w:gridSpan w:val="2"/>
          </w:tcPr>
          <w:p w14:paraId="6E68B53B" w14:textId="77777777" w:rsidR="006B1E1C" w:rsidRPr="006B1E1C" w:rsidRDefault="006B1E1C" w:rsidP="006B1E1C">
            <w:pPr>
              <w:pStyle w:val="NoSpacing"/>
              <w:rPr>
                <w:b/>
              </w:rPr>
            </w:pPr>
            <w:r>
              <w:rPr>
                <w:b/>
              </w:rPr>
              <w:t>Complete for all participating sites</w:t>
            </w:r>
          </w:p>
        </w:tc>
        <w:tc>
          <w:tcPr>
            <w:tcW w:w="5400" w:type="dxa"/>
            <w:gridSpan w:val="3"/>
            <w:tcBorders>
              <w:top w:val="single" w:sz="4" w:space="0" w:color="auto"/>
              <w:bottom w:val="single" w:sz="4" w:space="0" w:color="auto"/>
              <w:right w:val="single" w:sz="4" w:space="0" w:color="auto"/>
            </w:tcBorders>
            <w:shd w:val="clear" w:color="auto" w:fill="auto"/>
          </w:tcPr>
          <w:p w14:paraId="41FD933E" w14:textId="77777777" w:rsidR="006B1E1C" w:rsidRPr="006B1E1C" w:rsidRDefault="006B1E1C" w:rsidP="006B1E1C">
            <w:r w:rsidRPr="006B1E1C">
              <w:rPr>
                <w:b/>
              </w:rPr>
              <w:t>Indicate if hot or cold holding available at site</w:t>
            </w:r>
          </w:p>
        </w:tc>
      </w:tr>
      <w:tr w:rsidR="006B1E1C" w:rsidRPr="006B1E1C" w14:paraId="54506DBF" w14:textId="77777777" w:rsidTr="006B1E1C">
        <w:trPr>
          <w:trHeight w:val="575"/>
        </w:trPr>
        <w:tc>
          <w:tcPr>
            <w:tcW w:w="2335" w:type="dxa"/>
          </w:tcPr>
          <w:p w14:paraId="6C73D398" w14:textId="77777777" w:rsidR="006B1E1C" w:rsidRPr="006B1E1C" w:rsidRDefault="006B1E1C" w:rsidP="006B1E1C">
            <w:pPr>
              <w:pStyle w:val="NoSpacing"/>
              <w:rPr>
                <w:b/>
              </w:rPr>
            </w:pPr>
            <w:r w:rsidRPr="006B1E1C">
              <w:rPr>
                <w:b/>
              </w:rPr>
              <w:t>Site name</w:t>
            </w:r>
            <w:r>
              <w:rPr>
                <w:b/>
              </w:rPr>
              <w:t>/ grades</w:t>
            </w:r>
          </w:p>
        </w:tc>
        <w:tc>
          <w:tcPr>
            <w:tcW w:w="2252" w:type="dxa"/>
          </w:tcPr>
          <w:p w14:paraId="32896A14" w14:textId="77777777" w:rsidR="006B1E1C" w:rsidRPr="006B1E1C" w:rsidRDefault="006B1E1C" w:rsidP="006B1E1C">
            <w:pPr>
              <w:pStyle w:val="NoSpacing"/>
              <w:rPr>
                <w:b/>
              </w:rPr>
            </w:pPr>
            <w:r w:rsidRPr="006B1E1C">
              <w:rPr>
                <w:b/>
              </w:rPr>
              <w:t>Address</w:t>
            </w:r>
          </w:p>
        </w:tc>
        <w:tc>
          <w:tcPr>
            <w:tcW w:w="1528" w:type="dxa"/>
          </w:tcPr>
          <w:p w14:paraId="5CB73E7B" w14:textId="77777777" w:rsidR="006B1E1C" w:rsidRPr="006B1E1C" w:rsidRDefault="006B1E1C" w:rsidP="006B1E1C">
            <w:pPr>
              <w:pStyle w:val="NoSpacing"/>
              <w:rPr>
                <w:b/>
              </w:rPr>
            </w:pPr>
            <w:r w:rsidRPr="006B1E1C">
              <w:rPr>
                <w:b/>
              </w:rPr>
              <w:t>S</w:t>
            </w:r>
            <w:r>
              <w:rPr>
                <w:b/>
              </w:rPr>
              <w:t>FSP</w:t>
            </w:r>
          </w:p>
        </w:tc>
        <w:tc>
          <w:tcPr>
            <w:tcW w:w="1620" w:type="dxa"/>
          </w:tcPr>
          <w:p w14:paraId="7CE4DDE1" w14:textId="77777777" w:rsidR="006B1E1C" w:rsidRPr="006B1E1C" w:rsidRDefault="006B1E1C" w:rsidP="006B1E1C">
            <w:pPr>
              <w:pStyle w:val="NoSpacing"/>
              <w:rPr>
                <w:b/>
              </w:rPr>
            </w:pPr>
            <w:r w:rsidRPr="006B1E1C">
              <w:rPr>
                <w:b/>
              </w:rPr>
              <w:t>SSO</w:t>
            </w:r>
          </w:p>
        </w:tc>
        <w:tc>
          <w:tcPr>
            <w:tcW w:w="2250" w:type="dxa"/>
          </w:tcPr>
          <w:p w14:paraId="732101D6" w14:textId="77777777" w:rsidR="006B1E1C" w:rsidRPr="006B1E1C" w:rsidRDefault="006B1E1C" w:rsidP="006B1E1C">
            <w:pPr>
              <w:pStyle w:val="NoSpacing"/>
              <w:rPr>
                <w:b/>
              </w:rPr>
            </w:pPr>
            <w:r>
              <w:rPr>
                <w:b/>
              </w:rPr>
              <w:t>Notes</w:t>
            </w:r>
          </w:p>
        </w:tc>
      </w:tr>
      <w:tr w:rsidR="006B1E1C" w:rsidRPr="006B1E1C" w14:paraId="54A6BE63" w14:textId="77777777" w:rsidTr="006B1E1C">
        <w:tc>
          <w:tcPr>
            <w:tcW w:w="2335" w:type="dxa"/>
          </w:tcPr>
          <w:p w14:paraId="2C8F0DBB" w14:textId="77777777" w:rsidR="006B1E1C" w:rsidRPr="006B1E1C" w:rsidRDefault="006B1E1C" w:rsidP="006B1E1C">
            <w:pPr>
              <w:pStyle w:val="NoSpacing"/>
            </w:pPr>
          </w:p>
        </w:tc>
        <w:tc>
          <w:tcPr>
            <w:tcW w:w="2252" w:type="dxa"/>
          </w:tcPr>
          <w:p w14:paraId="070E9481" w14:textId="77777777" w:rsidR="006B1E1C" w:rsidRPr="006B1E1C" w:rsidRDefault="006B1E1C" w:rsidP="006B1E1C">
            <w:pPr>
              <w:pStyle w:val="NoSpacing"/>
            </w:pPr>
          </w:p>
        </w:tc>
        <w:tc>
          <w:tcPr>
            <w:tcW w:w="1528" w:type="dxa"/>
          </w:tcPr>
          <w:p w14:paraId="5563DCF9" w14:textId="77777777" w:rsidR="006B1E1C" w:rsidRPr="006B1E1C" w:rsidRDefault="006B1E1C" w:rsidP="006B1E1C">
            <w:pPr>
              <w:pStyle w:val="NoSpacing"/>
            </w:pPr>
          </w:p>
        </w:tc>
        <w:tc>
          <w:tcPr>
            <w:tcW w:w="1620" w:type="dxa"/>
          </w:tcPr>
          <w:p w14:paraId="73211A90" w14:textId="77777777" w:rsidR="006B1E1C" w:rsidRPr="006B1E1C" w:rsidRDefault="006B1E1C" w:rsidP="006B1E1C">
            <w:pPr>
              <w:pStyle w:val="NoSpacing"/>
            </w:pPr>
          </w:p>
        </w:tc>
        <w:tc>
          <w:tcPr>
            <w:tcW w:w="2250" w:type="dxa"/>
          </w:tcPr>
          <w:p w14:paraId="58050BE9" w14:textId="77777777" w:rsidR="006B1E1C" w:rsidRPr="006B1E1C" w:rsidRDefault="006B1E1C" w:rsidP="006B1E1C">
            <w:pPr>
              <w:pStyle w:val="NoSpacing"/>
            </w:pPr>
          </w:p>
        </w:tc>
      </w:tr>
      <w:tr w:rsidR="006B1E1C" w:rsidRPr="006B1E1C" w14:paraId="1CD9D4DB" w14:textId="77777777" w:rsidTr="006B1E1C">
        <w:tc>
          <w:tcPr>
            <w:tcW w:w="2335" w:type="dxa"/>
          </w:tcPr>
          <w:p w14:paraId="1BE2C684" w14:textId="77777777" w:rsidR="006B1E1C" w:rsidRPr="006B1E1C" w:rsidRDefault="006B1E1C" w:rsidP="006B1E1C">
            <w:pPr>
              <w:pStyle w:val="NoSpacing"/>
            </w:pPr>
          </w:p>
        </w:tc>
        <w:tc>
          <w:tcPr>
            <w:tcW w:w="2252" w:type="dxa"/>
          </w:tcPr>
          <w:p w14:paraId="65E674AB" w14:textId="77777777" w:rsidR="006B1E1C" w:rsidRPr="006B1E1C" w:rsidRDefault="006B1E1C" w:rsidP="006B1E1C">
            <w:pPr>
              <w:pStyle w:val="NoSpacing"/>
            </w:pPr>
          </w:p>
        </w:tc>
        <w:tc>
          <w:tcPr>
            <w:tcW w:w="1528" w:type="dxa"/>
          </w:tcPr>
          <w:p w14:paraId="55169F3C" w14:textId="77777777" w:rsidR="006B1E1C" w:rsidRPr="006B1E1C" w:rsidRDefault="006B1E1C" w:rsidP="006B1E1C">
            <w:pPr>
              <w:pStyle w:val="NoSpacing"/>
            </w:pPr>
          </w:p>
        </w:tc>
        <w:tc>
          <w:tcPr>
            <w:tcW w:w="1620" w:type="dxa"/>
          </w:tcPr>
          <w:p w14:paraId="5FE795D7" w14:textId="77777777" w:rsidR="006B1E1C" w:rsidRPr="006B1E1C" w:rsidRDefault="006B1E1C" w:rsidP="006B1E1C">
            <w:pPr>
              <w:pStyle w:val="NoSpacing"/>
            </w:pPr>
          </w:p>
        </w:tc>
        <w:tc>
          <w:tcPr>
            <w:tcW w:w="2250" w:type="dxa"/>
          </w:tcPr>
          <w:p w14:paraId="526C392A" w14:textId="77777777" w:rsidR="006B1E1C" w:rsidRPr="006B1E1C" w:rsidRDefault="006B1E1C" w:rsidP="006B1E1C">
            <w:pPr>
              <w:pStyle w:val="NoSpacing"/>
            </w:pPr>
          </w:p>
        </w:tc>
      </w:tr>
      <w:tr w:rsidR="006B1E1C" w:rsidRPr="006B1E1C" w14:paraId="14EA6A15" w14:textId="77777777" w:rsidTr="006B1E1C">
        <w:tc>
          <w:tcPr>
            <w:tcW w:w="2335" w:type="dxa"/>
          </w:tcPr>
          <w:p w14:paraId="6BC78BCE" w14:textId="77777777" w:rsidR="006B1E1C" w:rsidRPr="006B1E1C" w:rsidRDefault="006B1E1C" w:rsidP="006B1E1C">
            <w:pPr>
              <w:pStyle w:val="NoSpacing"/>
            </w:pPr>
          </w:p>
        </w:tc>
        <w:tc>
          <w:tcPr>
            <w:tcW w:w="2252" w:type="dxa"/>
          </w:tcPr>
          <w:p w14:paraId="614B4B28" w14:textId="77777777" w:rsidR="006B1E1C" w:rsidRPr="006B1E1C" w:rsidRDefault="006B1E1C" w:rsidP="006B1E1C">
            <w:pPr>
              <w:pStyle w:val="NoSpacing"/>
            </w:pPr>
          </w:p>
        </w:tc>
        <w:tc>
          <w:tcPr>
            <w:tcW w:w="1528" w:type="dxa"/>
          </w:tcPr>
          <w:p w14:paraId="208F17F9" w14:textId="77777777" w:rsidR="006B1E1C" w:rsidRPr="006B1E1C" w:rsidRDefault="006B1E1C" w:rsidP="006B1E1C">
            <w:pPr>
              <w:pStyle w:val="NoSpacing"/>
            </w:pPr>
          </w:p>
        </w:tc>
        <w:tc>
          <w:tcPr>
            <w:tcW w:w="1620" w:type="dxa"/>
          </w:tcPr>
          <w:p w14:paraId="2C976827" w14:textId="77777777" w:rsidR="006B1E1C" w:rsidRPr="006B1E1C" w:rsidRDefault="006B1E1C" w:rsidP="006B1E1C">
            <w:pPr>
              <w:pStyle w:val="NoSpacing"/>
            </w:pPr>
          </w:p>
        </w:tc>
        <w:tc>
          <w:tcPr>
            <w:tcW w:w="2250" w:type="dxa"/>
          </w:tcPr>
          <w:p w14:paraId="47835897" w14:textId="77777777" w:rsidR="006B1E1C" w:rsidRPr="006B1E1C" w:rsidRDefault="006B1E1C" w:rsidP="006B1E1C">
            <w:pPr>
              <w:pStyle w:val="NoSpacing"/>
            </w:pPr>
          </w:p>
        </w:tc>
      </w:tr>
      <w:tr w:rsidR="006B1E1C" w:rsidRPr="006B1E1C" w14:paraId="5EA92A58" w14:textId="77777777" w:rsidTr="006B1E1C">
        <w:tc>
          <w:tcPr>
            <w:tcW w:w="2335" w:type="dxa"/>
          </w:tcPr>
          <w:p w14:paraId="7FF45734" w14:textId="77777777" w:rsidR="006B1E1C" w:rsidRPr="006B1E1C" w:rsidRDefault="006B1E1C" w:rsidP="006B1E1C">
            <w:pPr>
              <w:pStyle w:val="NoSpacing"/>
            </w:pPr>
          </w:p>
        </w:tc>
        <w:tc>
          <w:tcPr>
            <w:tcW w:w="2252" w:type="dxa"/>
          </w:tcPr>
          <w:p w14:paraId="5BC27334" w14:textId="77777777" w:rsidR="006B1E1C" w:rsidRPr="006B1E1C" w:rsidRDefault="006B1E1C" w:rsidP="006B1E1C">
            <w:pPr>
              <w:pStyle w:val="NoSpacing"/>
            </w:pPr>
          </w:p>
        </w:tc>
        <w:tc>
          <w:tcPr>
            <w:tcW w:w="1528" w:type="dxa"/>
          </w:tcPr>
          <w:p w14:paraId="4DCA81E8" w14:textId="77777777" w:rsidR="006B1E1C" w:rsidRPr="006B1E1C" w:rsidRDefault="006B1E1C" w:rsidP="006B1E1C">
            <w:pPr>
              <w:pStyle w:val="NoSpacing"/>
            </w:pPr>
          </w:p>
        </w:tc>
        <w:tc>
          <w:tcPr>
            <w:tcW w:w="1620" w:type="dxa"/>
          </w:tcPr>
          <w:p w14:paraId="6CE69053" w14:textId="77777777" w:rsidR="006B1E1C" w:rsidRPr="006B1E1C" w:rsidRDefault="006B1E1C" w:rsidP="006B1E1C">
            <w:pPr>
              <w:pStyle w:val="NoSpacing"/>
            </w:pPr>
          </w:p>
        </w:tc>
        <w:tc>
          <w:tcPr>
            <w:tcW w:w="2250" w:type="dxa"/>
          </w:tcPr>
          <w:p w14:paraId="643BA155" w14:textId="77777777" w:rsidR="006B1E1C" w:rsidRPr="006B1E1C" w:rsidRDefault="006B1E1C" w:rsidP="006B1E1C">
            <w:pPr>
              <w:pStyle w:val="NoSpacing"/>
            </w:pPr>
          </w:p>
        </w:tc>
      </w:tr>
      <w:tr w:rsidR="006B1E1C" w:rsidRPr="006B1E1C" w14:paraId="5B6E23DC" w14:textId="77777777" w:rsidTr="006B1E1C">
        <w:tc>
          <w:tcPr>
            <w:tcW w:w="2335" w:type="dxa"/>
          </w:tcPr>
          <w:p w14:paraId="1ACA6476" w14:textId="77777777" w:rsidR="006B1E1C" w:rsidRPr="006B1E1C" w:rsidRDefault="006B1E1C" w:rsidP="006B1E1C">
            <w:pPr>
              <w:pStyle w:val="NoSpacing"/>
            </w:pPr>
          </w:p>
        </w:tc>
        <w:tc>
          <w:tcPr>
            <w:tcW w:w="2252" w:type="dxa"/>
          </w:tcPr>
          <w:p w14:paraId="617CCB52" w14:textId="77777777" w:rsidR="006B1E1C" w:rsidRPr="006B1E1C" w:rsidRDefault="006B1E1C" w:rsidP="006B1E1C">
            <w:pPr>
              <w:pStyle w:val="NoSpacing"/>
            </w:pPr>
          </w:p>
        </w:tc>
        <w:tc>
          <w:tcPr>
            <w:tcW w:w="1528" w:type="dxa"/>
          </w:tcPr>
          <w:p w14:paraId="0B90FB6F" w14:textId="77777777" w:rsidR="006B1E1C" w:rsidRPr="006B1E1C" w:rsidRDefault="006B1E1C" w:rsidP="006B1E1C">
            <w:pPr>
              <w:pStyle w:val="NoSpacing"/>
            </w:pPr>
          </w:p>
        </w:tc>
        <w:tc>
          <w:tcPr>
            <w:tcW w:w="1620" w:type="dxa"/>
          </w:tcPr>
          <w:p w14:paraId="540A815A" w14:textId="77777777" w:rsidR="006B1E1C" w:rsidRPr="006B1E1C" w:rsidRDefault="006B1E1C" w:rsidP="006B1E1C">
            <w:pPr>
              <w:pStyle w:val="NoSpacing"/>
            </w:pPr>
          </w:p>
        </w:tc>
        <w:tc>
          <w:tcPr>
            <w:tcW w:w="2250" w:type="dxa"/>
          </w:tcPr>
          <w:p w14:paraId="32114418" w14:textId="77777777" w:rsidR="006B1E1C" w:rsidRPr="006B1E1C" w:rsidRDefault="006B1E1C" w:rsidP="006B1E1C">
            <w:pPr>
              <w:pStyle w:val="NoSpacing"/>
            </w:pPr>
          </w:p>
        </w:tc>
      </w:tr>
      <w:tr w:rsidR="006B1E1C" w:rsidRPr="006B1E1C" w14:paraId="4648F6A6" w14:textId="77777777" w:rsidTr="006B1E1C">
        <w:tc>
          <w:tcPr>
            <w:tcW w:w="2335" w:type="dxa"/>
          </w:tcPr>
          <w:p w14:paraId="2B629247" w14:textId="77777777" w:rsidR="006B1E1C" w:rsidRPr="006B1E1C" w:rsidRDefault="006B1E1C" w:rsidP="006B1E1C">
            <w:pPr>
              <w:pStyle w:val="NoSpacing"/>
            </w:pPr>
          </w:p>
        </w:tc>
        <w:tc>
          <w:tcPr>
            <w:tcW w:w="2252" w:type="dxa"/>
          </w:tcPr>
          <w:p w14:paraId="7F928215" w14:textId="77777777" w:rsidR="006B1E1C" w:rsidRPr="006B1E1C" w:rsidRDefault="006B1E1C" w:rsidP="006B1E1C">
            <w:pPr>
              <w:pStyle w:val="NoSpacing"/>
            </w:pPr>
          </w:p>
        </w:tc>
        <w:tc>
          <w:tcPr>
            <w:tcW w:w="1528" w:type="dxa"/>
          </w:tcPr>
          <w:p w14:paraId="32956D18" w14:textId="77777777" w:rsidR="006B1E1C" w:rsidRPr="006B1E1C" w:rsidRDefault="006B1E1C" w:rsidP="006B1E1C">
            <w:pPr>
              <w:pStyle w:val="NoSpacing"/>
            </w:pPr>
          </w:p>
        </w:tc>
        <w:tc>
          <w:tcPr>
            <w:tcW w:w="1620" w:type="dxa"/>
          </w:tcPr>
          <w:p w14:paraId="29870929" w14:textId="77777777" w:rsidR="006B1E1C" w:rsidRPr="006B1E1C" w:rsidRDefault="006B1E1C" w:rsidP="006B1E1C">
            <w:pPr>
              <w:pStyle w:val="NoSpacing"/>
            </w:pPr>
          </w:p>
        </w:tc>
        <w:tc>
          <w:tcPr>
            <w:tcW w:w="2250" w:type="dxa"/>
          </w:tcPr>
          <w:p w14:paraId="3C7742C3" w14:textId="77777777" w:rsidR="006B1E1C" w:rsidRPr="006B1E1C" w:rsidRDefault="006B1E1C" w:rsidP="006B1E1C">
            <w:pPr>
              <w:pStyle w:val="NoSpacing"/>
            </w:pPr>
          </w:p>
        </w:tc>
      </w:tr>
      <w:tr w:rsidR="006B1E1C" w:rsidRPr="006B1E1C" w14:paraId="4B204808" w14:textId="77777777" w:rsidTr="006B1E1C">
        <w:tc>
          <w:tcPr>
            <w:tcW w:w="2335" w:type="dxa"/>
          </w:tcPr>
          <w:p w14:paraId="782B26E7" w14:textId="77777777" w:rsidR="006B1E1C" w:rsidRPr="006B1E1C" w:rsidRDefault="006B1E1C" w:rsidP="006B1E1C">
            <w:pPr>
              <w:pStyle w:val="NoSpacing"/>
            </w:pPr>
          </w:p>
        </w:tc>
        <w:tc>
          <w:tcPr>
            <w:tcW w:w="2252" w:type="dxa"/>
          </w:tcPr>
          <w:p w14:paraId="2A805BA3" w14:textId="77777777" w:rsidR="006B1E1C" w:rsidRPr="006B1E1C" w:rsidRDefault="006B1E1C" w:rsidP="006B1E1C">
            <w:pPr>
              <w:pStyle w:val="NoSpacing"/>
            </w:pPr>
          </w:p>
        </w:tc>
        <w:tc>
          <w:tcPr>
            <w:tcW w:w="1528" w:type="dxa"/>
          </w:tcPr>
          <w:p w14:paraId="19484F76" w14:textId="77777777" w:rsidR="006B1E1C" w:rsidRPr="006B1E1C" w:rsidRDefault="006B1E1C" w:rsidP="006B1E1C">
            <w:pPr>
              <w:pStyle w:val="NoSpacing"/>
            </w:pPr>
          </w:p>
        </w:tc>
        <w:tc>
          <w:tcPr>
            <w:tcW w:w="1620" w:type="dxa"/>
          </w:tcPr>
          <w:p w14:paraId="061D3424" w14:textId="77777777" w:rsidR="006B1E1C" w:rsidRPr="006B1E1C" w:rsidRDefault="006B1E1C" w:rsidP="006B1E1C">
            <w:pPr>
              <w:pStyle w:val="NoSpacing"/>
            </w:pPr>
          </w:p>
        </w:tc>
        <w:tc>
          <w:tcPr>
            <w:tcW w:w="2250" w:type="dxa"/>
          </w:tcPr>
          <w:p w14:paraId="29660D7D" w14:textId="77777777" w:rsidR="006B1E1C" w:rsidRPr="006B1E1C" w:rsidRDefault="006B1E1C" w:rsidP="006B1E1C">
            <w:pPr>
              <w:pStyle w:val="NoSpacing"/>
            </w:pPr>
          </w:p>
        </w:tc>
      </w:tr>
      <w:tr w:rsidR="006B1E1C" w:rsidRPr="006B1E1C" w14:paraId="01145FAE" w14:textId="77777777" w:rsidTr="006B1E1C">
        <w:tc>
          <w:tcPr>
            <w:tcW w:w="2335" w:type="dxa"/>
          </w:tcPr>
          <w:p w14:paraId="307829A8" w14:textId="77777777" w:rsidR="006B1E1C" w:rsidRPr="006B1E1C" w:rsidRDefault="006B1E1C" w:rsidP="006B1E1C">
            <w:pPr>
              <w:pStyle w:val="NoSpacing"/>
            </w:pPr>
          </w:p>
        </w:tc>
        <w:tc>
          <w:tcPr>
            <w:tcW w:w="2252" w:type="dxa"/>
          </w:tcPr>
          <w:p w14:paraId="0CE2E834" w14:textId="77777777" w:rsidR="006B1E1C" w:rsidRPr="006B1E1C" w:rsidRDefault="006B1E1C" w:rsidP="006B1E1C">
            <w:pPr>
              <w:pStyle w:val="NoSpacing"/>
            </w:pPr>
          </w:p>
        </w:tc>
        <w:tc>
          <w:tcPr>
            <w:tcW w:w="1528" w:type="dxa"/>
          </w:tcPr>
          <w:p w14:paraId="77F2C204" w14:textId="77777777" w:rsidR="006B1E1C" w:rsidRPr="006B1E1C" w:rsidRDefault="006B1E1C" w:rsidP="006B1E1C">
            <w:pPr>
              <w:pStyle w:val="NoSpacing"/>
            </w:pPr>
          </w:p>
        </w:tc>
        <w:tc>
          <w:tcPr>
            <w:tcW w:w="1620" w:type="dxa"/>
          </w:tcPr>
          <w:p w14:paraId="370A1D52" w14:textId="77777777" w:rsidR="006B1E1C" w:rsidRPr="006B1E1C" w:rsidRDefault="006B1E1C" w:rsidP="006B1E1C">
            <w:pPr>
              <w:pStyle w:val="NoSpacing"/>
            </w:pPr>
          </w:p>
        </w:tc>
        <w:tc>
          <w:tcPr>
            <w:tcW w:w="2250" w:type="dxa"/>
          </w:tcPr>
          <w:p w14:paraId="1A13B506" w14:textId="77777777" w:rsidR="006B1E1C" w:rsidRPr="006B1E1C" w:rsidRDefault="006B1E1C" w:rsidP="006B1E1C">
            <w:pPr>
              <w:pStyle w:val="NoSpacing"/>
            </w:pPr>
          </w:p>
        </w:tc>
      </w:tr>
      <w:tr w:rsidR="006B1E1C" w:rsidRPr="006B1E1C" w14:paraId="62F86A18" w14:textId="77777777" w:rsidTr="006B1E1C">
        <w:tc>
          <w:tcPr>
            <w:tcW w:w="2335" w:type="dxa"/>
          </w:tcPr>
          <w:p w14:paraId="05A7480B" w14:textId="77777777" w:rsidR="006B1E1C" w:rsidRPr="006B1E1C" w:rsidRDefault="006B1E1C" w:rsidP="006B1E1C">
            <w:pPr>
              <w:pStyle w:val="NoSpacing"/>
            </w:pPr>
          </w:p>
        </w:tc>
        <w:tc>
          <w:tcPr>
            <w:tcW w:w="2252" w:type="dxa"/>
          </w:tcPr>
          <w:p w14:paraId="7D837974" w14:textId="77777777" w:rsidR="006B1E1C" w:rsidRPr="006B1E1C" w:rsidRDefault="006B1E1C" w:rsidP="006B1E1C">
            <w:pPr>
              <w:pStyle w:val="NoSpacing"/>
            </w:pPr>
          </w:p>
        </w:tc>
        <w:tc>
          <w:tcPr>
            <w:tcW w:w="1528" w:type="dxa"/>
          </w:tcPr>
          <w:p w14:paraId="37D749F7" w14:textId="77777777" w:rsidR="006B1E1C" w:rsidRPr="006B1E1C" w:rsidRDefault="006B1E1C" w:rsidP="006B1E1C">
            <w:pPr>
              <w:pStyle w:val="NoSpacing"/>
            </w:pPr>
          </w:p>
        </w:tc>
        <w:tc>
          <w:tcPr>
            <w:tcW w:w="1620" w:type="dxa"/>
          </w:tcPr>
          <w:p w14:paraId="593D55D5" w14:textId="77777777" w:rsidR="006B1E1C" w:rsidRPr="006B1E1C" w:rsidRDefault="006B1E1C" w:rsidP="006B1E1C">
            <w:pPr>
              <w:pStyle w:val="NoSpacing"/>
            </w:pPr>
          </w:p>
        </w:tc>
        <w:tc>
          <w:tcPr>
            <w:tcW w:w="2250" w:type="dxa"/>
          </w:tcPr>
          <w:p w14:paraId="2112A2B3" w14:textId="77777777" w:rsidR="006B1E1C" w:rsidRPr="006B1E1C" w:rsidRDefault="006B1E1C" w:rsidP="006B1E1C">
            <w:pPr>
              <w:pStyle w:val="NoSpacing"/>
            </w:pPr>
          </w:p>
        </w:tc>
      </w:tr>
      <w:tr w:rsidR="006B1E1C" w:rsidRPr="006B1E1C" w14:paraId="212EA8D2" w14:textId="77777777" w:rsidTr="006B1E1C">
        <w:tc>
          <w:tcPr>
            <w:tcW w:w="2335" w:type="dxa"/>
          </w:tcPr>
          <w:p w14:paraId="6F0AF5FB" w14:textId="77777777" w:rsidR="006B1E1C" w:rsidRPr="006B1E1C" w:rsidRDefault="006B1E1C" w:rsidP="006B1E1C">
            <w:pPr>
              <w:pStyle w:val="NoSpacing"/>
            </w:pPr>
          </w:p>
        </w:tc>
        <w:tc>
          <w:tcPr>
            <w:tcW w:w="2252" w:type="dxa"/>
          </w:tcPr>
          <w:p w14:paraId="128B812B" w14:textId="77777777" w:rsidR="006B1E1C" w:rsidRPr="006B1E1C" w:rsidRDefault="006B1E1C" w:rsidP="006B1E1C">
            <w:pPr>
              <w:pStyle w:val="NoSpacing"/>
            </w:pPr>
          </w:p>
        </w:tc>
        <w:tc>
          <w:tcPr>
            <w:tcW w:w="1528" w:type="dxa"/>
          </w:tcPr>
          <w:p w14:paraId="0CE70027" w14:textId="77777777" w:rsidR="006B1E1C" w:rsidRPr="006B1E1C" w:rsidRDefault="006B1E1C" w:rsidP="006B1E1C">
            <w:pPr>
              <w:pStyle w:val="NoSpacing"/>
            </w:pPr>
          </w:p>
        </w:tc>
        <w:tc>
          <w:tcPr>
            <w:tcW w:w="1620" w:type="dxa"/>
          </w:tcPr>
          <w:p w14:paraId="14FD8E1F" w14:textId="77777777" w:rsidR="006B1E1C" w:rsidRPr="006B1E1C" w:rsidRDefault="006B1E1C" w:rsidP="006B1E1C">
            <w:pPr>
              <w:pStyle w:val="NoSpacing"/>
            </w:pPr>
          </w:p>
        </w:tc>
        <w:tc>
          <w:tcPr>
            <w:tcW w:w="2250" w:type="dxa"/>
          </w:tcPr>
          <w:p w14:paraId="5E41E658" w14:textId="77777777" w:rsidR="006B1E1C" w:rsidRPr="006B1E1C" w:rsidRDefault="006B1E1C" w:rsidP="006B1E1C">
            <w:pPr>
              <w:pStyle w:val="NoSpacing"/>
            </w:pPr>
          </w:p>
        </w:tc>
      </w:tr>
      <w:tr w:rsidR="006B1E1C" w:rsidRPr="006B1E1C" w14:paraId="3AA96E86" w14:textId="77777777" w:rsidTr="006B1E1C">
        <w:tc>
          <w:tcPr>
            <w:tcW w:w="2335" w:type="dxa"/>
          </w:tcPr>
          <w:p w14:paraId="160F3484" w14:textId="77777777" w:rsidR="006B1E1C" w:rsidRPr="006B1E1C" w:rsidRDefault="006B1E1C" w:rsidP="006B1E1C">
            <w:pPr>
              <w:pStyle w:val="NoSpacing"/>
            </w:pPr>
          </w:p>
        </w:tc>
        <w:tc>
          <w:tcPr>
            <w:tcW w:w="2252" w:type="dxa"/>
          </w:tcPr>
          <w:p w14:paraId="605E7694" w14:textId="77777777" w:rsidR="006B1E1C" w:rsidRPr="006B1E1C" w:rsidRDefault="006B1E1C" w:rsidP="006B1E1C">
            <w:pPr>
              <w:pStyle w:val="NoSpacing"/>
            </w:pPr>
          </w:p>
        </w:tc>
        <w:tc>
          <w:tcPr>
            <w:tcW w:w="1528" w:type="dxa"/>
          </w:tcPr>
          <w:p w14:paraId="22F808AC" w14:textId="77777777" w:rsidR="006B1E1C" w:rsidRPr="006B1E1C" w:rsidRDefault="006B1E1C" w:rsidP="006B1E1C">
            <w:pPr>
              <w:pStyle w:val="NoSpacing"/>
            </w:pPr>
          </w:p>
        </w:tc>
        <w:tc>
          <w:tcPr>
            <w:tcW w:w="1620" w:type="dxa"/>
          </w:tcPr>
          <w:p w14:paraId="20718075" w14:textId="77777777" w:rsidR="006B1E1C" w:rsidRPr="006B1E1C" w:rsidRDefault="006B1E1C" w:rsidP="006B1E1C">
            <w:pPr>
              <w:pStyle w:val="NoSpacing"/>
            </w:pPr>
          </w:p>
        </w:tc>
        <w:tc>
          <w:tcPr>
            <w:tcW w:w="2250" w:type="dxa"/>
          </w:tcPr>
          <w:p w14:paraId="3D59D767" w14:textId="77777777" w:rsidR="006B1E1C" w:rsidRPr="006B1E1C" w:rsidRDefault="006B1E1C" w:rsidP="006B1E1C">
            <w:pPr>
              <w:pStyle w:val="NoSpacing"/>
            </w:pPr>
          </w:p>
        </w:tc>
      </w:tr>
      <w:tr w:rsidR="006B1E1C" w:rsidRPr="006B1E1C" w14:paraId="143847DB" w14:textId="77777777" w:rsidTr="006B1E1C">
        <w:tc>
          <w:tcPr>
            <w:tcW w:w="2335" w:type="dxa"/>
          </w:tcPr>
          <w:p w14:paraId="1101D7EF" w14:textId="77777777" w:rsidR="006B1E1C" w:rsidRPr="006B1E1C" w:rsidRDefault="006B1E1C" w:rsidP="006B1E1C">
            <w:pPr>
              <w:pStyle w:val="NoSpacing"/>
            </w:pPr>
          </w:p>
        </w:tc>
        <w:tc>
          <w:tcPr>
            <w:tcW w:w="2252" w:type="dxa"/>
          </w:tcPr>
          <w:p w14:paraId="0EC5A9B8" w14:textId="77777777" w:rsidR="006B1E1C" w:rsidRPr="006B1E1C" w:rsidRDefault="006B1E1C" w:rsidP="006B1E1C">
            <w:pPr>
              <w:pStyle w:val="NoSpacing"/>
            </w:pPr>
          </w:p>
        </w:tc>
        <w:tc>
          <w:tcPr>
            <w:tcW w:w="1528" w:type="dxa"/>
          </w:tcPr>
          <w:p w14:paraId="500CACAB" w14:textId="77777777" w:rsidR="006B1E1C" w:rsidRPr="006B1E1C" w:rsidRDefault="006B1E1C" w:rsidP="006B1E1C">
            <w:pPr>
              <w:pStyle w:val="NoSpacing"/>
            </w:pPr>
          </w:p>
        </w:tc>
        <w:tc>
          <w:tcPr>
            <w:tcW w:w="1620" w:type="dxa"/>
          </w:tcPr>
          <w:p w14:paraId="1148F823" w14:textId="77777777" w:rsidR="006B1E1C" w:rsidRPr="006B1E1C" w:rsidRDefault="006B1E1C" w:rsidP="006B1E1C">
            <w:pPr>
              <w:pStyle w:val="NoSpacing"/>
            </w:pPr>
          </w:p>
        </w:tc>
        <w:tc>
          <w:tcPr>
            <w:tcW w:w="2250" w:type="dxa"/>
          </w:tcPr>
          <w:p w14:paraId="37640C4A" w14:textId="77777777" w:rsidR="006B1E1C" w:rsidRPr="006B1E1C" w:rsidRDefault="006B1E1C" w:rsidP="006B1E1C">
            <w:pPr>
              <w:pStyle w:val="NoSpacing"/>
            </w:pPr>
          </w:p>
        </w:tc>
      </w:tr>
      <w:tr w:rsidR="006B1E1C" w:rsidRPr="006B1E1C" w14:paraId="6B810C45" w14:textId="77777777" w:rsidTr="006B1E1C">
        <w:tc>
          <w:tcPr>
            <w:tcW w:w="2335" w:type="dxa"/>
          </w:tcPr>
          <w:p w14:paraId="4E294F49" w14:textId="77777777" w:rsidR="006B1E1C" w:rsidRPr="006B1E1C" w:rsidRDefault="006B1E1C" w:rsidP="006B1E1C">
            <w:pPr>
              <w:pStyle w:val="NoSpacing"/>
            </w:pPr>
          </w:p>
        </w:tc>
        <w:tc>
          <w:tcPr>
            <w:tcW w:w="2252" w:type="dxa"/>
          </w:tcPr>
          <w:p w14:paraId="21D37C3D" w14:textId="77777777" w:rsidR="006B1E1C" w:rsidRPr="006B1E1C" w:rsidRDefault="006B1E1C" w:rsidP="006B1E1C">
            <w:pPr>
              <w:pStyle w:val="NoSpacing"/>
            </w:pPr>
          </w:p>
        </w:tc>
        <w:tc>
          <w:tcPr>
            <w:tcW w:w="1528" w:type="dxa"/>
          </w:tcPr>
          <w:p w14:paraId="4951E609" w14:textId="77777777" w:rsidR="006B1E1C" w:rsidRPr="006B1E1C" w:rsidRDefault="006B1E1C" w:rsidP="006B1E1C">
            <w:pPr>
              <w:pStyle w:val="NoSpacing"/>
            </w:pPr>
          </w:p>
        </w:tc>
        <w:tc>
          <w:tcPr>
            <w:tcW w:w="1620" w:type="dxa"/>
          </w:tcPr>
          <w:p w14:paraId="65F2B1BF" w14:textId="77777777" w:rsidR="006B1E1C" w:rsidRPr="006B1E1C" w:rsidRDefault="006B1E1C" w:rsidP="006B1E1C">
            <w:pPr>
              <w:pStyle w:val="NoSpacing"/>
            </w:pPr>
          </w:p>
        </w:tc>
        <w:tc>
          <w:tcPr>
            <w:tcW w:w="2250" w:type="dxa"/>
          </w:tcPr>
          <w:p w14:paraId="2A99DB5B" w14:textId="77777777" w:rsidR="006B1E1C" w:rsidRPr="006B1E1C" w:rsidRDefault="006B1E1C" w:rsidP="006B1E1C">
            <w:pPr>
              <w:pStyle w:val="NoSpacing"/>
            </w:pPr>
          </w:p>
        </w:tc>
      </w:tr>
      <w:tr w:rsidR="006B1E1C" w:rsidRPr="006B1E1C" w14:paraId="699EA9D8" w14:textId="77777777" w:rsidTr="006B1E1C">
        <w:tc>
          <w:tcPr>
            <w:tcW w:w="2335" w:type="dxa"/>
          </w:tcPr>
          <w:p w14:paraId="50C0A794" w14:textId="77777777" w:rsidR="006B1E1C" w:rsidRPr="006B1E1C" w:rsidRDefault="006B1E1C" w:rsidP="006B1E1C">
            <w:pPr>
              <w:pStyle w:val="NoSpacing"/>
            </w:pPr>
          </w:p>
        </w:tc>
        <w:tc>
          <w:tcPr>
            <w:tcW w:w="2252" w:type="dxa"/>
          </w:tcPr>
          <w:p w14:paraId="09E9C3FE" w14:textId="77777777" w:rsidR="006B1E1C" w:rsidRPr="006B1E1C" w:rsidRDefault="006B1E1C" w:rsidP="006B1E1C">
            <w:pPr>
              <w:pStyle w:val="NoSpacing"/>
            </w:pPr>
          </w:p>
        </w:tc>
        <w:tc>
          <w:tcPr>
            <w:tcW w:w="1528" w:type="dxa"/>
          </w:tcPr>
          <w:p w14:paraId="681097FA" w14:textId="77777777" w:rsidR="006B1E1C" w:rsidRPr="006B1E1C" w:rsidRDefault="006B1E1C" w:rsidP="006B1E1C">
            <w:pPr>
              <w:pStyle w:val="NoSpacing"/>
            </w:pPr>
          </w:p>
        </w:tc>
        <w:tc>
          <w:tcPr>
            <w:tcW w:w="1620" w:type="dxa"/>
          </w:tcPr>
          <w:p w14:paraId="5FA32E35" w14:textId="77777777" w:rsidR="006B1E1C" w:rsidRPr="006B1E1C" w:rsidRDefault="006B1E1C" w:rsidP="006B1E1C">
            <w:pPr>
              <w:pStyle w:val="NoSpacing"/>
            </w:pPr>
          </w:p>
        </w:tc>
        <w:tc>
          <w:tcPr>
            <w:tcW w:w="2250" w:type="dxa"/>
          </w:tcPr>
          <w:p w14:paraId="12307FAC" w14:textId="77777777" w:rsidR="006B1E1C" w:rsidRPr="006B1E1C" w:rsidRDefault="006B1E1C" w:rsidP="006B1E1C">
            <w:pPr>
              <w:pStyle w:val="NoSpacing"/>
            </w:pPr>
          </w:p>
        </w:tc>
      </w:tr>
    </w:tbl>
    <w:p w14:paraId="06E6C4CC" w14:textId="77777777" w:rsidR="006B1E1C" w:rsidRDefault="006B1E1C">
      <w:pPr>
        <w:pStyle w:val="NoSpacing"/>
      </w:pPr>
    </w:p>
    <w:p w14:paraId="5E188D37" w14:textId="77777777" w:rsidR="006B1E1C" w:rsidRDefault="006B1E1C">
      <w:pPr>
        <w:pStyle w:val="NoSpacing"/>
      </w:pPr>
    </w:p>
    <w:p w14:paraId="6EEE5F47" w14:textId="4EFAAF5B" w:rsidR="006B1E1C" w:rsidRDefault="006B1E1C">
      <w:pPr>
        <w:pStyle w:val="NoSpacing"/>
      </w:pPr>
    </w:p>
    <w:p w14:paraId="022618D1" w14:textId="0A92CCD7" w:rsidR="002D4B44" w:rsidRDefault="002D4B44">
      <w:pPr>
        <w:pStyle w:val="NoSpacing"/>
      </w:pPr>
    </w:p>
    <w:p w14:paraId="3CC90F74" w14:textId="77777777" w:rsidR="002D4B44" w:rsidRDefault="002D4B44">
      <w:pPr>
        <w:pStyle w:val="NoSpacing"/>
      </w:pPr>
    </w:p>
    <w:p w14:paraId="49CA2100" w14:textId="77777777" w:rsidR="006B1E1C" w:rsidRDefault="006B1E1C">
      <w:pPr>
        <w:pStyle w:val="NoSpacing"/>
      </w:pPr>
    </w:p>
    <w:p w14:paraId="6A60E0BA" w14:textId="77777777" w:rsidR="006B1E1C" w:rsidRPr="005E7D55" w:rsidRDefault="005E7D55">
      <w:pPr>
        <w:pStyle w:val="NoSpacing"/>
        <w:rPr>
          <w:b/>
        </w:rPr>
      </w:pPr>
      <w:r w:rsidRPr="005E7D55">
        <w:rPr>
          <w:b/>
        </w:rPr>
        <w:lastRenderedPageBreak/>
        <w:t>Exhibit 2: Contract Provisions for Sponsor Contracts under CNP Awards</w:t>
      </w:r>
    </w:p>
    <w:p w14:paraId="219A36B5" w14:textId="77777777" w:rsidR="006B1E1C" w:rsidRDefault="006B1E1C">
      <w:pPr>
        <w:pStyle w:val="NoSpacing"/>
      </w:pPr>
    </w:p>
    <w:p w14:paraId="34319040" w14:textId="51F042B4" w:rsidR="005E7D55" w:rsidRPr="003641F8" w:rsidRDefault="005E7D55" w:rsidP="005E7D55">
      <w:pPr>
        <w:spacing w:after="0" w:line="240" w:lineRule="auto"/>
        <w:rPr>
          <w:sz w:val="21"/>
          <w:szCs w:val="21"/>
        </w:rPr>
      </w:pPr>
      <w:r w:rsidRPr="003641F8">
        <w:rPr>
          <w:sz w:val="21"/>
          <w:szCs w:val="21"/>
        </w:rPr>
        <w:t xml:space="preserve">The </w:t>
      </w:r>
      <w:r>
        <w:rPr>
          <w:sz w:val="21"/>
          <w:szCs w:val="21"/>
        </w:rPr>
        <w:t>Sponsor</w:t>
      </w:r>
      <w:r w:rsidRPr="003641F8">
        <w:rPr>
          <w:sz w:val="21"/>
          <w:szCs w:val="21"/>
        </w:rPr>
        <w:t xml:space="preserve">’s contracts must contain all applicable provisions described in 2 CFR 200 Appendix II, which may </w:t>
      </w:r>
      <w:r w:rsidR="00F53837" w:rsidRPr="003641F8">
        <w:rPr>
          <w:sz w:val="21"/>
          <w:szCs w:val="21"/>
        </w:rPr>
        <w:t>include</w:t>
      </w:r>
      <w:r w:rsidRPr="003641F8">
        <w:rPr>
          <w:sz w:val="21"/>
          <w:szCs w:val="21"/>
        </w:rPr>
        <w:t xml:space="preserve"> the following:</w:t>
      </w:r>
    </w:p>
    <w:p w14:paraId="6C77C090" w14:textId="77777777" w:rsidR="005E7D55" w:rsidRPr="003641F8" w:rsidRDefault="005E7D55" w:rsidP="005E7D55">
      <w:pPr>
        <w:pStyle w:val="ListParagraph"/>
        <w:numPr>
          <w:ilvl w:val="0"/>
          <w:numId w:val="3"/>
        </w:numPr>
        <w:spacing w:after="0" w:line="240" w:lineRule="auto"/>
        <w:contextualSpacing w:val="0"/>
        <w:rPr>
          <w:sz w:val="21"/>
          <w:szCs w:val="21"/>
        </w:rPr>
      </w:pPr>
      <w:r w:rsidRPr="003641F8">
        <w:rPr>
          <w:sz w:val="21"/>
          <w:szCs w:val="21"/>
        </w:rPr>
        <w:t>Mandatory standards and policies relating to energy efficiency that are contained in the state energy conservation plan issued in compliance with the Energy Policy and Conservation Act (P.L. 94-163, 89 Stat. 871).</w:t>
      </w:r>
    </w:p>
    <w:p w14:paraId="492341EF" w14:textId="77777777" w:rsidR="005E7D55" w:rsidRPr="003641F8" w:rsidRDefault="005E7D55" w:rsidP="005E7D55">
      <w:pPr>
        <w:numPr>
          <w:ilvl w:val="1"/>
          <w:numId w:val="2"/>
        </w:numPr>
        <w:spacing w:after="0" w:line="240" w:lineRule="auto"/>
        <w:rPr>
          <w:sz w:val="21"/>
          <w:szCs w:val="21"/>
        </w:rPr>
      </w:pPr>
      <w:r w:rsidRPr="003641F8">
        <w:rPr>
          <w:sz w:val="21"/>
          <w:szCs w:val="21"/>
        </w:rPr>
        <w:t>All applicable standards, orders, or requirements issued under Section 306 of the Clean Air Act (42 U.S.C. 1857[h]), Section 508 of the Clean Water Act (33 U.S.C. 1368), Executive Order 11738, Environmental Protection Agency (EPA) regulations (40 CFR 15)</w:t>
      </w:r>
    </w:p>
    <w:p w14:paraId="68A53DC5" w14:textId="77777777" w:rsidR="005E7D55" w:rsidRPr="003641F8" w:rsidRDefault="005E7D55" w:rsidP="005E7D55">
      <w:pPr>
        <w:numPr>
          <w:ilvl w:val="1"/>
          <w:numId w:val="2"/>
        </w:numPr>
        <w:spacing w:after="0" w:line="240" w:lineRule="auto"/>
        <w:rPr>
          <w:sz w:val="21"/>
          <w:szCs w:val="21"/>
        </w:rPr>
      </w:pPr>
      <w:r w:rsidRPr="003641F8">
        <w:rPr>
          <w:sz w:val="21"/>
          <w:szCs w:val="21"/>
        </w:rPr>
        <w:t xml:space="preserve">Sections 103 and 107 of the Contract Work Hours and Safety Standards Act (the “Act”), 40 U.S.C. § 327-330, as supplemented by Department of Labor regulations, 29 CFR 5.  </w:t>
      </w:r>
    </w:p>
    <w:p w14:paraId="263FA781" w14:textId="77777777" w:rsidR="005E7D55" w:rsidRPr="003641F8" w:rsidRDefault="005E7D55" w:rsidP="005E7D55">
      <w:pPr>
        <w:numPr>
          <w:ilvl w:val="1"/>
          <w:numId w:val="2"/>
        </w:numPr>
        <w:spacing w:after="0" w:line="240" w:lineRule="auto"/>
        <w:rPr>
          <w:sz w:val="21"/>
          <w:szCs w:val="21"/>
        </w:rPr>
      </w:pPr>
      <w:r w:rsidRPr="00ED4604">
        <w:rPr>
          <w:color w:val="000000"/>
          <w:sz w:val="21"/>
          <w:szCs w:val="21"/>
        </w:rPr>
        <w:t>Davis Bacon Act (all prime construction</w:t>
      </w:r>
      <w:r w:rsidRPr="003641F8">
        <w:rPr>
          <w:color w:val="000000"/>
          <w:sz w:val="21"/>
          <w:szCs w:val="21"/>
        </w:rPr>
        <w:t xml:space="preserve"> contracts in excess of $2,000)</w:t>
      </w:r>
    </w:p>
    <w:p w14:paraId="7309B9C8" w14:textId="77777777" w:rsidR="005E7D55" w:rsidRPr="003641F8" w:rsidRDefault="005E7D55" w:rsidP="005E7D55">
      <w:pPr>
        <w:numPr>
          <w:ilvl w:val="1"/>
          <w:numId w:val="2"/>
        </w:numPr>
        <w:spacing w:after="0" w:line="240" w:lineRule="auto"/>
        <w:rPr>
          <w:sz w:val="21"/>
          <w:szCs w:val="21"/>
        </w:rPr>
      </w:pPr>
      <w:r w:rsidRPr="00ED4604">
        <w:rPr>
          <w:color w:val="000000"/>
          <w:sz w:val="21"/>
          <w:szCs w:val="21"/>
        </w:rPr>
        <w:t>Rights to Inventions Made Under a Contract or Agreement</w:t>
      </w:r>
    </w:p>
    <w:p w14:paraId="57291727" w14:textId="77777777" w:rsidR="005E7D55" w:rsidRPr="003641F8" w:rsidRDefault="005E7D55" w:rsidP="005E7D55">
      <w:pPr>
        <w:numPr>
          <w:ilvl w:val="1"/>
          <w:numId w:val="2"/>
        </w:numPr>
        <w:spacing w:after="0" w:line="240" w:lineRule="auto"/>
        <w:rPr>
          <w:sz w:val="21"/>
          <w:szCs w:val="21"/>
        </w:rPr>
      </w:pPr>
      <w:r w:rsidRPr="003641F8">
        <w:rPr>
          <w:sz w:val="21"/>
          <w:szCs w:val="21"/>
        </w:rPr>
        <w:t>Equal Employment Opportunity. all contracts that meet the definition of “federally assisted construction contract” in 41 CFR Part 60-1.3 must include the equal opportunity clause provided under 41 CFR 60-1.4(b), in accordance with Executive Order 11246</w:t>
      </w:r>
    </w:p>
    <w:p w14:paraId="5E6A29C7" w14:textId="77777777" w:rsidR="005E7D55" w:rsidRPr="003641F8" w:rsidRDefault="005E7D55" w:rsidP="005E7D55">
      <w:pPr>
        <w:numPr>
          <w:ilvl w:val="1"/>
          <w:numId w:val="2"/>
        </w:numPr>
        <w:spacing w:after="0" w:line="240" w:lineRule="auto"/>
        <w:rPr>
          <w:sz w:val="21"/>
          <w:szCs w:val="21"/>
        </w:rPr>
      </w:pPr>
      <w:r w:rsidRPr="003641F8">
        <w:rPr>
          <w:sz w:val="21"/>
          <w:szCs w:val="21"/>
        </w:rPr>
        <w:t>Procurement of recovered materials 2 CFR 200.322; Appendix II (J)</w:t>
      </w:r>
    </w:p>
    <w:p w14:paraId="29D1A5BD" w14:textId="77777777" w:rsidR="005E7D55" w:rsidRPr="003641F8" w:rsidRDefault="005E7D55" w:rsidP="005E7D55">
      <w:pPr>
        <w:numPr>
          <w:ilvl w:val="1"/>
          <w:numId w:val="2"/>
        </w:numPr>
        <w:spacing w:after="0" w:line="240" w:lineRule="auto"/>
        <w:rPr>
          <w:sz w:val="21"/>
          <w:szCs w:val="21"/>
        </w:rPr>
      </w:pPr>
      <w:r w:rsidRPr="003641F8">
        <w:rPr>
          <w:sz w:val="21"/>
          <w:szCs w:val="21"/>
        </w:rPr>
        <w:t xml:space="preserve">The following civil rights laws, as amended:  </w:t>
      </w:r>
    </w:p>
    <w:p w14:paraId="6AD01375" w14:textId="77777777" w:rsidR="005E7D55" w:rsidRPr="003641F8" w:rsidRDefault="005E7D55" w:rsidP="005E7D55">
      <w:pPr>
        <w:numPr>
          <w:ilvl w:val="2"/>
          <w:numId w:val="2"/>
        </w:numPr>
        <w:spacing w:after="0" w:line="240" w:lineRule="auto"/>
        <w:rPr>
          <w:sz w:val="21"/>
          <w:szCs w:val="21"/>
        </w:rPr>
      </w:pPr>
      <w:r w:rsidRPr="003641F8">
        <w:rPr>
          <w:sz w:val="21"/>
          <w:szCs w:val="21"/>
        </w:rPr>
        <w:t xml:space="preserve">Title VI of the Education Amendments of 1972; </w:t>
      </w:r>
    </w:p>
    <w:p w14:paraId="4B875A80" w14:textId="77777777" w:rsidR="005E7D55" w:rsidRPr="003641F8" w:rsidRDefault="005E7D55" w:rsidP="005E7D55">
      <w:pPr>
        <w:numPr>
          <w:ilvl w:val="2"/>
          <w:numId w:val="2"/>
        </w:numPr>
        <w:spacing w:after="0" w:line="240" w:lineRule="auto"/>
        <w:rPr>
          <w:sz w:val="21"/>
          <w:szCs w:val="21"/>
        </w:rPr>
      </w:pPr>
      <w:r w:rsidRPr="003641F8">
        <w:rPr>
          <w:sz w:val="21"/>
          <w:szCs w:val="21"/>
        </w:rPr>
        <w:t xml:space="preserve">Section 504 of the Rehabilitation Act of 1973; </w:t>
      </w:r>
    </w:p>
    <w:p w14:paraId="22A7C907" w14:textId="77777777" w:rsidR="005E7D55" w:rsidRPr="003641F8" w:rsidRDefault="005E7D55" w:rsidP="005E7D55">
      <w:pPr>
        <w:numPr>
          <w:ilvl w:val="2"/>
          <w:numId w:val="2"/>
        </w:numPr>
        <w:spacing w:after="0" w:line="240" w:lineRule="auto"/>
        <w:rPr>
          <w:sz w:val="21"/>
          <w:szCs w:val="21"/>
        </w:rPr>
      </w:pPr>
      <w:r w:rsidRPr="003641F8">
        <w:rPr>
          <w:sz w:val="21"/>
          <w:szCs w:val="21"/>
        </w:rPr>
        <w:t xml:space="preserve">the Age Discrimination Act of 1975; </w:t>
      </w:r>
    </w:p>
    <w:p w14:paraId="19D7D3EF" w14:textId="77777777" w:rsidR="005E7D55" w:rsidRPr="003641F8" w:rsidRDefault="005E7D55" w:rsidP="005E7D55">
      <w:pPr>
        <w:numPr>
          <w:ilvl w:val="2"/>
          <w:numId w:val="2"/>
        </w:numPr>
        <w:spacing w:after="0" w:line="240" w:lineRule="auto"/>
        <w:rPr>
          <w:sz w:val="21"/>
          <w:szCs w:val="21"/>
        </w:rPr>
      </w:pPr>
      <w:r w:rsidRPr="003641F8">
        <w:rPr>
          <w:sz w:val="21"/>
          <w:szCs w:val="21"/>
        </w:rPr>
        <w:t xml:space="preserve">Title 7 CFR Parts 15, 15a, and 15b; the Americans with Disabilities Act; and </w:t>
      </w:r>
    </w:p>
    <w:p w14:paraId="07EA28C2" w14:textId="77777777" w:rsidR="005E7D55" w:rsidRPr="003641F8" w:rsidRDefault="005E7D55" w:rsidP="005E7D55">
      <w:pPr>
        <w:numPr>
          <w:ilvl w:val="2"/>
          <w:numId w:val="2"/>
        </w:numPr>
        <w:spacing w:after="0" w:line="240" w:lineRule="auto"/>
        <w:rPr>
          <w:sz w:val="21"/>
          <w:szCs w:val="21"/>
        </w:rPr>
      </w:pPr>
      <w:r w:rsidRPr="003641F8">
        <w:rPr>
          <w:sz w:val="21"/>
          <w:szCs w:val="21"/>
        </w:rPr>
        <w:t xml:space="preserve">FNS Instruction 113-1, Civil Rights Compliance and Enforcement – Nutrition Programs and Activities.  </w:t>
      </w:r>
    </w:p>
    <w:p w14:paraId="3D2A3F0B" w14:textId="77777777" w:rsidR="005E7D55" w:rsidRPr="003641F8" w:rsidRDefault="005E7D55" w:rsidP="005E7D55">
      <w:pPr>
        <w:numPr>
          <w:ilvl w:val="1"/>
          <w:numId w:val="2"/>
        </w:numPr>
        <w:spacing w:after="0" w:line="240" w:lineRule="auto"/>
        <w:rPr>
          <w:rFonts w:eastAsia="MS Mincho"/>
          <w:sz w:val="21"/>
          <w:szCs w:val="21"/>
        </w:rPr>
      </w:pPr>
      <w:r w:rsidRPr="003641F8">
        <w:rPr>
          <w:rFonts w:eastAsia="MS Mincho"/>
          <w:sz w:val="21"/>
          <w:szCs w:val="21"/>
        </w:rPr>
        <w:t xml:space="preserve">The Buy American provision for contracts that involve the purchase of food, as required by the Buy American provision, all products must be of domestic origin as required by 7 CFR Part 210.21(d). </w:t>
      </w:r>
    </w:p>
    <w:p w14:paraId="18C1550D" w14:textId="77777777" w:rsidR="005E7D55" w:rsidRPr="003641F8" w:rsidRDefault="005E7D55" w:rsidP="005E7D55">
      <w:pPr>
        <w:numPr>
          <w:ilvl w:val="2"/>
          <w:numId w:val="2"/>
        </w:numPr>
        <w:spacing w:after="0" w:line="240" w:lineRule="auto"/>
        <w:rPr>
          <w:rFonts w:eastAsia="MS Mincho"/>
          <w:sz w:val="21"/>
          <w:szCs w:val="21"/>
        </w:rPr>
      </w:pPr>
      <w:r w:rsidRPr="003641F8">
        <w:rPr>
          <w:rFonts w:eastAsia="MS Mincho"/>
          <w:sz w:val="21"/>
          <w:szCs w:val="21"/>
        </w:rPr>
        <w:t xml:space="preserve">The </w:t>
      </w:r>
      <w:r>
        <w:rPr>
          <w:rFonts w:eastAsia="MS Mincho"/>
          <w:sz w:val="21"/>
          <w:szCs w:val="21"/>
        </w:rPr>
        <w:t>Sponsor</w:t>
      </w:r>
      <w:r w:rsidRPr="003641F8">
        <w:rPr>
          <w:rFonts w:eastAsia="MS Mincho"/>
          <w:sz w:val="21"/>
          <w:szCs w:val="21"/>
        </w:rPr>
        <w:t xml:space="preserve"> participates in the NSLP and SBP and is required to use the nonprofit food service funds, to the maximum extent practical, to buy domestic commodities or products for Program meals. A “domestic commodity or product” is defined as one that is either produced in the U.S. or is processed in the U.S. substantially using agricultural commodities that are produced in the U.S. as provided in 7 CFR Part 210.21(d).</w:t>
      </w:r>
    </w:p>
    <w:p w14:paraId="4BE89536" w14:textId="77777777" w:rsidR="005E7D55" w:rsidRPr="003641F8" w:rsidRDefault="005E7D55" w:rsidP="005E7D55">
      <w:pPr>
        <w:numPr>
          <w:ilvl w:val="2"/>
          <w:numId w:val="2"/>
        </w:numPr>
        <w:spacing w:after="0" w:line="240" w:lineRule="auto"/>
        <w:rPr>
          <w:rFonts w:eastAsia="MS Mincho"/>
          <w:sz w:val="21"/>
          <w:szCs w:val="21"/>
        </w:rPr>
      </w:pPr>
      <w:r w:rsidRPr="003641F8">
        <w:rPr>
          <w:rFonts w:eastAsia="MS Mincho"/>
          <w:sz w:val="21"/>
          <w:szCs w:val="21"/>
        </w:rPr>
        <w:t xml:space="preserve">Exceptions to the Buy American provision should be used as a last resort; however, an alternative or exception may be approved upon request.  To be considered for the alternative or exception, the request must be submitted in writing to </w:t>
      </w:r>
      <w:r>
        <w:rPr>
          <w:rFonts w:eastAsia="MS Mincho"/>
          <w:sz w:val="21"/>
          <w:szCs w:val="21"/>
        </w:rPr>
        <w:t>Sponsor</w:t>
      </w:r>
      <w:r w:rsidRPr="003641F8">
        <w:rPr>
          <w:rFonts w:eastAsia="MS Mincho"/>
          <w:sz w:val="21"/>
          <w:szCs w:val="21"/>
        </w:rPr>
        <w:t xml:space="preserve"> and approved and will be retained with purchase records.  The request must include the:</w:t>
      </w:r>
    </w:p>
    <w:p w14:paraId="34B10904" w14:textId="77777777" w:rsidR="005E7D55" w:rsidRPr="003641F8" w:rsidRDefault="005E7D55" w:rsidP="005E7D55">
      <w:pPr>
        <w:numPr>
          <w:ilvl w:val="3"/>
          <w:numId w:val="2"/>
        </w:numPr>
        <w:spacing w:after="0" w:line="240" w:lineRule="auto"/>
        <w:rPr>
          <w:rFonts w:eastAsia="MS Mincho"/>
          <w:sz w:val="21"/>
          <w:szCs w:val="21"/>
        </w:rPr>
      </w:pPr>
      <w:r w:rsidRPr="003641F8">
        <w:rPr>
          <w:rFonts w:eastAsia="MS Mincho"/>
          <w:sz w:val="21"/>
          <w:szCs w:val="21"/>
        </w:rPr>
        <w:t>Alternative substitute (s) that are domestic and meet the required specifications:</w:t>
      </w:r>
    </w:p>
    <w:p w14:paraId="06B3B47A" w14:textId="77777777" w:rsidR="005E7D55" w:rsidRPr="003641F8" w:rsidRDefault="005E7D55" w:rsidP="005E7D55">
      <w:pPr>
        <w:numPr>
          <w:ilvl w:val="4"/>
          <w:numId w:val="2"/>
        </w:numPr>
        <w:spacing w:after="0" w:line="240" w:lineRule="auto"/>
        <w:rPr>
          <w:rFonts w:eastAsia="MS Mincho"/>
          <w:sz w:val="21"/>
          <w:szCs w:val="21"/>
        </w:rPr>
      </w:pPr>
      <w:r w:rsidRPr="003641F8">
        <w:rPr>
          <w:rFonts w:eastAsia="MS Mincho"/>
          <w:sz w:val="21"/>
          <w:szCs w:val="21"/>
        </w:rPr>
        <w:t>Price of the domestic food alternative substitute (s); and</w:t>
      </w:r>
    </w:p>
    <w:p w14:paraId="371F4D84" w14:textId="77777777" w:rsidR="005E7D55" w:rsidRPr="003641F8" w:rsidRDefault="005E7D55" w:rsidP="005E7D55">
      <w:pPr>
        <w:numPr>
          <w:ilvl w:val="4"/>
          <w:numId w:val="2"/>
        </w:numPr>
        <w:spacing w:after="0" w:line="240" w:lineRule="auto"/>
        <w:rPr>
          <w:rFonts w:eastAsia="MS Mincho"/>
          <w:sz w:val="21"/>
          <w:szCs w:val="21"/>
        </w:rPr>
      </w:pPr>
      <w:r w:rsidRPr="003641F8">
        <w:rPr>
          <w:rFonts w:eastAsia="MS Mincho"/>
          <w:sz w:val="21"/>
          <w:szCs w:val="21"/>
        </w:rPr>
        <w:t xml:space="preserve">Availability of the domestic alternative substitute (s) in relation to the quantity ordered. </w:t>
      </w:r>
    </w:p>
    <w:p w14:paraId="46ED8656" w14:textId="77777777" w:rsidR="005E7D55" w:rsidRPr="003641F8" w:rsidRDefault="005E7D55" w:rsidP="005E7D55">
      <w:pPr>
        <w:numPr>
          <w:ilvl w:val="3"/>
          <w:numId w:val="2"/>
        </w:numPr>
        <w:spacing w:after="0" w:line="240" w:lineRule="auto"/>
        <w:rPr>
          <w:rFonts w:eastAsia="MS Mincho"/>
          <w:sz w:val="21"/>
          <w:szCs w:val="21"/>
        </w:rPr>
      </w:pPr>
      <w:r w:rsidRPr="003641F8">
        <w:rPr>
          <w:rFonts w:eastAsia="MS Mincho"/>
          <w:sz w:val="21"/>
          <w:szCs w:val="21"/>
        </w:rPr>
        <w:t>Reason for exception:  limited/lack of availability or price (include price):</w:t>
      </w:r>
    </w:p>
    <w:p w14:paraId="214772BA" w14:textId="77777777" w:rsidR="005E7D55" w:rsidRPr="003641F8" w:rsidRDefault="005E7D55" w:rsidP="005E7D55">
      <w:pPr>
        <w:numPr>
          <w:ilvl w:val="4"/>
          <w:numId w:val="2"/>
        </w:numPr>
        <w:spacing w:after="0" w:line="240" w:lineRule="auto"/>
        <w:rPr>
          <w:rFonts w:eastAsia="MS Mincho"/>
          <w:sz w:val="21"/>
          <w:szCs w:val="21"/>
        </w:rPr>
      </w:pPr>
      <w:r w:rsidRPr="003641F8">
        <w:rPr>
          <w:rFonts w:eastAsia="MS Mincho"/>
          <w:sz w:val="21"/>
          <w:szCs w:val="21"/>
        </w:rPr>
        <w:t>Price of the domestic food product; and</w:t>
      </w:r>
    </w:p>
    <w:p w14:paraId="4D09091C" w14:textId="77777777" w:rsidR="005E7D55" w:rsidRPr="003641F8" w:rsidRDefault="005E7D55" w:rsidP="005E7D55">
      <w:pPr>
        <w:numPr>
          <w:ilvl w:val="4"/>
          <w:numId w:val="2"/>
        </w:numPr>
        <w:spacing w:after="120" w:line="240" w:lineRule="auto"/>
        <w:rPr>
          <w:rFonts w:eastAsia="MS Mincho"/>
          <w:sz w:val="21"/>
          <w:szCs w:val="21"/>
        </w:rPr>
      </w:pPr>
      <w:r w:rsidRPr="003641F8">
        <w:rPr>
          <w:rFonts w:eastAsia="MS Mincho"/>
          <w:sz w:val="21"/>
          <w:szCs w:val="21"/>
        </w:rPr>
        <w:t xml:space="preserve">Price of the non-domestic product that meets the required specification of the domestic product. </w:t>
      </w:r>
    </w:p>
    <w:p w14:paraId="6EAF5235" w14:textId="77777777" w:rsidR="006B1E1C" w:rsidRDefault="006B1E1C">
      <w:pPr>
        <w:pStyle w:val="NoSpacing"/>
      </w:pPr>
    </w:p>
    <w:p w14:paraId="56F1AFB1" w14:textId="77777777" w:rsidR="006B1E1C" w:rsidRDefault="006B1E1C">
      <w:pPr>
        <w:pStyle w:val="NoSpacing"/>
      </w:pPr>
    </w:p>
    <w:p w14:paraId="10EDFDA2" w14:textId="77777777" w:rsidR="006B1E1C" w:rsidRDefault="006B1E1C">
      <w:pPr>
        <w:pStyle w:val="NoSpacing"/>
      </w:pPr>
    </w:p>
    <w:sectPr w:rsidR="006B1E1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9144F" w14:textId="77777777" w:rsidR="00D67CC6" w:rsidRDefault="00D67CC6" w:rsidP="00A30A15">
      <w:pPr>
        <w:spacing w:after="0" w:line="240" w:lineRule="auto"/>
      </w:pPr>
      <w:r>
        <w:separator/>
      </w:r>
    </w:p>
  </w:endnote>
  <w:endnote w:type="continuationSeparator" w:id="0">
    <w:p w14:paraId="7C56367B" w14:textId="77777777" w:rsidR="00D67CC6" w:rsidRDefault="00D67CC6" w:rsidP="00A30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35638" w14:textId="77777777" w:rsidR="00BC4EFC" w:rsidRDefault="00BC4EFC" w:rsidP="00BC4EFC">
    <w:pPr>
      <w:pStyle w:val="Default"/>
    </w:pPr>
  </w:p>
  <w:p w14:paraId="275F8148" w14:textId="77777777" w:rsidR="002B37D3" w:rsidRPr="002F5391" w:rsidRDefault="00BC4EFC" w:rsidP="00BC4EFC">
    <w:pPr>
      <w:jc w:val="center"/>
      <w:rPr>
        <w:rFonts w:ascii="Calibri" w:hAnsi="Calibri"/>
        <w:sz w:val="20"/>
      </w:rPr>
    </w:pPr>
    <w:r>
      <w:t xml:space="preserve"> </w:t>
    </w:r>
    <w:r>
      <w:rPr>
        <w:sz w:val="23"/>
        <w:szCs w:val="23"/>
      </w:rPr>
      <w:t>This institution is an equal opportunity provider.</w:t>
    </w:r>
  </w:p>
  <w:p w14:paraId="15EF5FF4" w14:textId="77777777" w:rsidR="002B37D3" w:rsidRDefault="002B37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7EBA6" w14:textId="77777777" w:rsidR="00D67CC6" w:rsidRDefault="00D67CC6" w:rsidP="00A30A15">
      <w:pPr>
        <w:spacing w:after="0" w:line="240" w:lineRule="auto"/>
      </w:pPr>
      <w:r>
        <w:separator/>
      </w:r>
    </w:p>
  </w:footnote>
  <w:footnote w:type="continuationSeparator" w:id="0">
    <w:p w14:paraId="752EF7B0" w14:textId="77777777" w:rsidR="00D67CC6" w:rsidRDefault="00D67CC6" w:rsidP="00A30A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EF721" w14:textId="77777777" w:rsidR="00BF017F" w:rsidRPr="00BF017F" w:rsidRDefault="00BF017F" w:rsidP="00BF017F">
    <w:pPr>
      <w:pStyle w:val="Header"/>
      <w:jc w:val="right"/>
    </w:pPr>
    <w:r w:rsidRPr="00BF017F">
      <w:rPr>
        <w:b/>
        <w:noProof/>
        <w:sz w:val="28"/>
        <w:szCs w:val="28"/>
      </w:rPr>
      <w:drawing>
        <wp:inline distT="0" distB="0" distL="0" distR="0" wp14:anchorId="7858CF28" wp14:editId="02103629">
          <wp:extent cx="1054312" cy="447585"/>
          <wp:effectExtent l="0" t="0" r="0" b="0"/>
          <wp:docPr id="2" name="Picture 2" descr="J:\Summer Food Service Program SFSP\Forms &amp; Internal Policy\Resource Updates\cde_logo_fullColor-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ummer Food Service Program SFSP\Forms &amp; Internal Policy\Resource Updates\cde_logo_fullColor-emble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316" cy="46626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E1EF1"/>
    <w:multiLevelType w:val="hybridMultilevel"/>
    <w:tmpl w:val="684E01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14E491D"/>
    <w:multiLevelType w:val="multilevel"/>
    <w:tmpl w:val="BEBCC8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675E43EA"/>
    <w:multiLevelType w:val="multilevel"/>
    <w:tmpl w:val="BEBCC8C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A15"/>
    <w:rsid w:val="000B020F"/>
    <w:rsid w:val="000B72C2"/>
    <w:rsid w:val="00143C69"/>
    <w:rsid w:val="00163BFF"/>
    <w:rsid w:val="00222C09"/>
    <w:rsid w:val="00242ABB"/>
    <w:rsid w:val="002B37D3"/>
    <w:rsid w:val="002B4939"/>
    <w:rsid w:val="002D4B44"/>
    <w:rsid w:val="002F5391"/>
    <w:rsid w:val="002F696A"/>
    <w:rsid w:val="00334B40"/>
    <w:rsid w:val="003D1F83"/>
    <w:rsid w:val="004E5EBB"/>
    <w:rsid w:val="005428A8"/>
    <w:rsid w:val="005E7D55"/>
    <w:rsid w:val="00671621"/>
    <w:rsid w:val="006862FB"/>
    <w:rsid w:val="006A1F5D"/>
    <w:rsid w:val="006B1E1C"/>
    <w:rsid w:val="006B4F51"/>
    <w:rsid w:val="00774761"/>
    <w:rsid w:val="008D5E4A"/>
    <w:rsid w:val="00910F96"/>
    <w:rsid w:val="00982324"/>
    <w:rsid w:val="009C5017"/>
    <w:rsid w:val="009C57B6"/>
    <w:rsid w:val="00A234DE"/>
    <w:rsid w:val="00A30A15"/>
    <w:rsid w:val="00AC4862"/>
    <w:rsid w:val="00AC5946"/>
    <w:rsid w:val="00BC4EFC"/>
    <w:rsid w:val="00BE6A35"/>
    <w:rsid w:val="00BF017F"/>
    <w:rsid w:val="00C90A58"/>
    <w:rsid w:val="00D502BF"/>
    <w:rsid w:val="00D67CC6"/>
    <w:rsid w:val="00DE25C9"/>
    <w:rsid w:val="00E20437"/>
    <w:rsid w:val="00E610B8"/>
    <w:rsid w:val="00E67709"/>
    <w:rsid w:val="00F0389C"/>
    <w:rsid w:val="00F53837"/>
    <w:rsid w:val="00FC018F"/>
    <w:rsid w:val="00FC2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C78CC7"/>
  <w15:docId w15:val="{E6055414-1C62-4A72-9089-A6666078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0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A15"/>
    <w:rPr>
      <w:rFonts w:ascii="Tahoma" w:hAnsi="Tahoma" w:cs="Tahoma"/>
      <w:sz w:val="16"/>
      <w:szCs w:val="16"/>
    </w:rPr>
  </w:style>
  <w:style w:type="table" w:styleId="TableGrid">
    <w:name w:val="Table Grid"/>
    <w:basedOn w:val="TableNormal"/>
    <w:rsid w:val="00A30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30A15"/>
    <w:pPr>
      <w:spacing w:after="0" w:line="240" w:lineRule="auto"/>
    </w:pPr>
  </w:style>
  <w:style w:type="paragraph" w:styleId="Header">
    <w:name w:val="header"/>
    <w:basedOn w:val="Normal"/>
    <w:link w:val="HeaderChar"/>
    <w:uiPriority w:val="99"/>
    <w:unhideWhenUsed/>
    <w:rsid w:val="00A30A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A15"/>
  </w:style>
  <w:style w:type="paragraph" w:styleId="Footer">
    <w:name w:val="footer"/>
    <w:basedOn w:val="Normal"/>
    <w:link w:val="FooterChar"/>
    <w:uiPriority w:val="99"/>
    <w:unhideWhenUsed/>
    <w:rsid w:val="00A30A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A15"/>
  </w:style>
  <w:style w:type="paragraph" w:styleId="ListParagraph">
    <w:name w:val="List Paragraph"/>
    <w:basedOn w:val="Normal"/>
    <w:uiPriority w:val="34"/>
    <w:qFormat/>
    <w:rsid w:val="005428A8"/>
    <w:pPr>
      <w:ind w:left="720"/>
      <w:contextualSpacing/>
    </w:pPr>
  </w:style>
  <w:style w:type="paragraph" w:customStyle="1" w:styleId="Default">
    <w:name w:val="Default"/>
    <w:rsid w:val="00BC4EF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610B8"/>
    <w:rPr>
      <w:color w:val="0000FF" w:themeColor="hyperlink"/>
      <w:u w:val="single"/>
    </w:rPr>
  </w:style>
  <w:style w:type="character" w:styleId="UnresolvedMention">
    <w:name w:val="Unresolved Mention"/>
    <w:basedOn w:val="DefaultParagraphFont"/>
    <w:uiPriority w:val="99"/>
    <w:semiHidden/>
    <w:unhideWhenUsed/>
    <w:rsid w:val="00E610B8"/>
    <w:rPr>
      <w:color w:val="605E5C"/>
      <w:shd w:val="clear" w:color="auto" w:fill="E1DFDD"/>
    </w:rPr>
  </w:style>
  <w:style w:type="character" w:styleId="CommentReference">
    <w:name w:val="annotation reference"/>
    <w:basedOn w:val="DefaultParagraphFont"/>
    <w:uiPriority w:val="99"/>
    <w:semiHidden/>
    <w:unhideWhenUsed/>
    <w:rsid w:val="00DE25C9"/>
    <w:rPr>
      <w:sz w:val="16"/>
      <w:szCs w:val="16"/>
    </w:rPr>
  </w:style>
  <w:style w:type="paragraph" w:styleId="CommentText">
    <w:name w:val="annotation text"/>
    <w:basedOn w:val="Normal"/>
    <w:link w:val="CommentTextChar"/>
    <w:uiPriority w:val="99"/>
    <w:semiHidden/>
    <w:unhideWhenUsed/>
    <w:rsid w:val="00DE25C9"/>
    <w:pPr>
      <w:spacing w:line="240" w:lineRule="auto"/>
    </w:pPr>
    <w:rPr>
      <w:sz w:val="20"/>
      <w:szCs w:val="20"/>
    </w:rPr>
  </w:style>
  <w:style w:type="character" w:customStyle="1" w:styleId="CommentTextChar">
    <w:name w:val="Comment Text Char"/>
    <w:basedOn w:val="DefaultParagraphFont"/>
    <w:link w:val="CommentText"/>
    <w:uiPriority w:val="99"/>
    <w:semiHidden/>
    <w:rsid w:val="00DE25C9"/>
    <w:rPr>
      <w:sz w:val="20"/>
      <w:szCs w:val="20"/>
    </w:rPr>
  </w:style>
  <w:style w:type="paragraph" w:styleId="CommentSubject">
    <w:name w:val="annotation subject"/>
    <w:basedOn w:val="CommentText"/>
    <w:next w:val="CommentText"/>
    <w:link w:val="CommentSubjectChar"/>
    <w:uiPriority w:val="99"/>
    <w:semiHidden/>
    <w:unhideWhenUsed/>
    <w:rsid w:val="00DE25C9"/>
    <w:rPr>
      <w:b/>
      <w:bCs/>
    </w:rPr>
  </w:style>
  <w:style w:type="character" w:customStyle="1" w:styleId="CommentSubjectChar">
    <w:name w:val="Comment Subject Char"/>
    <w:basedOn w:val="CommentTextChar"/>
    <w:link w:val="CommentSubject"/>
    <w:uiPriority w:val="99"/>
    <w:semiHidden/>
    <w:rsid w:val="00DE25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state.co.us/nutrition/nutriprogra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de.state.co.us/nutrition/nutriemergencyfeed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olorado.gov/pacific/cdhs/child-nutrition-and-schoo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1193</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Moen, Ashley</dc:creator>
  <cp:lastModifiedBy>Johnson, Megan</cp:lastModifiedBy>
  <cp:revision>13</cp:revision>
  <dcterms:created xsi:type="dcterms:W3CDTF">2020-03-13T14:03:00Z</dcterms:created>
  <dcterms:modified xsi:type="dcterms:W3CDTF">2020-03-13T16:32:00Z</dcterms:modified>
</cp:coreProperties>
</file>