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5" w:type="pct"/>
        <w:tblLook w:val="04A0" w:firstRow="1" w:lastRow="0" w:firstColumn="1" w:lastColumn="0" w:noHBand="0" w:noVBand="1"/>
      </w:tblPr>
      <w:tblGrid>
        <w:gridCol w:w="752"/>
        <w:gridCol w:w="6482"/>
        <w:gridCol w:w="715"/>
        <w:gridCol w:w="346"/>
        <w:gridCol w:w="346"/>
        <w:gridCol w:w="1074"/>
      </w:tblGrid>
      <w:tr w:rsidR="003439DB" w:rsidRPr="004206C7" w14:paraId="6CF4DDA0" w14:textId="77777777" w:rsidTr="00671F98">
        <w:trPr>
          <w:trHeight w:val="503"/>
        </w:trPr>
        <w:tc>
          <w:tcPr>
            <w:tcW w:w="5000" w:type="pct"/>
            <w:gridSpan w:val="6"/>
            <w:shd w:val="pct15" w:color="auto" w:fill="auto"/>
          </w:tcPr>
          <w:p w14:paraId="7CCA037D" w14:textId="77777777" w:rsidR="002F6259" w:rsidRPr="004206C7" w:rsidRDefault="00E16419" w:rsidP="00E16419">
            <w:pPr>
              <w:spacing w:beforeLines="60" w:before="144" w:afterLines="60" w:after="144"/>
              <w:jc w:val="center"/>
              <w:rPr>
                <w:rFonts w:ascii="Trebuchet MS" w:hAnsi="Trebuchet MS"/>
                <w:b/>
                <w:sz w:val="24"/>
                <w:szCs w:val="24"/>
              </w:rPr>
            </w:pPr>
            <w:r w:rsidRPr="0066638A">
              <w:rPr>
                <w:b/>
                <w:sz w:val="28"/>
                <w:szCs w:val="28"/>
              </w:rPr>
              <w:t>On-Site Question</w:t>
            </w:r>
          </w:p>
        </w:tc>
      </w:tr>
      <w:tr w:rsidR="003439DB" w:rsidRPr="004206C7" w14:paraId="115A6017" w14:textId="77777777" w:rsidTr="00671F98">
        <w:trPr>
          <w:trHeight w:val="503"/>
        </w:trPr>
        <w:tc>
          <w:tcPr>
            <w:tcW w:w="387" w:type="pct"/>
            <w:vMerge w:val="restart"/>
            <w:shd w:val="pct15" w:color="auto" w:fill="auto"/>
          </w:tcPr>
          <w:p w14:paraId="08E72FDA" w14:textId="05A10D75" w:rsidR="003439DB" w:rsidRPr="004206C7" w:rsidRDefault="004463D1" w:rsidP="00C81604">
            <w:pPr>
              <w:spacing w:beforeLines="60" w:before="144" w:afterLines="60" w:after="144"/>
              <w:ind w:left="30"/>
              <w:rPr>
                <w:rFonts w:ascii="Trebuchet MS" w:hAnsi="Trebuchet MS"/>
                <w:sz w:val="24"/>
                <w:szCs w:val="24"/>
              </w:rPr>
            </w:pPr>
            <w:r>
              <w:rPr>
                <w:rFonts w:ascii="Trebuchet MS" w:hAnsi="Trebuchet MS"/>
                <w:sz w:val="24"/>
                <w:szCs w:val="24"/>
              </w:rPr>
              <w:t>2001</w:t>
            </w:r>
          </w:p>
        </w:tc>
        <w:tc>
          <w:tcPr>
            <w:tcW w:w="3336" w:type="pct"/>
            <w:vMerge w:val="restart"/>
            <w:vAlign w:val="center"/>
          </w:tcPr>
          <w:p w14:paraId="282360E4" w14:textId="77777777" w:rsidR="003439DB" w:rsidRPr="004206C7" w:rsidRDefault="003439DB" w:rsidP="003439DB">
            <w:pPr>
              <w:spacing w:after="60"/>
              <w:rPr>
                <w:rFonts w:ascii="Trebuchet MS" w:eastAsia="Times New Roman" w:hAnsi="Trebuchet MS" w:cs="Times New Roman"/>
                <w:sz w:val="24"/>
                <w:szCs w:val="24"/>
              </w:rPr>
            </w:pPr>
            <w:r w:rsidRPr="004206C7">
              <w:rPr>
                <w:rFonts w:ascii="Trebuchet MS" w:eastAsia="Times New Roman" w:hAnsi="Trebuchet MS" w:cs="Times New Roman"/>
                <w:sz w:val="24"/>
                <w:szCs w:val="24"/>
              </w:rPr>
              <w:t xml:space="preserve">If the SFA is operating a </w:t>
            </w:r>
            <w:r w:rsidRPr="004206C7">
              <w:rPr>
                <w:rFonts w:ascii="Trebuchet MS" w:eastAsia="Times New Roman" w:hAnsi="Trebuchet MS" w:cs="Times New Roman"/>
                <w:b/>
                <w:sz w:val="24"/>
                <w:szCs w:val="24"/>
              </w:rPr>
              <w:t>pricing program</w:t>
            </w:r>
            <w:r w:rsidRPr="004206C7">
              <w:rPr>
                <w:rFonts w:ascii="Trebuchet MS" w:eastAsia="Times New Roman" w:hAnsi="Trebuchet MS" w:cs="Times New Roman"/>
                <w:sz w:val="24"/>
                <w:szCs w:val="24"/>
              </w:rPr>
              <w:t>, does the purchase price of milk on the most recent claim for reimbursement match the purchase price reflected on invoices?</w:t>
            </w:r>
            <w:r w:rsidR="00BF13E6" w:rsidRPr="004206C7">
              <w:rPr>
                <w:rFonts w:ascii="Trebuchet MS" w:eastAsia="Times New Roman" w:hAnsi="Trebuchet MS" w:cs="Times New Roman"/>
                <w:sz w:val="24"/>
                <w:szCs w:val="24"/>
              </w:rPr>
              <w:t xml:space="preserve">  Are reimbursements being used to reduce students’ payments?</w:t>
            </w:r>
          </w:p>
          <w:p w14:paraId="7048C21F" w14:textId="77777777" w:rsidR="003439DB" w:rsidRPr="004206C7" w:rsidRDefault="003439DB" w:rsidP="00C81604">
            <w:pPr>
              <w:spacing w:beforeLines="60" w:before="144" w:afterLines="60" w:after="144"/>
              <w:rPr>
                <w:rFonts w:ascii="Trebuchet MS" w:hAnsi="Trebuchet MS"/>
                <w:sz w:val="24"/>
                <w:szCs w:val="24"/>
              </w:rPr>
            </w:pPr>
          </w:p>
        </w:tc>
        <w:tc>
          <w:tcPr>
            <w:tcW w:w="368" w:type="pct"/>
            <w:shd w:val="pct12" w:color="auto" w:fill="auto"/>
            <w:vAlign w:val="bottom"/>
          </w:tcPr>
          <w:p w14:paraId="324C216A" w14:textId="77777777" w:rsidR="003439DB" w:rsidRPr="004206C7" w:rsidRDefault="003439DB" w:rsidP="00C81604">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356" w:type="pct"/>
            <w:gridSpan w:val="2"/>
            <w:shd w:val="pct12" w:color="auto" w:fill="auto"/>
            <w:vAlign w:val="bottom"/>
          </w:tcPr>
          <w:p w14:paraId="2DAAA69E" w14:textId="77777777" w:rsidR="003439DB" w:rsidRPr="004206C7" w:rsidRDefault="003439DB" w:rsidP="00C81604">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c>
          <w:tcPr>
            <w:tcW w:w="553" w:type="pct"/>
            <w:shd w:val="pct12" w:color="auto" w:fill="auto"/>
            <w:vAlign w:val="bottom"/>
          </w:tcPr>
          <w:p w14:paraId="06C6BD57" w14:textId="77777777" w:rsidR="003439DB" w:rsidRPr="004206C7" w:rsidRDefault="003439DB" w:rsidP="00C81604">
            <w:pPr>
              <w:spacing w:beforeLines="60" w:before="144" w:afterLines="60" w:after="144"/>
              <w:jc w:val="center"/>
              <w:rPr>
                <w:rFonts w:ascii="Trebuchet MS" w:hAnsi="Trebuchet MS"/>
                <w:b/>
                <w:sz w:val="20"/>
                <w:szCs w:val="20"/>
              </w:rPr>
            </w:pPr>
            <w:r w:rsidRPr="004206C7">
              <w:rPr>
                <w:rFonts w:ascii="Trebuchet MS" w:hAnsi="Trebuchet MS"/>
                <w:b/>
                <w:sz w:val="20"/>
                <w:szCs w:val="20"/>
              </w:rPr>
              <w:t>N/A</w:t>
            </w:r>
          </w:p>
        </w:tc>
      </w:tr>
      <w:tr w:rsidR="003439DB" w:rsidRPr="004206C7" w14:paraId="1F0503F1" w14:textId="77777777" w:rsidTr="00671F98">
        <w:trPr>
          <w:trHeight w:val="512"/>
        </w:trPr>
        <w:tc>
          <w:tcPr>
            <w:tcW w:w="387" w:type="pct"/>
            <w:vMerge/>
            <w:shd w:val="pct15" w:color="auto" w:fill="auto"/>
          </w:tcPr>
          <w:p w14:paraId="53250FA5" w14:textId="77777777" w:rsidR="003439DB" w:rsidRPr="004206C7" w:rsidRDefault="003439DB" w:rsidP="00C81604">
            <w:pPr>
              <w:spacing w:beforeLines="60" w:before="144" w:afterLines="60" w:after="144"/>
              <w:ind w:left="30"/>
              <w:rPr>
                <w:rFonts w:ascii="Trebuchet MS" w:hAnsi="Trebuchet MS"/>
                <w:sz w:val="20"/>
                <w:szCs w:val="20"/>
              </w:rPr>
            </w:pPr>
          </w:p>
        </w:tc>
        <w:tc>
          <w:tcPr>
            <w:tcW w:w="3336" w:type="pct"/>
            <w:vMerge/>
          </w:tcPr>
          <w:p w14:paraId="4FD61D1C" w14:textId="77777777" w:rsidR="003439DB" w:rsidRPr="004206C7" w:rsidRDefault="003439DB" w:rsidP="00C81604">
            <w:pPr>
              <w:spacing w:beforeLines="60" w:before="144" w:afterLines="60" w:after="144"/>
              <w:rPr>
                <w:rFonts w:ascii="Trebuchet MS" w:hAnsi="Trebuchet MS" w:cs="Calibri"/>
                <w:color w:val="000000"/>
                <w:sz w:val="20"/>
                <w:szCs w:val="20"/>
              </w:rPr>
            </w:pPr>
          </w:p>
        </w:tc>
        <w:tc>
          <w:tcPr>
            <w:tcW w:w="368" w:type="pct"/>
          </w:tcPr>
          <w:p w14:paraId="642791C9" w14:textId="77777777" w:rsidR="003439DB" w:rsidRPr="004206C7" w:rsidRDefault="003439DB" w:rsidP="00C81604">
            <w:pPr>
              <w:spacing w:beforeLines="60" w:before="144" w:afterLines="60" w:after="144"/>
              <w:rPr>
                <w:rFonts w:ascii="Trebuchet MS" w:hAnsi="Trebuchet MS"/>
                <w:sz w:val="20"/>
                <w:szCs w:val="20"/>
              </w:rPr>
            </w:pPr>
          </w:p>
        </w:tc>
        <w:tc>
          <w:tcPr>
            <w:tcW w:w="356" w:type="pct"/>
            <w:gridSpan w:val="2"/>
          </w:tcPr>
          <w:p w14:paraId="5D10CB52" w14:textId="77777777" w:rsidR="003439DB" w:rsidRPr="004206C7" w:rsidRDefault="003439DB" w:rsidP="00C81604">
            <w:pPr>
              <w:spacing w:beforeLines="60" w:before="144" w:afterLines="60" w:after="144"/>
              <w:rPr>
                <w:rFonts w:ascii="Trebuchet MS" w:hAnsi="Trebuchet MS"/>
                <w:sz w:val="20"/>
                <w:szCs w:val="20"/>
              </w:rPr>
            </w:pPr>
          </w:p>
        </w:tc>
        <w:tc>
          <w:tcPr>
            <w:tcW w:w="553" w:type="pct"/>
          </w:tcPr>
          <w:p w14:paraId="6854F9EE" w14:textId="77777777" w:rsidR="003439DB" w:rsidRPr="004206C7" w:rsidRDefault="003439DB" w:rsidP="00C81604">
            <w:pPr>
              <w:spacing w:beforeLines="60" w:before="144" w:afterLines="60" w:after="144"/>
              <w:rPr>
                <w:rFonts w:ascii="Trebuchet MS" w:hAnsi="Trebuchet MS"/>
                <w:sz w:val="20"/>
                <w:szCs w:val="20"/>
              </w:rPr>
            </w:pPr>
          </w:p>
        </w:tc>
      </w:tr>
      <w:tr w:rsidR="003439DB" w:rsidRPr="004206C7" w14:paraId="3483AB35" w14:textId="77777777" w:rsidTr="00671F98">
        <w:tc>
          <w:tcPr>
            <w:tcW w:w="5000" w:type="pct"/>
            <w:gridSpan w:val="6"/>
          </w:tcPr>
          <w:p w14:paraId="3D98EB9F" w14:textId="77777777" w:rsidR="004463D1" w:rsidRPr="00661FC7" w:rsidRDefault="004463D1" w:rsidP="004463D1">
            <w:pPr>
              <w:rPr>
                <w:color w:val="FF0000"/>
              </w:rPr>
            </w:pPr>
            <w:r w:rsidRPr="00661FC7">
              <w:rPr>
                <w:rFonts w:eastAsia="Times New Roman"/>
                <w:b/>
                <w:color w:val="FF0000"/>
              </w:rPr>
              <w:t>Tips:</w:t>
            </w:r>
            <w:r w:rsidRPr="00661FC7">
              <w:rPr>
                <w:rFonts w:eastAsia="Times New Roman"/>
                <w:color w:val="FF0000"/>
              </w:rPr>
              <w:t xml:space="preserve">  A pricing program is utilized when the milk is sold to students. This includes any such program in which maximum use is made of program reimbursement in order to lower or reduce the price of each half pint of milk to “zero” whenever possible. </w:t>
            </w:r>
            <w:r w:rsidRPr="00661FC7">
              <w:rPr>
                <w:color w:val="FF0000"/>
              </w:rPr>
              <w:t xml:space="preserve">Utilize the Milk Price Calculation Form to determine the appropriate amount to charge students. This will take in consideration, the paid rate, fees, minus the reimbursement amount.  In no event shall the reimbursement for each half-pint of milk served to children exceed the cost of milk to the </w:t>
            </w:r>
            <w:r>
              <w:rPr>
                <w:color w:val="FF0000"/>
              </w:rPr>
              <w:t>school.</w:t>
            </w:r>
          </w:p>
          <w:p w14:paraId="2E93F5E6" w14:textId="5171AFE1" w:rsidR="004463D1" w:rsidRPr="00661FC7" w:rsidRDefault="004463D1" w:rsidP="004463D1">
            <w:pPr>
              <w:spacing w:beforeLines="60" w:before="144" w:afterLines="60" w:after="144"/>
              <w:rPr>
                <w:rFonts w:eastAsia="Times New Roman"/>
                <w:color w:val="FF0000"/>
              </w:rPr>
            </w:pPr>
            <w:r w:rsidRPr="00661FC7">
              <w:rPr>
                <w:rFonts w:eastAsia="Times New Roman"/>
                <w:color w:val="FF0000"/>
              </w:rPr>
              <w:t>When submitting a claim for reimbursement, each SFA shall certify that the claim is true</w:t>
            </w:r>
            <w:r w:rsidR="001E728F">
              <w:rPr>
                <w:rFonts w:eastAsia="Times New Roman"/>
                <w:color w:val="FF0000"/>
              </w:rPr>
              <w:t>,</w:t>
            </w:r>
            <w:r w:rsidRPr="00661FC7">
              <w:rPr>
                <w:rFonts w:eastAsia="Times New Roman"/>
                <w:color w:val="FF0000"/>
              </w:rPr>
              <w:t xml:space="preserve"> that records are available to support the claim (invoices, etc.)</w:t>
            </w:r>
            <w:r w:rsidR="001E728F">
              <w:rPr>
                <w:rFonts w:eastAsia="Times New Roman"/>
                <w:color w:val="FF0000"/>
              </w:rPr>
              <w:t xml:space="preserve"> and</w:t>
            </w:r>
            <w:r w:rsidRPr="00661FC7">
              <w:rPr>
                <w:rFonts w:eastAsia="Times New Roman"/>
                <w:color w:val="FF0000"/>
              </w:rPr>
              <w:t xml:space="preserve"> that the claim is in accordance with the existing agreement.</w:t>
            </w:r>
          </w:p>
          <w:p w14:paraId="21041418" w14:textId="2F45C2A2" w:rsidR="00D55369" w:rsidRPr="0030341B" w:rsidRDefault="004463D1" w:rsidP="0030341B">
            <w:pPr>
              <w:spacing w:beforeLines="60" w:before="144" w:afterLines="60" w:after="144"/>
              <w:rPr>
                <w:rFonts w:eastAsia="Times New Roman"/>
                <w:color w:val="FF0000"/>
              </w:rPr>
            </w:pPr>
            <w:r w:rsidRPr="00661FC7">
              <w:rPr>
                <w:rFonts w:eastAsia="Times New Roman"/>
                <w:color w:val="FF0000"/>
              </w:rPr>
              <w:t xml:space="preserve">If operating the </w:t>
            </w:r>
            <w:r w:rsidRPr="00661FC7">
              <w:rPr>
                <w:rFonts w:eastAsia="Times New Roman"/>
                <w:i/>
                <w:color w:val="FF0000"/>
              </w:rPr>
              <w:t>Pricing with Free</w:t>
            </w:r>
            <w:r w:rsidRPr="00661FC7">
              <w:rPr>
                <w:rFonts w:eastAsia="Times New Roman"/>
                <w:color w:val="FF0000"/>
              </w:rPr>
              <w:t xml:space="preserve"> option, ensure eligibility documentation is accurately transferred to the roster/POS to ensure those who are eligible, receive free milk (no </w:t>
            </w:r>
            <w:r>
              <w:rPr>
                <w:rFonts w:eastAsia="Times New Roman"/>
                <w:color w:val="FF0000"/>
              </w:rPr>
              <w:t>free milk for reduced eligible).</w:t>
            </w:r>
          </w:p>
        </w:tc>
      </w:tr>
      <w:tr w:rsidR="003439DB" w:rsidRPr="004206C7" w14:paraId="4D7D069A" w14:textId="77777777" w:rsidTr="00671F98">
        <w:trPr>
          <w:trHeight w:val="521"/>
        </w:trPr>
        <w:tc>
          <w:tcPr>
            <w:tcW w:w="387" w:type="pct"/>
            <w:vMerge w:val="restart"/>
            <w:shd w:val="pct15" w:color="auto" w:fill="auto"/>
          </w:tcPr>
          <w:p w14:paraId="3A4BE137" w14:textId="0E8DEADE" w:rsidR="003439DB" w:rsidRPr="004206C7" w:rsidRDefault="00D0746C" w:rsidP="00C81604">
            <w:pPr>
              <w:spacing w:beforeLines="60" w:before="144" w:afterLines="60" w:after="144"/>
              <w:rPr>
                <w:rFonts w:ascii="Trebuchet MS" w:hAnsi="Trebuchet MS"/>
                <w:sz w:val="24"/>
                <w:szCs w:val="24"/>
              </w:rPr>
            </w:pPr>
            <w:r w:rsidRPr="004206C7">
              <w:rPr>
                <w:rFonts w:ascii="Trebuchet MS" w:hAnsi="Trebuchet MS"/>
                <w:sz w:val="24"/>
                <w:szCs w:val="24"/>
              </w:rPr>
              <w:t>2</w:t>
            </w:r>
            <w:r w:rsidR="004463D1">
              <w:rPr>
                <w:rFonts w:ascii="Trebuchet MS" w:hAnsi="Trebuchet MS"/>
                <w:sz w:val="24"/>
                <w:szCs w:val="24"/>
              </w:rPr>
              <w:t>002</w:t>
            </w:r>
          </w:p>
        </w:tc>
        <w:tc>
          <w:tcPr>
            <w:tcW w:w="3336" w:type="pct"/>
            <w:vMerge w:val="restart"/>
          </w:tcPr>
          <w:p w14:paraId="0C0BCBB8" w14:textId="77777777" w:rsidR="003439DB" w:rsidRPr="004206C7" w:rsidRDefault="003439DB" w:rsidP="003439DB">
            <w:pPr>
              <w:spacing w:after="60"/>
              <w:rPr>
                <w:rFonts w:ascii="Trebuchet MS" w:eastAsia="Times New Roman" w:hAnsi="Trebuchet MS" w:cs="Times New Roman"/>
                <w:sz w:val="24"/>
                <w:szCs w:val="24"/>
              </w:rPr>
            </w:pPr>
            <w:r w:rsidRPr="004206C7">
              <w:rPr>
                <w:rFonts w:ascii="Trebuchet MS" w:eastAsia="Times New Roman" w:hAnsi="Trebuchet MS" w:cs="Times New Roman"/>
                <w:sz w:val="24"/>
                <w:szCs w:val="24"/>
              </w:rPr>
              <w:t>Do the daily milk count records support the most</w:t>
            </w:r>
            <w:r w:rsidR="00325ED8" w:rsidRPr="004206C7">
              <w:rPr>
                <w:rFonts w:ascii="Trebuchet MS" w:eastAsia="Times New Roman" w:hAnsi="Trebuchet MS" w:cs="Times New Roman"/>
                <w:sz w:val="24"/>
                <w:szCs w:val="24"/>
              </w:rPr>
              <w:t xml:space="preserve"> recent claim for reimbursement?</w:t>
            </w:r>
            <w:r w:rsidR="007661F9" w:rsidRPr="004206C7">
              <w:rPr>
                <w:rFonts w:ascii="Trebuchet MS" w:eastAsia="Times New Roman" w:hAnsi="Trebuchet MS" w:cs="Times New Roman"/>
                <w:sz w:val="24"/>
                <w:szCs w:val="24"/>
              </w:rPr>
              <w:t xml:space="preserve"> </w:t>
            </w:r>
          </w:p>
          <w:p w14:paraId="3B930DA3" w14:textId="1175354A" w:rsidR="003439DB" w:rsidRPr="004206C7" w:rsidRDefault="003439DB" w:rsidP="003439DB">
            <w:pPr>
              <w:spacing w:after="60"/>
              <w:rPr>
                <w:rFonts w:ascii="Trebuchet MS" w:eastAsia="Times New Roman" w:hAnsi="Trebuchet MS" w:cs="Times New Roman"/>
                <w:sz w:val="24"/>
                <w:szCs w:val="24"/>
              </w:rPr>
            </w:pPr>
            <w:r w:rsidRPr="004206C7">
              <w:rPr>
                <w:rFonts w:ascii="Trebuchet MS" w:eastAsia="Times New Roman" w:hAnsi="Trebuchet MS" w:cs="Times New Roman"/>
                <w:sz w:val="24"/>
                <w:szCs w:val="24"/>
              </w:rPr>
              <w:t xml:space="preserve">If NO, explain and indicate </w:t>
            </w:r>
            <w:r w:rsidR="00941145" w:rsidRPr="004206C7">
              <w:rPr>
                <w:rFonts w:ascii="Trebuchet MS" w:eastAsia="Times New Roman" w:hAnsi="Trebuchet MS" w:cs="Times New Roman"/>
                <w:sz w:val="24"/>
                <w:szCs w:val="24"/>
              </w:rPr>
              <w:t>if the</w:t>
            </w:r>
            <w:r w:rsidRPr="004206C7">
              <w:rPr>
                <w:rFonts w:ascii="Trebuchet MS" w:eastAsia="Times New Roman" w:hAnsi="Trebuchet MS" w:cs="Times New Roman"/>
                <w:sz w:val="24"/>
                <w:szCs w:val="24"/>
              </w:rPr>
              <w:t xml:space="preserve"> problem was non</w:t>
            </w:r>
            <w:r w:rsidR="00BF13E6" w:rsidRPr="004206C7">
              <w:rPr>
                <w:rFonts w:ascii="Trebuchet MS" w:eastAsia="Times New Roman" w:hAnsi="Trebuchet MS" w:cs="Times New Roman"/>
                <w:sz w:val="24"/>
                <w:szCs w:val="24"/>
              </w:rPr>
              <w:t>-s</w:t>
            </w:r>
            <w:r w:rsidRPr="004206C7">
              <w:rPr>
                <w:rFonts w:ascii="Trebuchet MS" w:eastAsia="Times New Roman" w:hAnsi="Trebuchet MS" w:cs="Times New Roman"/>
                <w:sz w:val="24"/>
                <w:szCs w:val="24"/>
              </w:rPr>
              <w:t>ystemic or systemic</w:t>
            </w:r>
            <w:r w:rsidR="002F39AB">
              <w:rPr>
                <w:rFonts w:ascii="Trebuchet MS" w:eastAsia="Times New Roman" w:hAnsi="Trebuchet MS" w:cs="Times New Roman"/>
                <w:sz w:val="24"/>
                <w:szCs w:val="24"/>
              </w:rPr>
              <w:t>.</w:t>
            </w:r>
          </w:p>
          <w:p w14:paraId="137EFE1C" w14:textId="77777777" w:rsidR="003439DB" w:rsidRPr="004206C7" w:rsidRDefault="00E70996" w:rsidP="00C81604">
            <w:pPr>
              <w:spacing w:beforeLines="60" w:before="144" w:afterLines="60" w:after="144"/>
              <w:rPr>
                <w:rFonts w:ascii="Trebuchet MS" w:hAnsi="Trebuchet MS"/>
                <w:sz w:val="24"/>
                <w:szCs w:val="24"/>
              </w:rPr>
            </w:pPr>
            <w:r w:rsidRPr="004206C7">
              <w:rPr>
                <w:rFonts w:ascii="Trebuchet MS" w:hAnsi="Trebuchet MS"/>
                <w:sz w:val="24"/>
                <w:szCs w:val="24"/>
              </w:rPr>
              <w:t>Record the</w:t>
            </w:r>
            <w:r w:rsidR="007661F9" w:rsidRPr="004206C7">
              <w:rPr>
                <w:rFonts w:ascii="Trebuchet MS" w:hAnsi="Trebuchet MS"/>
                <w:sz w:val="24"/>
                <w:szCs w:val="24"/>
              </w:rPr>
              <w:t xml:space="preserve"> </w:t>
            </w:r>
            <w:r w:rsidR="00B42171" w:rsidRPr="004206C7">
              <w:rPr>
                <w:rFonts w:ascii="Trebuchet MS" w:hAnsi="Trebuchet MS"/>
                <w:sz w:val="24"/>
                <w:szCs w:val="24"/>
              </w:rPr>
              <w:t>milk</w:t>
            </w:r>
            <w:r w:rsidR="007661F9" w:rsidRPr="004206C7">
              <w:rPr>
                <w:rFonts w:ascii="Trebuchet MS" w:hAnsi="Trebuchet MS"/>
                <w:sz w:val="24"/>
                <w:szCs w:val="24"/>
              </w:rPr>
              <w:t xml:space="preserve"> counts</w:t>
            </w:r>
            <w:r w:rsidR="00B42171" w:rsidRPr="004206C7">
              <w:rPr>
                <w:rFonts w:ascii="Trebuchet MS" w:hAnsi="Trebuchet MS"/>
                <w:sz w:val="24"/>
                <w:szCs w:val="24"/>
              </w:rPr>
              <w:t xml:space="preserve"> claimed for reimbursement </w:t>
            </w:r>
            <w:r w:rsidR="007661F9" w:rsidRPr="004206C7">
              <w:rPr>
                <w:rFonts w:ascii="Trebuchet MS" w:hAnsi="Trebuchet MS"/>
                <w:sz w:val="24"/>
                <w:szCs w:val="24"/>
              </w:rPr>
              <w:t xml:space="preserve">for the review period and day of review (if on-site review </w:t>
            </w:r>
            <w:r w:rsidR="003F261D" w:rsidRPr="004206C7">
              <w:rPr>
                <w:rFonts w:ascii="Trebuchet MS" w:hAnsi="Trebuchet MS"/>
                <w:sz w:val="24"/>
                <w:szCs w:val="24"/>
              </w:rPr>
              <w:t xml:space="preserve">is </w:t>
            </w:r>
            <w:r w:rsidR="007661F9" w:rsidRPr="004206C7">
              <w:rPr>
                <w:rFonts w:ascii="Trebuchet MS" w:hAnsi="Trebuchet MS"/>
                <w:sz w:val="24"/>
                <w:szCs w:val="24"/>
              </w:rPr>
              <w:t xml:space="preserve">conducted) </w:t>
            </w:r>
            <w:r w:rsidR="00B42171" w:rsidRPr="004206C7">
              <w:rPr>
                <w:rFonts w:ascii="Trebuchet MS" w:hAnsi="Trebuchet MS"/>
                <w:sz w:val="24"/>
                <w:szCs w:val="24"/>
              </w:rPr>
              <w:t>on S-</w:t>
            </w:r>
            <w:r w:rsidR="007661F9" w:rsidRPr="004206C7">
              <w:rPr>
                <w:rFonts w:ascii="Trebuchet MS" w:hAnsi="Trebuchet MS"/>
                <w:sz w:val="24"/>
                <w:szCs w:val="24"/>
              </w:rPr>
              <w:t>1</w:t>
            </w:r>
            <w:r w:rsidR="00B03746" w:rsidRPr="004206C7">
              <w:rPr>
                <w:rFonts w:ascii="Trebuchet MS" w:hAnsi="Trebuchet MS"/>
                <w:sz w:val="24"/>
                <w:szCs w:val="24"/>
              </w:rPr>
              <w:t>,</w:t>
            </w:r>
            <w:r w:rsidR="007661F9" w:rsidRPr="004206C7">
              <w:rPr>
                <w:rFonts w:ascii="Trebuchet MS" w:hAnsi="Trebuchet MS"/>
                <w:sz w:val="24"/>
                <w:szCs w:val="24"/>
              </w:rPr>
              <w:t xml:space="preserve"> line 25</w:t>
            </w:r>
            <w:r w:rsidR="00B42171" w:rsidRPr="004206C7">
              <w:rPr>
                <w:rFonts w:ascii="Trebuchet MS" w:hAnsi="Trebuchet MS"/>
                <w:sz w:val="24"/>
                <w:szCs w:val="24"/>
              </w:rPr>
              <w:t>.</w:t>
            </w:r>
          </w:p>
        </w:tc>
        <w:tc>
          <w:tcPr>
            <w:tcW w:w="546" w:type="pct"/>
            <w:gridSpan w:val="2"/>
            <w:shd w:val="pct12" w:color="auto" w:fill="auto"/>
            <w:vAlign w:val="bottom"/>
          </w:tcPr>
          <w:p w14:paraId="09E72E20" w14:textId="77777777" w:rsidR="003439DB" w:rsidRPr="004206C7" w:rsidRDefault="003439DB" w:rsidP="003F261D">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731" w:type="pct"/>
            <w:gridSpan w:val="2"/>
            <w:shd w:val="pct12" w:color="auto" w:fill="auto"/>
            <w:vAlign w:val="bottom"/>
          </w:tcPr>
          <w:p w14:paraId="04E12CB6" w14:textId="77777777" w:rsidR="003439DB" w:rsidRPr="004206C7" w:rsidRDefault="003439DB">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r>
      <w:tr w:rsidR="003439DB" w:rsidRPr="004206C7" w14:paraId="1667266F" w14:textId="77777777" w:rsidTr="00671F98">
        <w:trPr>
          <w:trHeight w:val="620"/>
        </w:trPr>
        <w:tc>
          <w:tcPr>
            <w:tcW w:w="387" w:type="pct"/>
            <w:vMerge/>
            <w:shd w:val="pct15" w:color="auto" w:fill="auto"/>
          </w:tcPr>
          <w:p w14:paraId="50731C88" w14:textId="77777777" w:rsidR="003439DB" w:rsidRPr="004206C7" w:rsidRDefault="003439DB">
            <w:pPr>
              <w:spacing w:beforeLines="60" w:before="144" w:afterLines="60" w:after="144"/>
              <w:rPr>
                <w:rFonts w:ascii="Trebuchet MS" w:hAnsi="Trebuchet MS"/>
                <w:sz w:val="20"/>
                <w:szCs w:val="20"/>
              </w:rPr>
            </w:pPr>
          </w:p>
        </w:tc>
        <w:tc>
          <w:tcPr>
            <w:tcW w:w="3336" w:type="pct"/>
            <w:vMerge/>
          </w:tcPr>
          <w:p w14:paraId="6B1A7E65" w14:textId="77777777" w:rsidR="003439DB" w:rsidRPr="004206C7" w:rsidRDefault="003439DB">
            <w:pPr>
              <w:spacing w:beforeLines="60" w:before="144" w:afterLines="60" w:after="144"/>
              <w:ind w:left="30"/>
              <w:rPr>
                <w:rFonts w:ascii="Trebuchet MS" w:hAnsi="Trebuchet MS"/>
                <w:sz w:val="20"/>
                <w:szCs w:val="20"/>
              </w:rPr>
            </w:pPr>
          </w:p>
        </w:tc>
        <w:tc>
          <w:tcPr>
            <w:tcW w:w="546" w:type="pct"/>
            <w:gridSpan w:val="2"/>
          </w:tcPr>
          <w:p w14:paraId="726FE598" w14:textId="77777777" w:rsidR="003439DB" w:rsidRPr="004206C7" w:rsidRDefault="003439DB">
            <w:pPr>
              <w:spacing w:beforeLines="60" w:before="144" w:afterLines="60" w:after="144"/>
              <w:rPr>
                <w:rFonts w:ascii="Trebuchet MS" w:hAnsi="Trebuchet MS"/>
                <w:sz w:val="20"/>
                <w:szCs w:val="20"/>
              </w:rPr>
            </w:pPr>
          </w:p>
        </w:tc>
        <w:tc>
          <w:tcPr>
            <w:tcW w:w="731" w:type="pct"/>
            <w:gridSpan w:val="2"/>
          </w:tcPr>
          <w:p w14:paraId="49C7F0A1" w14:textId="77777777" w:rsidR="003439DB" w:rsidRPr="004206C7" w:rsidRDefault="003439DB">
            <w:pPr>
              <w:spacing w:beforeLines="60" w:before="144" w:afterLines="60" w:after="144"/>
              <w:rPr>
                <w:rFonts w:ascii="Trebuchet MS" w:hAnsi="Trebuchet MS"/>
                <w:sz w:val="20"/>
                <w:szCs w:val="20"/>
              </w:rPr>
            </w:pPr>
          </w:p>
        </w:tc>
      </w:tr>
      <w:tr w:rsidR="003439DB" w:rsidRPr="004206C7" w14:paraId="5B9656F8" w14:textId="77777777" w:rsidTr="00671F98">
        <w:tc>
          <w:tcPr>
            <w:tcW w:w="5000" w:type="pct"/>
            <w:gridSpan w:val="6"/>
          </w:tcPr>
          <w:p w14:paraId="00F895C5" w14:textId="39ED9B4A" w:rsidR="005A230B" w:rsidRPr="0030341B" w:rsidRDefault="004463D1" w:rsidP="0030341B">
            <w:r w:rsidRPr="00661FC7">
              <w:rPr>
                <w:rFonts w:eastAsia="Times New Roman"/>
                <w:b/>
                <w:color w:val="FF0000"/>
              </w:rPr>
              <w:t>Tips:</w:t>
            </w:r>
            <w:r w:rsidRPr="00661FC7">
              <w:rPr>
                <w:rFonts w:eastAsia="Times New Roman"/>
                <w:color w:val="FF0000"/>
              </w:rPr>
              <w:t xml:space="preserve">  Main</w:t>
            </w:r>
            <w:r>
              <w:rPr>
                <w:rFonts w:eastAsia="Times New Roman"/>
                <w:color w:val="FF0000"/>
              </w:rPr>
              <w:t>tain</w:t>
            </w:r>
            <w:r w:rsidRPr="00661FC7">
              <w:rPr>
                <w:rFonts w:eastAsia="Times New Roman"/>
                <w:color w:val="FF0000"/>
              </w:rPr>
              <w:t xml:space="preserve"> documentation to support the number of milks </w:t>
            </w:r>
            <w:r>
              <w:rPr>
                <w:rFonts w:eastAsia="Times New Roman"/>
                <w:color w:val="FF0000"/>
              </w:rPr>
              <w:t>claimed for reimbursement. U</w:t>
            </w:r>
            <w:r w:rsidRPr="00661FC7">
              <w:rPr>
                <w:rFonts w:eastAsia="Times New Roman"/>
                <w:color w:val="FF0000"/>
              </w:rPr>
              <w:t>tilize the daily milk count form, milk inventory form, or an electronic system to keep record. In submitting a claim for reimbursement, the SFA shall cer</w:t>
            </w:r>
            <w:r>
              <w:rPr>
                <w:rFonts w:eastAsia="Times New Roman"/>
                <w:color w:val="FF0000"/>
              </w:rPr>
              <w:t xml:space="preserve">tify that the claim </w:t>
            </w:r>
            <w:r w:rsidR="001E728F">
              <w:rPr>
                <w:rFonts w:eastAsia="Times New Roman"/>
                <w:color w:val="FF0000"/>
              </w:rPr>
              <w:t xml:space="preserve">is </w:t>
            </w:r>
            <w:r w:rsidRPr="00661FC7">
              <w:rPr>
                <w:rFonts w:eastAsia="Times New Roman"/>
                <w:color w:val="FF0000"/>
              </w:rPr>
              <w:t>correct, that records are available to support the claim</w:t>
            </w:r>
            <w:r w:rsidR="001E728F">
              <w:rPr>
                <w:rFonts w:eastAsia="Times New Roman"/>
                <w:color w:val="FF0000"/>
              </w:rPr>
              <w:t xml:space="preserve"> and </w:t>
            </w:r>
            <w:r w:rsidRPr="00661FC7">
              <w:rPr>
                <w:rFonts w:eastAsia="Times New Roman"/>
                <w:color w:val="FF0000"/>
              </w:rPr>
              <w:t xml:space="preserve">that the claim is in accordance with the existing agreement by the established due date for the monthly reimbursement claim. </w:t>
            </w:r>
          </w:p>
        </w:tc>
      </w:tr>
      <w:tr w:rsidR="003439DB" w:rsidRPr="004206C7" w14:paraId="4B2A4039" w14:textId="77777777" w:rsidTr="00671F98">
        <w:trPr>
          <w:trHeight w:val="521"/>
        </w:trPr>
        <w:tc>
          <w:tcPr>
            <w:tcW w:w="387" w:type="pct"/>
            <w:vMerge w:val="restart"/>
            <w:shd w:val="pct15" w:color="auto" w:fill="auto"/>
          </w:tcPr>
          <w:p w14:paraId="31934EF9" w14:textId="75780450" w:rsidR="003439DB" w:rsidRPr="004206C7" w:rsidRDefault="004463D1" w:rsidP="00C81604">
            <w:pPr>
              <w:spacing w:beforeLines="60" w:before="144" w:afterLines="60" w:after="144"/>
              <w:rPr>
                <w:rFonts w:ascii="Trebuchet MS" w:hAnsi="Trebuchet MS"/>
                <w:sz w:val="24"/>
                <w:szCs w:val="24"/>
              </w:rPr>
            </w:pPr>
            <w:r>
              <w:rPr>
                <w:rFonts w:ascii="Trebuchet MS" w:hAnsi="Trebuchet MS"/>
                <w:sz w:val="24"/>
                <w:szCs w:val="24"/>
              </w:rPr>
              <w:t>200</w:t>
            </w:r>
            <w:r w:rsidR="00D0746C" w:rsidRPr="004206C7">
              <w:rPr>
                <w:rFonts w:ascii="Trebuchet MS" w:hAnsi="Trebuchet MS"/>
                <w:sz w:val="24"/>
                <w:szCs w:val="24"/>
              </w:rPr>
              <w:t>3</w:t>
            </w:r>
          </w:p>
        </w:tc>
        <w:tc>
          <w:tcPr>
            <w:tcW w:w="3336" w:type="pct"/>
            <w:vMerge w:val="restart"/>
          </w:tcPr>
          <w:p w14:paraId="7B497474" w14:textId="77777777" w:rsidR="003439DB" w:rsidRPr="004206C7" w:rsidRDefault="003439DB" w:rsidP="003439DB">
            <w:pPr>
              <w:spacing w:after="60"/>
              <w:rPr>
                <w:rFonts w:ascii="Trebuchet MS" w:eastAsia="Times New Roman" w:hAnsi="Trebuchet MS" w:cs="Times New Roman"/>
                <w:sz w:val="24"/>
                <w:szCs w:val="24"/>
              </w:rPr>
            </w:pPr>
            <w:r w:rsidRPr="004206C7">
              <w:rPr>
                <w:rFonts w:ascii="Trebuchet MS" w:eastAsia="Times New Roman" w:hAnsi="Trebuchet MS" w:cs="Times New Roman"/>
                <w:sz w:val="24"/>
                <w:szCs w:val="24"/>
              </w:rPr>
              <w:t>Do the milk service counting procedures yield accurate milk counts?</w:t>
            </w:r>
          </w:p>
          <w:p w14:paraId="4C0589B7" w14:textId="054A52D1" w:rsidR="003439DB" w:rsidRPr="004206C7" w:rsidRDefault="003439DB" w:rsidP="003439DB">
            <w:pPr>
              <w:spacing w:after="60"/>
              <w:rPr>
                <w:rFonts w:ascii="Trebuchet MS" w:eastAsia="Times New Roman" w:hAnsi="Trebuchet MS" w:cs="Times New Roman"/>
                <w:sz w:val="24"/>
                <w:szCs w:val="24"/>
              </w:rPr>
            </w:pPr>
            <w:r w:rsidRPr="004206C7">
              <w:rPr>
                <w:rFonts w:ascii="Trebuchet MS" w:eastAsia="Times New Roman" w:hAnsi="Trebuchet MS" w:cs="Times New Roman"/>
                <w:sz w:val="24"/>
                <w:szCs w:val="24"/>
              </w:rPr>
              <w:t xml:space="preserve">If NO, explain and indicate </w:t>
            </w:r>
            <w:r w:rsidR="00941145" w:rsidRPr="004206C7">
              <w:rPr>
                <w:rFonts w:ascii="Trebuchet MS" w:eastAsia="Times New Roman" w:hAnsi="Trebuchet MS" w:cs="Times New Roman"/>
                <w:sz w:val="24"/>
                <w:szCs w:val="24"/>
              </w:rPr>
              <w:t>if</w:t>
            </w:r>
            <w:r w:rsidRPr="004206C7">
              <w:rPr>
                <w:rFonts w:ascii="Trebuchet MS" w:eastAsia="Times New Roman" w:hAnsi="Trebuchet MS" w:cs="Times New Roman"/>
                <w:sz w:val="24"/>
                <w:szCs w:val="24"/>
              </w:rPr>
              <w:t xml:space="preserve"> </w:t>
            </w:r>
            <w:r w:rsidR="00941145" w:rsidRPr="004206C7">
              <w:rPr>
                <w:rFonts w:ascii="Trebuchet MS" w:eastAsia="Times New Roman" w:hAnsi="Trebuchet MS" w:cs="Times New Roman"/>
                <w:sz w:val="24"/>
                <w:szCs w:val="24"/>
              </w:rPr>
              <w:t xml:space="preserve">the </w:t>
            </w:r>
            <w:r w:rsidRPr="004206C7">
              <w:rPr>
                <w:rFonts w:ascii="Trebuchet MS" w:eastAsia="Times New Roman" w:hAnsi="Trebuchet MS" w:cs="Times New Roman"/>
                <w:sz w:val="24"/>
                <w:szCs w:val="24"/>
              </w:rPr>
              <w:t>problem was non</w:t>
            </w:r>
            <w:r w:rsidR="00BF13E6" w:rsidRPr="004206C7">
              <w:rPr>
                <w:rFonts w:ascii="Trebuchet MS" w:eastAsia="Times New Roman" w:hAnsi="Trebuchet MS" w:cs="Times New Roman"/>
                <w:sz w:val="24"/>
                <w:szCs w:val="24"/>
              </w:rPr>
              <w:t>-s</w:t>
            </w:r>
            <w:r w:rsidRPr="004206C7">
              <w:rPr>
                <w:rFonts w:ascii="Trebuchet MS" w:eastAsia="Times New Roman" w:hAnsi="Trebuchet MS" w:cs="Times New Roman"/>
                <w:sz w:val="24"/>
                <w:szCs w:val="24"/>
              </w:rPr>
              <w:t>ystemic or systemic</w:t>
            </w:r>
            <w:r w:rsidR="002F39AB">
              <w:rPr>
                <w:rFonts w:ascii="Trebuchet MS" w:eastAsia="Times New Roman" w:hAnsi="Trebuchet MS" w:cs="Times New Roman"/>
                <w:sz w:val="24"/>
                <w:szCs w:val="24"/>
              </w:rPr>
              <w:t>.</w:t>
            </w:r>
          </w:p>
          <w:p w14:paraId="0B8109D3" w14:textId="77777777" w:rsidR="003439DB" w:rsidRPr="004206C7" w:rsidRDefault="00B42171" w:rsidP="00C81604">
            <w:pPr>
              <w:spacing w:beforeLines="60" w:before="144" w:afterLines="60" w:after="144"/>
              <w:rPr>
                <w:rFonts w:ascii="Trebuchet MS" w:hAnsi="Trebuchet MS"/>
                <w:sz w:val="24"/>
                <w:szCs w:val="24"/>
              </w:rPr>
            </w:pPr>
            <w:r w:rsidRPr="004206C7">
              <w:rPr>
                <w:rFonts w:ascii="Trebuchet MS" w:hAnsi="Trebuchet MS"/>
                <w:sz w:val="24"/>
                <w:szCs w:val="24"/>
              </w:rPr>
              <w:t xml:space="preserve">Record </w:t>
            </w:r>
            <w:r w:rsidR="007661F9" w:rsidRPr="004206C7">
              <w:rPr>
                <w:rFonts w:ascii="Trebuchet MS" w:hAnsi="Trebuchet MS"/>
                <w:sz w:val="24"/>
                <w:szCs w:val="24"/>
              </w:rPr>
              <w:t xml:space="preserve">differences </w:t>
            </w:r>
            <w:r w:rsidRPr="004206C7">
              <w:rPr>
                <w:rFonts w:ascii="Trebuchet MS" w:hAnsi="Trebuchet MS"/>
                <w:sz w:val="24"/>
                <w:szCs w:val="24"/>
              </w:rPr>
              <w:t>on S-</w:t>
            </w:r>
            <w:r w:rsidR="007661F9" w:rsidRPr="004206C7">
              <w:rPr>
                <w:rFonts w:ascii="Trebuchet MS" w:hAnsi="Trebuchet MS"/>
                <w:sz w:val="24"/>
                <w:szCs w:val="24"/>
              </w:rPr>
              <w:t>1</w:t>
            </w:r>
            <w:r w:rsidR="00B03746" w:rsidRPr="004206C7">
              <w:rPr>
                <w:rFonts w:ascii="Trebuchet MS" w:hAnsi="Trebuchet MS"/>
                <w:sz w:val="24"/>
                <w:szCs w:val="24"/>
              </w:rPr>
              <w:t>,</w:t>
            </w:r>
            <w:r w:rsidR="007661F9" w:rsidRPr="004206C7">
              <w:rPr>
                <w:rFonts w:ascii="Trebuchet MS" w:hAnsi="Trebuchet MS"/>
                <w:sz w:val="24"/>
                <w:szCs w:val="24"/>
              </w:rPr>
              <w:t xml:space="preserve"> line 25.</w:t>
            </w:r>
          </w:p>
        </w:tc>
        <w:tc>
          <w:tcPr>
            <w:tcW w:w="546" w:type="pct"/>
            <w:gridSpan w:val="2"/>
            <w:shd w:val="pct12" w:color="auto" w:fill="auto"/>
            <w:vAlign w:val="bottom"/>
          </w:tcPr>
          <w:p w14:paraId="70629D0B" w14:textId="77777777" w:rsidR="003439DB" w:rsidRPr="004206C7" w:rsidRDefault="003439DB" w:rsidP="003F261D">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731" w:type="pct"/>
            <w:gridSpan w:val="2"/>
            <w:shd w:val="pct12" w:color="auto" w:fill="auto"/>
            <w:vAlign w:val="bottom"/>
          </w:tcPr>
          <w:p w14:paraId="122FB472" w14:textId="77777777" w:rsidR="003439DB" w:rsidRPr="004206C7" w:rsidRDefault="003439DB">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r>
      <w:tr w:rsidR="003439DB" w:rsidRPr="004206C7" w14:paraId="4A6661F2" w14:textId="77777777" w:rsidTr="00671F98">
        <w:trPr>
          <w:trHeight w:val="620"/>
        </w:trPr>
        <w:tc>
          <w:tcPr>
            <w:tcW w:w="387" w:type="pct"/>
            <w:vMerge/>
            <w:shd w:val="pct15" w:color="auto" w:fill="auto"/>
          </w:tcPr>
          <w:p w14:paraId="2EEE9723" w14:textId="77777777" w:rsidR="003439DB" w:rsidRPr="004206C7" w:rsidRDefault="003439DB">
            <w:pPr>
              <w:spacing w:beforeLines="60" w:before="144" w:afterLines="60" w:after="144"/>
              <w:rPr>
                <w:rFonts w:ascii="Trebuchet MS" w:hAnsi="Trebuchet MS"/>
                <w:sz w:val="20"/>
                <w:szCs w:val="20"/>
              </w:rPr>
            </w:pPr>
          </w:p>
        </w:tc>
        <w:tc>
          <w:tcPr>
            <w:tcW w:w="3336" w:type="pct"/>
            <w:vMerge/>
          </w:tcPr>
          <w:p w14:paraId="1228D7AF" w14:textId="77777777" w:rsidR="003439DB" w:rsidRPr="004206C7" w:rsidRDefault="003439DB">
            <w:pPr>
              <w:spacing w:beforeLines="60" w:before="144" w:afterLines="60" w:after="144"/>
              <w:ind w:left="30"/>
              <w:rPr>
                <w:rFonts w:ascii="Trebuchet MS" w:hAnsi="Trebuchet MS"/>
                <w:sz w:val="20"/>
                <w:szCs w:val="20"/>
              </w:rPr>
            </w:pPr>
          </w:p>
        </w:tc>
        <w:tc>
          <w:tcPr>
            <w:tcW w:w="546" w:type="pct"/>
            <w:gridSpan w:val="2"/>
          </w:tcPr>
          <w:p w14:paraId="43E7105E" w14:textId="77777777" w:rsidR="003439DB" w:rsidRPr="004206C7" w:rsidRDefault="003439DB">
            <w:pPr>
              <w:spacing w:beforeLines="60" w:before="144" w:afterLines="60" w:after="144"/>
              <w:rPr>
                <w:rFonts w:ascii="Trebuchet MS" w:hAnsi="Trebuchet MS"/>
                <w:sz w:val="20"/>
                <w:szCs w:val="20"/>
              </w:rPr>
            </w:pPr>
          </w:p>
        </w:tc>
        <w:tc>
          <w:tcPr>
            <w:tcW w:w="731" w:type="pct"/>
            <w:gridSpan w:val="2"/>
          </w:tcPr>
          <w:p w14:paraId="126BBE0B" w14:textId="77777777" w:rsidR="003439DB" w:rsidRPr="004206C7" w:rsidRDefault="003439DB">
            <w:pPr>
              <w:spacing w:beforeLines="60" w:before="144" w:afterLines="60" w:after="144"/>
              <w:rPr>
                <w:rFonts w:ascii="Trebuchet MS" w:hAnsi="Trebuchet MS"/>
                <w:sz w:val="20"/>
                <w:szCs w:val="20"/>
              </w:rPr>
            </w:pPr>
          </w:p>
        </w:tc>
      </w:tr>
      <w:tr w:rsidR="003439DB" w:rsidRPr="004206C7" w14:paraId="520F6B40" w14:textId="77777777" w:rsidTr="00671F98">
        <w:tc>
          <w:tcPr>
            <w:tcW w:w="5000" w:type="pct"/>
            <w:gridSpan w:val="6"/>
            <w:vAlign w:val="bottom"/>
          </w:tcPr>
          <w:p w14:paraId="135F821E" w14:textId="6D2F0909" w:rsidR="00380F3E" w:rsidRPr="0030341B" w:rsidRDefault="004463D1" w:rsidP="0030341B">
            <w:pPr>
              <w:spacing w:beforeLines="60" w:before="144" w:afterLines="60" w:after="144"/>
              <w:rPr>
                <w:color w:val="FF0000"/>
              </w:rPr>
            </w:pPr>
            <w:r w:rsidRPr="00661FC7">
              <w:rPr>
                <w:b/>
                <w:color w:val="FF0000"/>
              </w:rPr>
              <w:t xml:space="preserve">Tips: </w:t>
            </w:r>
            <w:r w:rsidRPr="00661FC7">
              <w:rPr>
                <w:color w:val="FF0000"/>
              </w:rPr>
              <w:t>Ensure milk is accurately counted and recorded at the point of sale. The milk counts by category (pricing with fre</w:t>
            </w:r>
            <w:r>
              <w:rPr>
                <w:color w:val="FF0000"/>
              </w:rPr>
              <w:t>e only) do not vary unreasonably</w:t>
            </w:r>
            <w:r w:rsidRPr="00661FC7">
              <w:rPr>
                <w:color w:val="FF0000"/>
              </w:rPr>
              <w:t xml:space="preserve"> in comparison to the previous five days of the day of review.</w:t>
            </w:r>
          </w:p>
        </w:tc>
      </w:tr>
      <w:tr w:rsidR="003439DB" w:rsidRPr="004206C7" w14:paraId="21AD9795" w14:textId="77777777" w:rsidTr="00671F98">
        <w:trPr>
          <w:trHeight w:val="521"/>
        </w:trPr>
        <w:tc>
          <w:tcPr>
            <w:tcW w:w="387" w:type="pct"/>
            <w:vMerge w:val="restart"/>
            <w:shd w:val="pct15" w:color="auto" w:fill="auto"/>
          </w:tcPr>
          <w:p w14:paraId="3492697E" w14:textId="184A5DB6" w:rsidR="003439DB" w:rsidRPr="004206C7" w:rsidRDefault="004463D1" w:rsidP="00C81604">
            <w:pPr>
              <w:spacing w:beforeLines="60" w:before="144" w:afterLines="60" w:after="144"/>
              <w:rPr>
                <w:rFonts w:ascii="Trebuchet MS" w:hAnsi="Trebuchet MS"/>
                <w:sz w:val="24"/>
                <w:szCs w:val="24"/>
              </w:rPr>
            </w:pPr>
            <w:r>
              <w:rPr>
                <w:rFonts w:ascii="Trebuchet MS" w:hAnsi="Trebuchet MS"/>
                <w:sz w:val="24"/>
                <w:szCs w:val="24"/>
              </w:rPr>
              <w:lastRenderedPageBreak/>
              <w:t>200</w:t>
            </w:r>
            <w:r w:rsidR="00D0746C" w:rsidRPr="004206C7">
              <w:rPr>
                <w:rFonts w:ascii="Trebuchet MS" w:hAnsi="Trebuchet MS"/>
                <w:sz w:val="24"/>
                <w:szCs w:val="24"/>
              </w:rPr>
              <w:t>4</w:t>
            </w:r>
          </w:p>
        </w:tc>
        <w:tc>
          <w:tcPr>
            <w:tcW w:w="3336" w:type="pct"/>
            <w:vMerge w:val="restart"/>
          </w:tcPr>
          <w:p w14:paraId="6FE5C82F" w14:textId="77777777" w:rsidR="003439DB" w:rsidRPr="004206C7" w:rsidRDefault="003439DB" w:rsidP="003F261D">
            <w:pPr>
              <w:spacing w:beforeLines="60" w:before="144" w:afterLines="60" w:after="144"/>
              <w:rPr>
                <w:rFonts w:ascii="Trebuchet MS" w:eastAsia="Times New Roman" w:hAnsi="Trebuchet MS" w:cs="Times New Roman"/>
                <w:sz w:val="24"/>
                <w:szCs w:val="24"/>
              </w:rPr>
            </w:pPr>
            <w:r w:rsidRPr="004206C7">
              <w:rPr>
                <w:rFonts w:ascii="Trebuchet MS" w:eastAsia="Times New Roman" w:hAnsi="Trebuchet MS" w:cs="Times New Roman"/>
                <w:sz w:val="24"/>
                <w:szCs w:val="24"/>
              </w:rPr>
              <w:t>Does the SFA properly retain all Special Milk Program records for 3 years after the final claim for reimbursement for the fiscal year or until resolution of any audits?</w:t>
            </w:r>
          </w:p>
          <w:p w14:paraId="5D3DA2DE" w14:textId="77777777" w:rsidR="00941145" w:rsidRPr="004206C7" w:rsidRDefault="00941145">
            <w:pPr>
              <w:spacing w:beforeLines="60" w:before="144" w:afterLines="60" w:after="144"/>
              <w:rPr>
                <w:rFonts w:ascii="Trebuchet MS" w:hAnsi="Trebuchet MS"/>
                <w:sz w:val="24"/>
                <w:szCs w:val="24"/>
              </w:rPr>
            </w:pPr>
            <w:r w:rsidRPr="004206C7">
              <w:rPr>
                <w:rFonts w:ascii="Trebuchet MS" w:hAnsi="Trebuchet MS"/>
                <w:sz w:val="24"/>
                <w:szCs w:val="24"/>
              </w:rPr>
              <w:t xml:space="preserve">If NO, explain. </w:t>
            </w:r>
          </w:p>
        </w:tc>
        <w:tc>
          <w:tcPr>
            <w:tcW w:w="546" w:type="pct"/>
            <w:gridSpan w:val="2"/>
            <w:shd w:val="pct12" w:color="auto" w:fill="auto"/>
            <w:vAlign w:val="bottom"/>
          </w:tcPr>
          <w:p w14:paraId="209DF8CA" w14:textId="77777777" w:rsidR="003439DB" w:rsidRPr="004206C7" w:rsidRDefault="003439DB">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731" w:type="pct"/>
            <w:gridSpan w:val="2"/>
            <w:shd w:val="pct12" w:color="auto" w:fill="auto"/>
            <w:vAlign w:val="bottom"/>
          </w:tcPr>
          <w:p w14:paraId="675E2490" w14:textId="77777777" w:rsidR="003439DB" w:rsidRPr="004206C7" w:rsidRDefault="003439DB">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r>
      <w:tr w:rsidR="003439DB" w:rsidRPr="004206C7" w14:paraId="36589618" w14:textId="77777777" w:rsidTr="00671F98">
        <w:trPr>
          <w:trHeight w:val="620"/>
        </w:trPr>
        <w:tc>
          <w:tcPr>
            <w:tcW w:w="387" w:type="pct"/>
            <w:vMerge/>
            <w:shd w:val="pct15" w:color="auto" w:fill="auto"/>
          </w:tcPr>
          <w:p w14:paraId="1B9CFEDB" w14:textId="77777777" w:rsidR="003439DB" w:rsidRPr="004206C7" w:rsidRDefault="003439DB">
            <w:pPr>
              <w:spacing w:beforeLines="60" w:before="144" w:afterLines="60" w:after="144"/>
              <w:rPr>
                <w:rFonts w:ascii="Trebuchet MS" w:hAnsi="Trebuchet MS"/>
                <w:sz w:val="20"/>
                <w:szCs w:val="20"/>
              </w:rPr>
            </w:pPr>
          </w:p>
        </w:tc>
        <w:tc>
          <w:tcPr>
            <w:tcW w:w="3336" w:type="pct"/>
            <w:vMerge/>
          </w:tcPr>
          <w:p w14:paraId="70E9D539" w14:textId="77777777" w:rsidR="003439DB" w:rsidRPr="004206C7" w:rsidRDefault="003439DB">
            <w:pPr>
              <w:spacing w:beforeLines="60" w:before="144" w:afterLines="60" w:after="144"/>
              <w:ind w:left="30"/>
              <w:rPr>
                <w:rFonts w:ascii="Trebuchet MS" w:hAnsi="Trebuchet MS"/>
                <w:sz w:val="20"/>
                <w:szCs w:val="20"/>
              </w:rPr>
            </w:pPr>
          </w:p>
        </w:tc>
        <w:tc>
          <w:tcPr>
            <w:tcW w:w="546" w:type="pct"/>
            <w:gridSpan w:val="2"/>
          </w:tcPr>
          <w:p w14:paraId="55A5D85A" w14:textId="77777777" w:rsidR="003439DB" w:rsidRPr="004206C7" w:rsidRDefault="003439DB">
            <w:pPr>
              <w:spacing w:beforeLines="60" w:before="144" w:afterLines="60" w:after="144"/>
              <w:rPr>
                <w:rFonts w:ascii="Trebuchet MS" w:hAnsi="Trebuchet MS"/>
                <w:sz w:val="20"/>
                <w:szCs w:val="20"/>
              </w:rPr>
            </w:pPr>
          </w:p>
        </w:tc>
        <w:tc>
          <w:tcPr>
            <w:tcW w:w="731" w:type="pct"/>
            <w:gridSpan w:val="2"/>
          </w:tcPr>
          <w:p w14:paraId="5669DD38" w14:textId="77777777" w:rsidR="003439DB" w:rsidRPr="004206C7" w:rsidRDefault="003439DB">
            <w:pPr>
              <w:spacing w:beforeLines="60" w:before="144" w:afterLines="60" w:after="144"/>
              <w:rPr>
                <w:rFonts w:ascii="Trebuchet MS" w:hAnsi="Trebuchet MS"/>
                <w:sz w:val="20"/>
                <w:szCs w:val="20"/>
              </w:rPr>
            </w:pPr>
          </w:p>
        </w:tc>
      </w:tr>
      <w:tr w:rsidR="003439DB" w:rsidRPr="004206C7" w14:paraId="189A30F6" w14:textId="77777777" w:rsidTr="00671F98">
        <w:tc>
          <w:tcPr>
            <w:tcW w:w="5000" w:type="pct"/>
            <w:gridSpan w:val="6"/>
            <w:vAlign w:val="bottom"/>
          </w:tcPr>
          <w:p w14:paraId="44DACA93" w14:textId="43576D32" w:rsidR="00211CDE" w:rsidRPr="0030341B" w:rsidRDefault="004463D1" w:rsidP="0030341B">
            <w:pPr>
              <w:spacing w:beforeLines="60" w:before="144" w:afterLines="60" w:after="144"/>
              <w:rPr>
                <w:color w:val="FF0000"/>
              </w:rPr>
            </w:pPr>
            <w:r w:rsidRPr="00661FC7">
              <w:rPr>
                <w:b/>
                <w:color w:val="FF0000"/>
              </w:rPr>
              <w:t xml:space="preserve">Tips: </w:t>
            </w:r>
            <w:r w:rsidRPr="00661FC7">
              <w:rPr>
                <w:rFonts w:eastAsia="Times New Roman" w:cs="Times New Roman"/>
                <w:color w:val="FF0000"/>
              </w:rPr>
              <w:t>All appropriate program records must be kept on file for 3 years after the final claim for reimbursement for the fiscal year or until resolution of any audits. Certification documentation for the state of Colorado must be kept for five years after the date of certification or until audited.</w:t>
            </w:r>
          </w:p>
        </w:tc>
      </w:tr>
      <w:tr w:rsidR="00391F2E" w:rsidRPr="004206C7" w14:paraId="50BD313B" w14:textId="77777777" w:rsidTr="00671F98">
        <w:trPr>
          <w:trHeight w:val="503"/>
        </w:trPr>
        <w:tc>
          <w:tcPr>
            <w:tcW w:w="5000" w:type="pct"/>
            <w:gridSpan w:val="6"/>
            <w:shd w:val="clear" w:color="auto" w:fill="D9D9D9" w:themeFill="background1" w:themeFillShade="D9"/>
          </w:tcPr>
          <w:p w14:paraId="6E5512C0" w14:textId="77777777" w:rsidR="00391F2E" w:rsidRPr="004206C7" w:rsidRDefault="00391F2E" w:rsidP="00C81604">
            <w:pPr>
              <w:spacing w:beforeLines="60" w:before="144" w:afterLines="60" w:after="144"/>
              <w:jc w:val="center"/>
              <w:rPr>
                <w:rFonts w:ascii="Trebuchet MS" w:hAnsi="Trebuchet MS"/>
                <w:b/>
                <w:sz w:val="20"/>
                <w:szCs w:val="20"/>
              </w:rPr>
            </w:pPr>
            <w:r w:rsidRPr="004206C7">
              <w:rPr>
                <w:rFonts w:ascii="Trebuchet MS" w:hAnsi="Trebuchet MS"/>
                <w:b/>
                <w:sz w:val="20"/>
                <w:szCs w:val="20"/>
              </w:rPr>
              <w:t xml:space="preserve">                                                          On-Site Observation Only                                               [  ]N/A</w:t>
            </w:r>
          </w:p>
        </w:tc>
      </w:tr>
      <w:tr w:rsidR="00391F2E" w:rsidRPr="004206C7" w14:paraId="3720B5FA" w14:textId="77777777" w:rsidTr="00671F98">
        <w:trPr>
          <w:trHeight w:val="521"/>
        </w:trPr>
        <w:tc>
          <w:tcPr>
            <w:tcW w:w="387" w:type="pct"/>
            <w:vMerge w:val="restart"/>
            <w:shd w:val="clear" w:color="auto" w:fill="D9D9D9" w:themeFill="background1" w:themeFillShade="D9"/>
          </w:tcPr>
          <w:p w14:paraId="05168A6A" w14:textId="77F9D120" w:rsidR="00391F2E" w:rsidRPr="004206C7" w:rsidRDefault="004463D1" w:rsidP="00C81604">
            <w:pPr>
              <w:spacing w:beforeLines="60" w:before="144" w:afterLines="60" w:after="144"/>
              <w:rPr>
                <w:rFonts w:ascii="Trebuchet MS" w:hAnsi="Trebuchet MS"/>
                <w:sz w:val="24"/>
                <w:szCs w:val="24"/>
              </w:rPr>
            </w:pPr>
            <w:r>
              <w:rPr>
                <w:rFonts w:ascii="Trebuchet MS" w:hAnsi="Trebuchet MS"/>
                <w:sz w:val="24"/>
                <w:szCs w:val="24"/>
              </w:rPr>
              <w:t>200</w:t>
            </w:r>
            <w:r w:rsidR="00391F2E" w:rsidRPr="004206C7">
              <w:rPr>
                <w:rFonts w:ascii="Trebuchet MS" w:hAnsi="Trebuchet MS"/>
                <w:sz w:val="24"/>
                <w:szCs w:val="24"/>
              </w:rPr>
              <w:t>5</w:t>
            </w:r>
          </w:p>
        </w:tc>
        <w:tc>
          <w:tcPr>
            <w:tcW w:w="3336" w:type="pct"/>
            <w:vMerge w:val="restart"/>
          </w:tcPr>
          <w:p w14:paraId="4CC8C026" w14:textId="77777777" w:rsidR="00391F2E" w:rsidRPr="004206C7" w:rsidRDefault="00391F2E" w:rsidP="003F261D">
            <w:pPr>
              <w:spacing w:beforeLines="60" w:before="144" w:afterLines="60" w:after="144"/>
              <w:rPr>
                <w:rFonts w:ascii="Trebuchet MS" w:hAnsi="Trebuchet MS"/>
                <w:sz w:val="24"/>
                <w:szCs w:val="24"/>
              </w:rPr>
            </w:pPr>
            <w:r w:rsidRPr="004206C7">
              <w:rPr>
                <w:rFonts w:ascii="Trebuchet MS" w:hAnsi="Trebuchet MS"/>
                <w:sz w:val="24"/>
                <w:szCs w:val="24"/>
              </w:rPr>
              <w:t>Does the school count milk at the point-of-service?</w:t>
            </w:r>
          </w:p>
          <w:p w14:paraId="4C80621F" w14:textId="77777777" w:rsidR="00391F2E" w:rsidRPr="004206C7" w:rsidRDefault="00391F2E">
            <w:pPr>
              <w:spacing w:beforeLines="60" w:before="144" w:afterLines="60" w:after="144"/>
              <w:rPr>
                <w:rFonts w:ascii="Trebuchet MS" w:hAnsi="Trebuchet MS"/>
                <w:sz w:val="20"/>
                <w:szCs w:val="20"/>
              </w:rPr>
            </w:pPr>
            <w:r w:rsidRPr="004206C7">
              <w:rPr>
                <w:rFonts w:ascii="Trebuchet MS" w:hAnsi="Trebuchet MS"/>
                <w:sz w:val="24"/>
                <w:szCs w:val="24"/>
              </w:rPr>
              <w:t>If NO, explain.</w:t>
            </w:r>
            <w:r w:rsidRPr="004206C7">
              <w:rPr>
                <w:rFonts w:ascii="Trebuchet MS" w:hAnsi="Trebuchet MS"/>
                <w:sz w:val="20"/>
                <w:szCs w:val="20"/>
              </w:rPr>
              <w:t xml:space="preserve"> </w:t>
            </w:r>
          </w:p>
          <w:p w14:paraId="744123D0" w14:textId="77777777" w:rsidR="00B42171" w:rsidRPr="004206C7" w:rsidRDefault="00B42171" w:rsidP="000362A4">
            <w:pPr>
              <w:spacing w:beforeLines="60" w:before="144" w:afterLines="60" w:after="144"/>
              <w:rPr>
                <w:rFonts w:ascii="Trebuchet MS" w:hAnsi="Trebuchet MS"/>
                <w:sz w:val="24"/>
                <w:szCs w:val="24"/>
              </w:rPr>
            </w:pPr>
            <w:r w:rsidRPr="004206C7">
              <w:rPr>
                <w:rFonts w:ascii="Trebuchet MS" w:hAnsi="Trebuchet MS"/>
                <w:sz w:val="24"/>
                <w:szCs w:val="24"/>
              </w:rPr>
              <w:t>Record ineligible milks claimed for reimbursement on S-</w:t>
            </w:r>
            <w:r w:rsidR="00BF54F4" w:rsidRPr="004206C7">
              <w:rPr>
                <w:rFonts w:ascii="Trebuchet MS" w:hAnsi="Trebuchet MS"/>
                <w:sz w:val="24"/>
                <w:szCs w:val="24"/>
              </w:rPr>
              <w:t>1</w:t>
            </w:r>
            <w:r w:rsidR="00B03746" w:rsidRPr="004206C7">
              <w:rPr>
                <w:rFonts w:ascii="Trebuchet MS" w:hAnsi="Trebuchet MS"/>
                <w:sz w:val="24"/>
                <w:szCs w:val="24"/>
              </w:rPr>
              <w:t>,</w:t>
            </w:r>
            <w:r w:rsidR="00BF54F4" w:rsidRPr="004206C7">
              <w:rPr>
                <w:rFonts w:ascii="Trebuchet MS" w:hAnsi="Trebuchet MS"/>
                <w:sz w:val="24"/>
                <w:szCs w:val="24"/>
              </w:rPr>
              <w:t xml:space="preserve"> line 25</w:t>
            </w:r>
            <w:r w:rsidRPr="004206C7">
              <w:rPr>
                <w:rFonts w:ascii="Trebuchet MS" w:hAnsi="Trebuchet MS"/>
                <w:sz w:val="24"/>
                <w:szCs w:val="24"/>
              </w:rPr>
              <w:t>.</w:t>
            </w:r>
          </w:p>
        </w:tc>
        <w:tc>
          <w:tcPr>
            <w:tcW w:w="546" w:type="pct"/>
            <w:gridSpan w:val="2"/>
            <w:shd w:val="pct12" w:color="auto" w:fill="auto"/>
            <w:vAlign w:val="bottom"/>
          </w:tcPr>
          <w:p w14:paraId="0207D9A1" w14:textId="77777777" w:rsidR="00391F2E" w:rsidRPr="004206C7" w:rsidRDefault="00391F2E">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731" w:type="pct"/>
            <w:gridSpan w:val="2"/>
            <w:shd w:val="pct12" w:color="auto" w:fill="auto"/>
            <w:vAlign w:val="bottom"/>
          </w:tcPr>
          <w:p w14:paraId="02349ABB" w14:textId="77777777" w:rsidR="00391F2E" w:rsidRPr="004206C7" w:rsidRDefault="00391F2E">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r>
      <w:tr w:rsidR="00391F2E" w:rsidRPr="004206C7" w14:paraId="674FCE90" w14:textId="77777777" w:rsidTr="00671F98">
        <w:trPr>
          <w:trHeight w:val="620"/>
        </w:trPr>
        <w:tc>
          <w:tcPr>
            <w:tcW w:w="387" w:type="pct"/>
            <w:vMerge/>
            <w:shd w:val="clear" w:color="auto" w:fill="D9D9D9" w:themeFill="background1" w:themeFillShade="D9"/>
          </w:tcPr>
          <w:p w14:paraId="7CF21194" w14:textId="77777777" w:rsidR="00391F2E" w:rsidRPr="004206C7" w:rsidRDefault="00391F2E">
            <w:pPr>
              <w:spacing w:beforeLines="60" w:before="144" w:afterLines="60" w:after="144"/>
              <w:rPr>
                <w:rFonts w:ascii="Trebuchet MS" w:hAnsi="Trebuchet MS"/>
                <w:sz w:val="20"/>
                <w:szCs w:val="20"/>
              </w:rPr>
            </w:pPr>
          </w:p>
        </w:tc>
        <w:tc>
          <w:tcPr>
            <w:tcW w:w="3336" w:type="pct"/>
            <w:vMerge/>
          </w:tcPr>
          <w:p w14:paraId="6D994430" w14:textId="77777777" w:rsidR="00391F2E" w:rsidRPr="004206C7" w:rsidRDefault="00391F2E">
            <w:pPr>
              <w:spacing w:beforeLines="60" w:before="144" w:afterLines="60" w:after="144"/>
              <w:ind w:left="30"/>
              <w:rPr>
                <w:rFonts w:ascii="Trebuchet MS" w:hAnsi="Trebuchet MS"/>
                <w:sz w:val="20"/>
                <w:szCs w:val="20"/>
              </w:rPr>
            </w:pPr>
          </w:p>
        </w:tc>
        <w:tc>
          <w:tcPr>
            <w:tcW w:w="546" w:type="pct"/>
            <w:gridSpan w:val="2"/>
          </w:tcPr>
          <w:p w14:paraId="2BD9D528" w14:textId="77777777" w:rsidR="00391F2E" w:rsidRPr="004206C7" w:rsidRDefault="00391F2E">
            <w:pPr>
              <w:spacing w:beforeLines="60" w:before="144" w:afterLines="60" w:after="144"/>
              <w:rPr>
                <w:rFonts w:ascii="Trebuchet MS" w:hAnsi="Trebuchet MS"/>
                <w:sz w:val="20"/>
                <w:szCs w:val="20"/>
              </w:rPr>
            </w:pPr>
          </w:p>
        </w:tc>
        <w:tc>
          <w:tcPr>
            <w:tcW w:w="731" w:type="pct"/>
            <w:gridSpan w:val="2"/>
          </w:tcPr>
          <w:p w14:paraId="5ED332C6" w14:textId="77777777" w:rsidR="00391F2E" w:rsidRPr="004206C7" w:rsidRDefault="00391F2E">
            <w:pPr>
              <w:spacing w:beforeLines="60" w:before="144" w:afterLines="60" w:after="144"/>
              <w:rPr>
                <w:rFonts w:ascii="Trebuchet MS" w:hAnsi="Trebuchet MS"/>
                <w:sz w:val="20"/>
                <w:szCs w:val="20"/>
              </w:rPr>
            </w:pPr>
          </w:p>
        </w:tc>
      </w:tr>
      <w:tr w:rsidR="00391F2E" w:rsidRPr="004206C7" w14:paraId="72748D71" w14:textId="77777777" w:rsidTr="00671F98">
        <w:tc>
          <w:tcPr>
            <w:tcW w:w="5000" w:type="pct"/>
            <w:gridSpan w:val="6"/>
          </w:tcPr>
          <w:p w14:paraId="35009583" w14:textId="0748BE2C" w:rsidR="00391F2E" w:rsidRPr="0030341B" w:rsidRDefault="004463D1" w:rsidP="0030341B">
            <w:pPr>
              <w:rPr>
                <w:color w:val="FF0000"/>
              </w:rPr>
            </w:pPr>
            <w:r w:rsidRPr="00661FC7">
              <w:rPr>
                <w:b/>
                <w:color w:val="FF0000"/>
              </w:rPr>
              <w:t>Tips:</w:t>
            </w:r>
            <w:r w:rsidRPr="00661FC7">
              <w:rPr>
                <w:color w:val="FF0000"/>
              </w:rPr>
              <w:t xml:space="preserve"> Milk counts should be taken at the point-of-service. Ensure milk counts are recorded correctly and/ or a milk inventory form filled out daily. All students must be accounted for at the point of service if the SMP is to be counted for reimbursement. Student SMP participation must be counted and recorded daily.</w:t>
            </w:r>
          </w:p>
        </w:tc>
      </w:tr>
      <w:tr w:rsidR="00391F2E" w:rsidRPr="004206C7" w14:paraId="1EB15D78" w14:textId="77777777" w:rsidTr="00671F98">
        <w:trPr>
          <w:trHeight w:val="521"/>
        </w:trPr>
        <w:tc>
          <w:tcPr>
            <w:tcW w:w="387" w:type="pct"/>
            <w:vMerge w:val="restart"/>
            <w:shd w:val="clear" w:color="auto" w:fill="D9D9D9" w:themeFill="background1" w:themeFillShade="D9"/>
          </w:tcPr>
          <w:p w14:paraId="7C63137F" w14:textId="45D8B9CD" w:rsidR="00391F2E" w:rsidRPr="004206C7" w:rsidRDefault="004463D1" w:rsidP="00C81604">
            <w:pPr>
              <w:spacing w:beforeLines="60" w:before="144" w:afterLines="60" w:after="144"/>
              <w:rPr>
                <w:rFonts w:ascii="Trebuchet MS" w:hAnsi="Trebuchet MS"/>
                <w:sz w:val="24"/>
                <w:szCs w:val="24"/>
              </w:rPr>
            </w:pPr>
            <w:r>
              <w:rPr>
                <w:rFonts w:ascii="Trebuchet MS" w:hAnsi="Trebuchet MS"/>
                <w:sz w:val="24"/>
                <w:szCs w:val="24"/>
              </w:rPr>
              <w:t>200</w:t>
            </w:r>
            <w:r w:rsidR="00391F2E" w:rsidRPr="004206C7">
              <w:rPr>
                <w:rFonts w:ascii="Trebuchet MS" w:hAnsi="Trebuchet MS"/>
                <w:sz w:val="24"/>
                <w:szCs w:val="24"/>
              </w:rPr>
              <w:t>6</w:t>
            </w:r>
          </w:p>
        </w:tc>
        <w:tc>
          <w:tcPr>
            <w:tcW w:w="3336" w:type="pct"/>
            <w:vMerge w:val="restart"/>
          </w:tcPr>
          <w:p w14:paraId="7FEFDB41" w14:textId="77777777" w:rsidR="00391F2E" w:rsidRPr="004206C7" w:rsidRDefault="00391F2E" w:rsidP="00391F2E">
            <w:pPr>
              <w:pStyle w:val="Default"/>
              <w:spacing w:before="60" w:after="60"/>
              <w:rPr>
                <w:rFonts w:ascii="Trebuchet MS" w:hAnsi="Trebuchet MS" w:cs="Times New Roman"/>
              </w:rPr>
            </w:pPr>
            <w:r w:rsidRPr="004206C7">
              <w:rPr>
                <w:rFonts w:ascii="Trebuchet MS" w:hAnsi="Trebuchet MS"/>
              </w:rPr>
              <w:t>a. Are milk counts for the previous five days reasonable compared to the milk count for the day of review</w:t>
            </w:r>
            <w:r w:rsidRPr="004206C7">
              <w:rPr>
                <w:rFonts w:ascii="Trebuchet MS" w:hAnsi="Trebuchet MS" w:cs="Times New Roman"/>
              </w:rPr>
              <w:t>?</w:t>
            </w:r>
          </w:p>
          <w:p w14:paraId="2FBB5103" w14:textId="77777777" w:rsidR="00391F2E" w:rsidRPr="004206C7" w:rsidRDefault="00391F2E" w:rsidP="00391F2E">
            <w:pPr>
              <w:spacing w:before="60" w:after="60"/>
              <w:rPr>
                <w:rFonts w:ascii="Trebuchet MS" w:hAnsi="Trebuchet MS" w:cs="Calibri"/>
                <w:bCs/>
                <w:sz w:val="24"/>
                <w:szCs w:val="24"/>
              </w:rPr>
            </w:pPr>
            <w:r w:rsidRPr="004206C7">
              <w:rPr>
                <w:rFonts w:ascii="Trebuchet MS" w:hAnsi="Trebuchet MS" w:cs="Calibri"/>
                <w:bCs/>
                <w:sz w:val="24"/>
                <w:szCs w:val="24"/>
              </w:rPr>
              <w:t>b. If NO, obtain the school’s explanation and record in the Comments section.</w:t>
            </w:r>
          </w:p>
          <w:p w14:paraId="401FB86E" w14:textId="77777777" w:rsidR="00391F2E" w:rsidRPr="004206C7" w:rsidRDefault="00391F2E" w:rsidP="00391F2E">
            <w:pPr>
              <w:spacing w:before="60" w:after="60"/>
              <w:rPr>
                <w:rFonts w:ascii="Trebuchet MS" w:hAnsi="Trebuchet MS"/>
                <w:bCs/>
                <w:sz w:val="24"/>
                <w:szCs w:val="24"/>
              </w:rPr>
            </w:pPr>
            <w:r w:rsidRPr="004206C7">
              <w:rPr>
                <w:rFonts w:ascii="Trebuchet MS" w:hAnsi="Trebuchet MS" w:cs="Calibri"/>
                <w:bCs/>
                <w:sz w:val="24"/>
                <w:szCs w:val="24"/>
              </w:rPr>
              <w:t xml:space="preserve">c. </w:t>
            </w:r>
            <w:r w:rsidRPr="004206C7">
              <w:rPr>
                <w:rFonts w:ascii="Trebuchet MS" w:hAnsi="Trebuchet MS"/>
                <w:bCs/>
                <w:sz w:val="24"/>
                <w:szCs w:val="24"/>
              </w:rPr>
              <w:t>Does the explanation describe an acceptable meal count system?</w:t>
            </w:r>
          </w:p>
          <w:p w14:paraId="1BF333B9" w14:textId="77777777" w:rsidR="00B42171" w:rsidRPr="004206C7" w:rsidRDefault="00391F2E" w:rsidP="00734AEC">
            <w:pPr>
              <w:rPr>
                <w:rFonts w:ascii="Trebuchet MS" w:hAnsi="Trebuchet MS"/>
                <w:bCs/>
                <w:sz w:val="24"/>
                <w:szCs w:val="24"/>
              </w:rPr>
            </w:pPr>
            <w:r w:rsidRPr="004206C7">
              <w:rPr>
                <w:rFonts w:ascii="Trebuchet MS" w:hAnsi="Trebuchet MS"/>
                <w:bCs/>
                <w:sz w:val="24"/>
                <w:szCs w:val="24"/>
              </w:rPr>
              <w:t>d. If NO, explain</w:t>
            </w:r>
            <w:r w:rsidR="00734AEC" w:rsidRPr="004206C7">
              <w:rPr>
                <w:rFonts w:ascii="Trebuchet MS" w:hAnsi="Trebuchet MS"/>
                <w:bCs/>
                <w:sz w:val="24"/>
                <w:szCs w:val="24"/>
              </w:rPr>
              <w:t xml:space="preserve">. </w:t>
            </w:r>
          </w:p>
          <w:p w14:paraId="5C13F8ED" w14:textId="77777777" w:rsidR="00B42171" w:rsidRPr="004206C7" w:rsidRDefault="00B42171" w:rsidP="00734AEC">
            <w:pPr>
              <w:rPr>
                <w:rFonts w:ascii="Trebuchet MS" w:hAnsi="Trebuchet MS"/>
                <w:bCs/>
                <w:sz w:val="24"/>
                <w:szCs w:val="24"/>
              </w:rPr>
            </w:pPr>
          </w:p>
          <w:p w14:paraId="05418932" w14:textId="77777777" w:rsidR="00B42171" w:rsidRPr="004206C7" w:rsidRDefault="00734AEC" w:rsidP="00734AEC">
            <w:pPr>
              <w:rPr>
                <w:rFonts w:ascii="Trebuchet MS" w:hAnsi="Trebuchet MS"/>
                <w:bCs/>
                <w:sz w:val="24"/>
                <w:szCs w:val="24"/>
              </w:rPr>
            </w:pPr>
            <w:r w:rsidRPr="004206C7">
              <w:rPr>
                <w:rFonts w:ascii="Trebuchet MS" w:hAnsi="Trebuchet MS"/>
                <w:bCs/>
                <w:sz w:val="24"/>
                <w:szCs w:val="24"/>
              </w:rPr>
              <w:t xml:space="preserve">Record ineligible milks claimed for reimbursement </w:t>
            </w:r>
            <w:r w:rsidR="00B42171" w:rsidRPr="004206C7">
              <w:rPr>
                <w:rFonts w:ascii="Trebuchet MS" w:hAnsi="Trebuchet MS"/>
                <w:bCs/>
                <w:sz w:val="24"/>
                <w:szCs w:val="24"/>
              </w:rPr>
              <w:t>on</w:t>
            </w:r>
            <w:r w:rsidRPr="004206C7">
              <w:rPr>
                <w:rFonts w:ascii="Trebuchet MS" w:hAnsi="Trebuchet MS"/>
                <w:bCs/>
                <w:sz w:val="24"/>
                <w:szCs w:val="24"/>
              </w:rPr>
              <w:t xml:space="preserve"> S-</w:t>
            </w:r>
            <w:r w:rsidR="00BF54F4" w:rsidRPr="004206C7">
              <w:rPr>
                <w:rFonts w:ascii="Trebuchet MS" w:hAnsi="Trebuchet MS"/>
                <w:bCs/>
                <w:sz w:val="24"/>
                <w:szCs w:val="24"/>
              </w:rPr>
              <w:t>1</w:t>
            </w:r>
            <w:r w:rsidR="00B03746" w:rsidRPr="004206C7">
              <w:rPr>
                <w:rFonts w:ascii="Trebuchet MS" w:hAnsi="Trebuchet MS"/>
                <w:bCs/>
                <w:sz w:val="24"/>
                <w:szCs w:val="24"/>
              </w:rPr>
              <w:t>,</w:t>
            </w:r>
            <w:r w:rsidR="00BF54F4" w:rsidRPr="004206C7">
              <w:rPr>
                <w:rFonts w:ascii="Trebuchet MS" w:hAnsi="Trebuchet MS"/>
                <w:bCs/>
                <w:sz w:val="24"/>
                <w:szCs w:val="24"/>
              </w:rPr>
              <w:t xml:space="preserve"> line 25</w:t>
            </w:r>
            <w:r w:rsidRPr="004206C7">
              <w:rPr>
                <w:rFonts w:ascii="Trebuchet MS" w:hAnsi="Trebuchet MS"/>
                <w:bCs/>
                <w:sz w:val="24"/>
                <w:szCs w:val="24"/>
              </w:rPr>
              <w:t xml:space="preserve">. </w:t>
            </w:r>
          </w:p>
          <w:p w14:paraId="3E39089F" w14:textId="77777777" w:rsidR="00391F2E" w:rsidRPr="004206C7" w:rsidRDefault="00391F2E" w:rsidP="00734AEC">
            <w:pPr>
              <w:rPr>
                <w:rFonts w:ascii="Trebuchet MS" w:hAnsi="Trebuchet MS"/>
                <w:sz w:val="20"/>
                <w:szCs w:val="20"/>
              </w:rPr>
            </w:pPr>
            <w:r w:rsidRPr="004206C7">
              <w:rPr>
                <w:rFonts w:ascii="Trebuchet MS" w:hAnsi="Trebuchet MS"/>
                <w:bCs/>
                <w:sz w:val="20"/>
                <w:szCs w:val="20"/>
              </w:rPr>
              <w:t xml:space="preserve"> </w:t>
            </w:r>
          </w:p>
        </w:tc>
        <w:tc>
          <w:tcPr>
            <w:tcW w:w="546" w:type="pct"/>
            <w:gridSpan w:val="2"/>
            <w:shd w:val="pct12" w:color="auto" w:fill="auto"/>
            <w:vAlign w:val="bottom"/>
          </w:tcPr>
          <w:p w14:paraId="2D0CA437" w14:textId="77777777" w:rsidR="00391F2E" w:rsidRPr="004206C7" w:rsidRDefault="00391F2E" w:rsidP="00C81604">
            <w:pPr>
              <w:spacing w:beforeLines="60" w:before="144" w:afterLines="60" w:after="144"/>
              <w:jc w:val="center"/>
              <w:rPr>
                <w:rFonts w:ascii="Trebuchet MS" w:hAnsi="Trebuchet MS"/>
                <w:b/>
                <w:sz w:val="20"/>
                <w:szCs w:val="20"/>
              </w:rPr>
            </w:pPr>
            <w:r w:rsidRPr="004206C7">
              <w:rPr>
                <w:rFonts w:ascii="Trebuchet MS" w:hAnsi="Trebuchet MS"/>
                <w:b/>
                <w:sz w:val="20"/>
                <w:szCs w:val="20"/>
              </w:rPr>
              <w:t>YES</w:t>
            </w:r>
          </w:p>
        </w:tc>
        <w:tc>
          <w:tcPr>
            <w:tcW w:w="731" w:type="pct"/>
            <w:gridSpan w:val="2"/>
            <w:shd w:val="pct12" w:color="auto" w:fill="auto"/>
            <w:vAlign w:val="bottom"/>
          </w:tcPr>
          <w:p w14:paraId="59048D66" w14:textId="77777777" w:rsidR="00391F2E" w:rsidRPr="004206C7" w:rsidRDefault="00391F2E" w:rsidP="003F261D">
            <w:pPr>
              <w:spacing w:beforeLines="60" w:before="144" w:afterLines="60" w:after="144"/>
              <w:jc w:val="center"/>
              <w:rPr>
                <w:rFonts w:ascii="Trebuchet MS" w:hAnsi="Trebuchet MS"/>
                <w:b/>
                <w:sz w:val="20"/>
                <w:szCs w:val="20"/>
              </w:rPr>
            </w:pPr>
            <w:r w:rsidRPr="004206C7">
              <w:rPr>
                <w:rFonts w:ascii="Trebuchet MS" w:hAnsi="Trebuchet MS"/>
                <w:b/>
                <w:sz w:val="20"/>
                <w:szCs w:val="20"/>
              </w:rPr>
              <w:t>NO</w:t>
            </w:r>
          </w:p>
        </w:tc>
      </w:tr>
      <w:tr w:rsidR="00391F2E" w:rsidRPr="004206C7" w14:paraId="121690EB" w14:textId="77777777" w:rsidTr="00671F98">
        <w:trPr>
          <w:trHeight w:val="620"/>
        </w:trPr>
        <w:tc>
          <w:tcPr>
            <w:tcW w:w="387" w:type="pct"/>
            <w:vMerge/>
            <w:shd w:val="clear" w:color="auto" w:fill="D9D9D9" w:themeFill="background1" w:themeFillShade="D9"/>
          </w:tcPr>
          <w:p w14:paraId="155B8F26" w14:textId="77777777" w:rsidR="00391F2E" w:rsidRPr="004206C7" w:rsidRDefault="00391F2E">
            <w:pPr>
              <w:spacing w:beforeLines="60" w:before="144" w:afterLines="60" w:after="144"/>
              <w:rPr>
                <w:rFonts w:ascii="Trebuchet MS" w:hAnsi="Trebuchet MS"/>
                <w:sz w:val="20"/>
                <w:szCs w:val="20"/>
              </w:rPr>
            </w:pPr>
          </w:p>
        </w:tc>
        <w:tc>
          <w:tcPr>
            <w:tcW w:w="3336" w:type="pct"/>
            <w:vMerge/>
          </w:tcPr>
          <w:p w14:paraId="748F7460" w14:textId="77777777" w:rsidR="00391F2E" w:rsidRPr="004206C7" w:rsidRDefault="00391F2E">
            <w:pPr>
              <w:spacing w:beforeLines="60" w:before="144" w:afterLines="60" w:after="144"/>
              <w:ind w:left="30"/>
              <w:rPr>
                <w:rFonts w:ascii="Trebuchet MS" w:hAnsi="Trebuchet MS"/>
                <w:sz w:val="20"/>
                <w:szCs w:val="20"/>
              </w:rPr>
            </w:pPr>
          </w:p>
        </w:tc>
        <w:tc>
          <w:tcPr>
            <w:tcW w:w="546" w:type="pct"/>
            <w:gridSpan w:val="2"/>
          </w:tcPr>
          <w:p w14:paraId="3E708355" w14:textId="77777777" w:rsidR="00391F2E" w:rsidRPr="004206C7" w:rsidRDefault="00391F2E">
            <w:pPr>
              <w:spacing w:beforeLines="60" w:before="144" w:afterLines="60" w:after="144"/>
              <w:rPr>
                <w:rFonts w:ascii="Trebuchet MS" w:hAnsi="Trebuchet MS"/>
                <w:sz w:val="20"/>
                <w:szCs w:val="20"/>
              </w:rPr>
            </w:pPr>
          </w:p>
        </w:tc>
        <w:tc>
          <w:tcPr>
            <w:tcW w:w="731" w:type="pct"/>
            <w:gridSpan w:val="2"/>
          </w:tcPr>
          <w:p w14:paraId="7D6B227A" w14:textId="77777777" w:rsidR="00391F2E" w:rsidRPr="004206C7" w:rsidRDefault="00391F2E">
            <w:pPr>
              <w:spacing w:beforeLines="60" w:before="144" w:afterLines="60" w:after="144"/>
              <w:rPr>
                <w:rFonts w:ascii="Trebuchet MS" w:hAnsi="Trebuchet MS"/>
                <w:sz w:val="20"/>
                <w:szCs w:val="20"/>
              </w:rPr>
            </w:pPr>
          </w:p>
        </w:tc>
      </w:tr>
      <w:tr w:rsidR="00391F2E" w:rsidRPr="004206C7" w14:paraId="7E216435" w14:textId="77777777" w:rsidTr="00671F98">
        <w:tc>
          <w:tcPr>
            <w:tcW w:w="5000" w:type="pct"/>
            <w:gridSpan w:val="6"/>
          </w:tcPr>
          <w:p w14:paraId="5595EA5F" w14:textId="4F7D7B66" w:rsidR="004463D1" w:rsidRDefault="004463D1" w:rsidP="004463D1">
            <w:pPr>
              <w:rPr>
                <w:color w:val="FF0000"/>
              </w:rPr>
            </w:pPr>
            <w:r w:rsidRPr="00661FC7">
              <w:rPr>
                <w:b/>
                <w:color w:val="FF0000"/>
              </w:rPr>
              <w:t>Tips:</w:t>
            </w:r>
            <w:r w:rsidRPr="00661FC7">
              <w:rPr>
                <w:color w:val="FF0000"/>
              </w:rPr>
              <w:t xml:space="preserve"> Procedures shall be in place to ensure milk counts are taken daily, at the POS, and are accurate. If milk counts are not comparable, further explanation may be required, such as</w:t>
            </w:r>
            <w:r w:rsidR="002F39AB">
              <w:rPr>
                <w:color w:val="FF0000"/>
              </w:rPr>
              <w:t>:</w:t>
            </w:r>
            <w:r w:rsidRPr="00661FC7">
              <w:rPr>
                <w:color w:val="FF0000"/>
              </w:rPr>
              <w:t xml:space="preserve"> snow day, field day, testing, sports, field trip etc. </w:t>
            </w:r>
          </w:p>
          <w:p w14:paraId="734D22B0" w14:textId="77777777" w:rsidR="004463D1" w:rsidRDefault="004463D1" w:rsidP="004463D1">
            <w:pPr>
              <w:rPr>
                <w:color w:val="FF0000"/>
              </w:rPr>
            </w:pPr>
          </w:p>
          <w:p w14:paraId="7138B484" w14:textId="597B893B" w:rsidR="004463D1" w:rsidRPr="00CB73DE" w:rsidRDefault="004463D1" w:rsidP="004463D1">
            <w:pPr>
              <w:rPr>
                <w:color w:val="FF0000"/>
              </w:rPr>
            </w:pPr>
            <w:r>
              <w:rPr>
                <w:color w:val="FF0000"/>
              </w:rPr>
              <w:t>Milk m</w:t>
            </w:r>
            <w:r w:rsidRPr="00CB73DE">
              <w:rPr>
                <w:color w:val="FF0000"/>
              </w:rPr>
              <w:t>u</w:t>
            </w:r>
            <w:r>
              <w:rPr>
                <w:color w:val="FF0000"/>
              </w:rPr>
              <w:t>s</w:t>
            </w:r>
            <w:r w:rsidRPr="00CB73DE">
              <w:rPr>
                <w:color w:val="FF0000"/>
              </w:rPr>
              <w:t>t be: Fat-Free (skim) flavored, Fat–Free (skim) unflavored</w:t>
            </w:r>
            <w:r w:rsidR="00495012">
              <w:rPr>
                <w:color w:val="FF0000"/>
              </w:rPr>
              <w:t>/flavored</w:t>
            </w:r>
            <w:r w:rsidRPr="00CB73DE">
              <w:rPr>
                <w:color w:val="FF0000"/>
              </w:rPr>
              <w:t xml:space="preserve"> Low-fat (1%). </w:t>
            </w:r>
          </w:p>
          <w:p w14:paraId="066F7D2A" w14:textId="77777777" w:rsidR="00FC5166" w:rsidRPr="0030341B" w:rsidRDefault="00FC5166" w:rsidP="0030341B">
            <w:pPr>
              <w:rPr>
                <w:rFonts w:ascii="Trebuchet MS" w:eastAsia="Times New Roman" w:hAnsi="Trebuchet MS"/>
                <w:b/>
                <w:color w:val="FF0000"/>
              </w:rPr>
            </w:pPr>
          </w:p>
        </w:tc>
      </w:tr>
    </w:tbl>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7115"/>
        <w:gridCol w:w="695"/>
        <w:gridCol w:w="1113"/>
      </w:tblGrid>
      <w:tr w:rsidR="00D92789" w:rsidRPr="004206C7" w14:paraId="43DC79B7" w14:textId="77777777" w:rsidTr="008A13EF">
        <w:trPr>
          <w:trHeight w:val="483"/>
        </w:trPr>
        <w:tc>
          <w:tcPr>
            <w:tcW w:w="415" w:type="pct"/>
            <w:vMerge w:val="restart"/>
            <w:tcBorders>
              <w:top w:val="nil"/>
            </w:tcBorders>
            <w:shd w:val="clear" w:color="auto" w:fill="BFBFBF" w:themeFill="background1" w:themeFillShade="BF"/>
          </w:tcPr>
          <w:p w14:paraId="620E4F0C" w14:textId="265CCD02" w:rsidR="00D92789" w:rsidRPr="004206C7" w:rsidRDefault="004463D1" w:rsidP="00C81604">
            <w:pPr>
              <w:spacing w:beforeLines="60" w:before="144" w:afterLines="60" w:after="144" w:line="240" w:lineRule="auto"/>
              <w:rPr>
                <w:rFonts w:ascii="Trebuchet MS" w:hAnsi="Trebuchet MS"/>
                <w:sz w:val="24"/>
                <w:szCs w:val="24"/>
              </w:rPr>
            </w:pPr>
            <w:r>
              <w:rPr>
                <w:rFonts w:ascii="Trebuchet MS" w:hAnsi="Trebuchet MS"/>
                <w:sz w:val="24"/>
                <w:szCs w:val="24"/>
              </w:rPr>
              <w:t>200</w:t>
            </w:r>
            <w:r w:rsidR="00D92789" w:rsidRPr="004206C7">
              <w:rPr>
                <w:rFonts w:ascii="Trebuchet MS" w:hAnsi="Trebuchet MS"/>
                <w:sz w:val="24"/>
                <w:szCs w:val="24"/>
              </w:rPr>
              <w:t>7</w:t>
            </w:r>
          </w:p>
        </w:tc>
        <w:tc>
          <w:tcPr>
            <w:tcW w:w="3656" w:type="pct"/>
            <w:vMerge w:val="restart"/>
            <w:tcBorders>
              <w:top w:val="nil"/>
            </w:tcBorders>
          </w:tcPr>
          <w:p w14:paraId="59FB5AB2" w14:textId="77777777" w:rsidR="00D92789" w:rsidRPr="004206C7" w:rsidRDefault="00D92789" w:rsidP="001E6DC2">
            <w:pPr>
              <w:spacing w:before="60" w:after="60" w:line="240" w:lineRule="auto"/>
              <w:rPr>
                <w:rFonts w:ascii="Trebuchet MS" w:hAnsi="Trebuchet MS"/>
                <w:sz w:val="24"/>
                <w:szCs w:val="24"/>
              </w:rPr>
            </w:pPr>
            <w:r w:rsidRPr="004206C7">
              <w:rPr>
                <w:rFonts w:ascii="Trebuchet MS" w:hAnsi="Trebuchet MS"/>
                <w:sz w:val="24"/>
                <w:szCs w:val="24"/>
              </w:rPr>
              <w:t xml:space="preserve">Did the SMP service follow HAACP principles and applicable sanitation and health standards?  </w:t>
            </w:r>
          </w:p>
          <w:p w14:paraId="1AD3489E" w14:textId="77777777" w:rsidR="00D92789" w:rsidRPr="004206C7" w:rsidRDefault="00D92789" w:rsidP="001E6DC2">
            <w:pPr>
              <w:spacing w:before="60" w:after="60" w:line="240" w:lineRule="auto"/>
              <w:rPr>
                <w:rFonts w:ascii="Trebuchet MS" w:hAnsi="Trebuchet MS"/>
                <w:sz w:val="24"/>
                <w:szCs w:val="24"/>
              </w:rPr>
            </w:pPr>
            <w:r w:rsidRPr="004206C7">
              <w:rPr>
                <w:rFonts w:ascii="Trebuchet MS" w:hAnsi="Trebuchet MS"/>
                <w:sz w:val="24"/>
                <w:szCs w:val="24"/>
              </w:rPr>
              <w:t xml:space="preserve">If NO, explain. </w:t>
            </w:r>
          </w:p>
        </w:tc>
        <w:tc>
          <w:tcPr>
            <w:tcW w:w="357" w:type="pct"/>
            <w:tcBorders>
              <w:top w:val="nil"/>
            </w:tcBorders>
            <w:shd w:val="pct12" w:color="auto" w:fill="auto"/>
            <w:vAlign w:val="bottom"/>
          </w:tcPr>
          <w:p w14:paraId="369582BB" w14:textId="77777777" w:rsidR="00D92789" w:rsidRPr="004206C7" w:rsidRDefault="00D92789" w:rsidP="00C81604">
            <w:pPr>
              <w:spacing w:beforeLines="60" w:before="144" w:afterLines="60" w:after="144" w:line="240" w:lineRule="auto"/>
              <w:jc w:val="center"/>
              <w:rPr>
                <w:rFonts w:ascii="Trebuchet MS" w:hAnsi="Trebuchet MS"/>
                <w:b/>
                <w:sz w:val="24"/>
                <w:szCs w:val="24"/>
              </w:rPr>
            </w:pPr>
            <w:r w:rsidRPr="004206C7">
              <w:rPr>
                <w:rFonts w:ascii="Trebuchet MS" w:hAnsi="Trebuchet MS"/>
                <w:b/>
                <w:sz w:val="24"/>
                <w:szCs w:val="24"/>
              </w:rPr>
              <w:t>YES</w:t>
            </w:r>
          </w:p>
        </w:tc>
        <w:tc>
          <w:tcPr>
            <w:tcW w:w="572" w:type="pct"/>
            <w:tcBorders>
              <w:top w:val="nil"/>
            </w:tcBorders>
            <w:shd w:val="pct12" w:color="auto" w:fill="auto"/>
            <w:vAlign w:val="bottom"/>
          </w:tcPr>
          <w:p w14:paraId="20C515A7" w14:textId="77777777" w:rsidR="00D92789" w:rsidRPr="004206C7" w:rsidRDefault="00D92789" w:rsidP="003F261D">
            <w:pPr>
              <w:spacing w:beforeLines="60" w:before="144" w:afterLines="60" w:after="144" w:line="240" w:lineRule="auto"/>
              <w:jc w:val="center"/>
              <w:rPr>
                <w:rFonts w:ascii="Trebuchet MS" w:hAnsi="Trebuchet MS"/>
                <w:b/>
                <w:sz w:val="24"/>
                <w:szCs w:val="24"/>
              </w:rPr>
            </w:pPr>
            <w:r w:rsidRPr="004206C7">
              <w:rPr>
                <w:rFonts w:ascii="Trebuchet MS" w:hAnsi="Trebuchet MS"/>
                <w:b/>
                <w:sz w:val="24"/>
                <w:szCs w:val="24"/>
              </w:rPr>
              <w:t>NO</w:t>
            </w:r>
          </w:p>
        </w:tc>
      </w:tr>
      <w:tr w:rsidR="00D92789" w:rsidRPr="004206C7" w14:paraId="2CB28DFB" w14:textId="77777777" w:rsidTr="008A13EF">
        <w:trPr>
          <w:trHeight w:val="232"/>
        </w:trPr>
        <w:tc>
          <w:tcPr>
            <w:tcW w:w="415" w:type="pct"/>
            <w:vMerge/>
            <w:shd w:val="clear" w:color="auto" w:fill="BFBFBF" w:themeFill="background1" w:themeFillShade="BF"/>
          </w:tcPr>
          <w:p w14:paraId="7C363758" w14:textId="77777777" w:rsidR="00D92789" w:rsidRPr="004206C7" w:rsidRDefault="00D92789">
            <w:pPr>
              <w:spacing w:beforeLines="60" w:before="144" w:afterLines="60" w:after="144" w:line="240" w:lineRule="auto"/>
              <w:rPr>
                <w:rFonts w:ascii="Trebuchet MS" w:hAnsi="Trebuchet MS"/>
                <w:sz w:val="24"/>
                <w:szCs w:val="24"/>
              </w:rPr>
            </w:pPr>
          </w:p>
        </w:tc>
        <w:tc>
          <w:tcPr>
            <w:tcW w:w="3656" w:type="pct"/>
            <w:vMerge/>
          </w:tcPr>
          <w:p w14:paraId="46F63151" w14:textId="77777777" w:rsidR="00D92789" w:rsidRPr="004206C7" w:rsidRDefault="00D92789">
            <w:pPr>
              <w:spacing w:beforeLines="40" w:before="96" w:afterLines="40" w:after="96" w:line="240" w:lineRule="auto"/>
              <w:rPr>
                <w:rFonts w:ascii="Trebuchet MS" w:hAnsi="Trebuchet MS"/>
                <w:sz w:val="24"/>
                <w:szCs w:val="24"/>
              </w:rPr>
            </w:pPr>
          </w:p>
        </w:tc>
        <w:tc>
          <w:tcPr>
            <w:tcW w:w="357" w:type="pct"/>
          </w:tcPr>
          <w:p w14:paraId="6DCEBE20" w14:textId="77777777" w:rsidR="00D92789" w:rsidRPr="004206C7" w:rsidRDefault="00D92789">
            <w:pPr>
              <w:spacing w:beforeLines="60" w:before="144" w:afterLines="60" w:after="144" w:line="240" w:lineRule="auto"/>
              <w:rPr>
                <w:rFonts w:ascii="Trebuchet MS" w:hAnsi="Trebuchet MS"/>
                <w:sz w:val="24"/>
                <w:szCs w:val="24"/>
              </w:rPr>
            </w:pPr>
          </w:p>
        </w:tc>
        <w:tc>
          <w:tcPr>
            <w:tcW w:w="572" w:type="pct"/>
          </w:tcPr>
          <w:p w14:paraId="2F60B954" w14:textId="77777777" w:rsidR="00D92789" w:rsidRPr="004206C7" w:rsidRDefault="00D92789">
            <w:pPr>
              <w:spacing w:beforeLines="60" w:before="144" w:afterLines="60" w:after="144" w:line="240" w:lineRule="auto"/>
              <w:rPr>
                <w:rFonts w:ascii="Trebuchet MS" w:hAnsi="Trebuchet MS"/>
                <w:sz w:val="24"/>
                <w:szCs w:val="24"/>
              </w:rPr>
            </w:pPr>
          </w:p>
        </w:tc>
      </w:tr>
      <w:tr w:rsidR="00D92789" w:rsidRPr="004206C7" w14:paraId="32665371" w14:textId="77777777" w:rsidTr="0030341B">
        <w:trPr>
          <w:trHeight w:val="1610"/>
        </w:trPr>
        <w:tc>
          <w:tcPr>
            <w:tcW w:w="5000" w:type="pct"/>
            <w:gridSpan w:val="4"/>
            <w:tcBorders>
              <w:bottom w:val="single" w:sz="4" w:space="0" w:color="auto"/>
            </w:tcBorders>
          </w:tcPr>
          <w:p w14:paraId="3A18BB7F" w14:textId="77777777" w:rsidR="004463D1" w:rsidRPr="00661FC7" w:rsidRDefault="004463D1" w:rsidP="004463D1">
            <w:pPr>
              <w:rPr>
                <w:color w:val="FF0000"/>
              </w:rPr>
            </w:pPr>
            <w:r w:rsidRPr="00661FC7">
              <w:rPr>
                <w:b/>
                <w:color w:val="FF0000"/>
              </w:rPr>
              <w:lastRenderedPageBreak/>
              <w:t>Tips:</w:t>
            </w:r>
            <w:r w:rsidRPr="00661FC7">
              <w:rPr>
                <w:color w:val="FF0000"/>
              </w:rPr>
              <w:t xml:space="preserve"> The SFA must be in</w:t>
            </w:r>
            <w:r>
              <w:rPr>
                <w:color w:val="FF0000"/>
              </w:rPr>
              <w:t xml:space="preserve"> </w:t>
            </w:r>
            <w:r w:rsidRPr="00661FC7">
              <w:rPr>
                <w:color w:val="FF0000"/>
              </w:rPr>
              <w:t xml:space="preserve">compliance with Federal, State, and local food safety laws and regulations while complying with their local food safety plan and HACCP principles. Temperature logs must be maintained for all food storage areas and taken of milk when received, served, and stored. </w:t>
            </w:r>
          </w:p>
          <w:p w14:paraId="4B8E6FDD" w14:textId="7A59F1CE" w:rsidR="00D92789" w:rsidRPr="0030341B" w:rsidRDefault="004463D1" w:rsidP="0030341B">
            <w:pPr>
              <w:rPr>
                <w:color w:val="FF0000"/>
              </w:rPr>
            </w:pPr>
            <w:r w:rsidRPr="00661FC7">
              <w:rPr>
                <w:color w:val="FF0000"/>
              </w:rPr>
              <w:t>Ensure proper food safety proce</w:t>
            </w:r>
            <w:r>
              <w:rPr>
                <w:color w:val="FF0000"/>
              </w:rPr>
              <w:t xml:space="preserve">dures are in place and followed. </w:t>
            </w:r>
          </w:p>
        </w:tc>
      </w:tr>
    </w:tbl>
    <w:p w14:paraId="1A9BEDF2" w14:textId="77777777" w:rsidR="004206C7" w:rsidRDefault="004206C7" w:rsidP="002C052D">
      <w:pPr>
        <w:spacing w:beforeLines="60" w:before="144" w:afterLines="60" w:after="144"/>
        <w:rPr>
          <w:rFonts w:ascii="Trebuchet MS" w:hAnsi="Trebuchet MS"/>
          <w:b/>
          <w:color w:val="FF0000"/>
          <w:sz w:val="24"/>
          <w:szCs w:val="24"/>
          <w:u w:val="single"/>
        </w:rPr>
      </w:pPr>
    </w:p>
    <w:p w14:paraId="173FD2CD" w14:textId="77777777" w:rsidR="008A4B5A" w:rsidRDefault="008A4B5A" w:rsidP="008A4B5A">
      <w:pPr>
        <w:spacing w:beforeLines="60" w:before="144" w:afterLines="60" w:after="144"/>
        <w:rPr>
          <w:rFonts w:ascii="Trebuchet MS" w:hAnsi="Trebuchet MS" w:cs="Calibri-Light"/>
          <w:sz w:val="20"/>
          <w:szCs w:val="20"/>
        </w:rPr>
      </w:pPr>
    </w:p>
    <w:p w14:paraId="0686BE1F" w14:textId="77777777" w:rsidR="008A4B5A" w:rsidRDefault="008A4B5A" w:rsidP="008A4B5A">
      <w:pPr>
        <w:spacing w:beforeLines="60" w:before="144" w:afterLines="60" w:after="144"/>
        <w:rPr>
          <w:rFonts w:ascii="Trebuchet MS" w:hAnsi="Trebuchet MS" w:cs="Calibri-Light"/>
          <w:sz w:val="20"/>
          <w:szCs w:val="20"/>
        </w:rPr>
      </w:pPr>
    </w:p>
    <w:p w14:paraId="7A384ED9" w14:textId="77777777" w:rsidR="008A4B5A" w:rsidRDefault="008A4B5A" w:rsidP="008A4B5A">
      <w:pPr>
        <w:spacing w:beforeLines="60" w:before="144" w:afterLines="60" w:after="144"/>
        <w:rPr>
          <w:rFonts w:ascii="Trebuchet MS" w:hAnsi="Trebuchet MS" w:cs="Calibri-Light"/>
          <w:sz w:val="20"/>
          <w:szCs w:val="20"/>
        </w:rPr>
      </w:pPr>
    </w:p>
    <w:p w14:paraId="77BBC798" w14:textId="5C0277D1" w:rsidR="0047424F" w:rsidRPr="008A4B5A" w:rsidRDefault="008A4B5A" w:rsidP="00495012">
      <w:pPr>
        <w:spacing w:beforeLines="60" w:before="144" w:afterLines="60" w:after="144"/>
        <w:jc w:val="center"/>
        <w:rPr>
          <w:sz w:val="20"/>
          <w:szCs w:val="20"/>
        </w:rPr>
      </w:pPr>
      <w:r>
        <w:rPr>
          <w:rFonts w:ascii="Trebuchet MS" w:hAnsi="Trebuchet MS" w:cs="Calibri-Light"/>
          <w:sz w:val="20"/>
          <w:szCs w:val="20"/>
        </w:rPr>
        <w:t>This institution is an equal opportunity provider.</w:t>
      </w:r>
    </w:p>
    <w:sectPr w:rsidR="0047424F" w:rsidRPr="008A4B5A" w:rsidSect="0066638A">
      <w:headerReference w:type="default" r:id="rId11"/>
      <w:footerReference w:type="even"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7EAD" w14:textId="77777777" w:rsidR="00B60FA3" w:rsidRDefault="00B60FA3" w:rsidP="003439DB">
      <w:pPr>
        <w:spacing w:after="0" w:line="240" w:lineRule="auto"/>
      </w:pPr>
      <w:r>
        <w:separator/>
      </w:r>
    </w:p>
  </w:endnote>
  <w:endnote w:type="continuationSeparator" w:id="0">
    <w:p w14:paraId="6046EC74" w14:textId="77777777" w:rsidR="00B60FA3" w:rsidRDefault="00B60FA3" w:rsidP="0034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03208"/>
      <w:docPartObj>
        <w:docPartGallery w:val="Page Numbers (Bottom of Page)"/>
        <w:docPartUnique/>
      </w:docPartObj>
    </w:sdtPr>
    <w:sdtEndPr>
      <w:rPr>
        <w:sz w:val="20"/>
        <w:szCs w:val="20"/>
      </w:rPr>
    </w:sdtEndPr>
    <w:sdtContent>
      <w:p w14:paraId="4DFE364C" w14:textId="77777777" w:rsidR="0066638A" w:rsidRDefault="0066638A" w:rsidP="0066638A">
        <w:pPr>
          <w:pStyle w:val="Footer"/>
        </w:pPr>
      </w:p>
      <w:p w14:paraId="411754F3" w14:textId="77777777" w:rsidR="0066638A" w:rsidRDefault="0066638A" w:rsidP="0066638A">
        <w:pPr>
          <w:pStyle w:val="Footer"/>
        </w:pPr>
      </w:p>
      <w:p w14:paraId="27AD576D" w14:textId="2C75DFCC" w:rsidR="0066638A" w:rsidRPr="002000F1" w:rsidRDefault="0066638A" w:rsidP="0066638A">
        <w:pPr>
          <w:pStyle w:val="Footer"/>
          <w:rPr>
            <w:sz w:val="20"/>
            <w:szCs w:val="20"/>
          </w:rPr>
        </w:pPr>
        <w:r>
          <w:t>September 2022</w:t>
        </w:r>
        <w:r>
          <w:tab/>
          <w:t>This institution is an equal opportunity provider.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904"/>
      <w:docPartObj>
        <w:docPartGallery w:val="Page Numbers (Bottom of Page)"/>
        <w:docPartUnique/>
      </w:docPartObj>
    </w:sdtPr>
    <w:sdtEndPr>
      <w:rPr>
        <w:sz w:val="20"/>
        <w:szCs w:val="20"/>
      </w:rPr>
    </w:sdtEndPr>
    <w:sdtContent>
      <w:p w14:paraId="474A253E" w14:textId="07FF44C2" w:rsidR="002000F1" w:rsidRPr="002000F1" w:rsidRDefault="0066638A">
        <w:pPr>
          <w:pStyle w:val="Footer"/>
          <w:rPr>
            <w:sz w:val="20"/>
            <w:szCs w:val="20"/>
          </w:rPr>
        </w:pPr>
        <w:r>
          <w:t>September 2022</w:t>
        </w:r>
        <w:r w:rsidR="002000F1">
          <w:tab/>
        </w:r>
        <w:r>
          <w:t>This institution is an equal opportunity provider.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4608" w14:textId="77777777" w:rsidR="00B60FA3" w:rsidRDefault="00B60FA3" w:rsidP="003439DB">
      <w:pPr>
        <w:spacing w:after="0" w:line="240" w:lineRule="auto"/>
      </w:pPr>
      <w:r>
        <w:separator/>
      </w:r>
    </w:p>
  </w:footnote>
  <w:footnote w:type="continuationSeparator" w:id="0">
    <w:p w14:paraId="29402FCF" w14:textId="77777777" w:rsidR="00B60FA3" w:rsidRDefault="00B60FA3" w:rsidP="0034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0084" w14:textId="77777777" w:rsidR="005C6D5A" w:rsidRDefault="005C6D5A" w:rsidP="003439DB">
    <w:pPr>
      <w:pStyle w:val="Header"/>
      <w:jc w:val="center"/>
      <w:rPr>
        <w:b/>
        <w:sz w:val="24"/>
        <w:szCs w:val="24"/>
      </w:rPr>
    </w:pPr>
    <w:r>
      <w:rPr>
        <w:b/>
        <w:sz w:val="24"/>
        <w:szCs w:val="24"/>
      </w:rPr>
      <w:t>SPECIAL MILK PROGRAM</w:t>
    </w:r>
  </w:p>
  <w:p w14:paraId="1108803A" w14:textId="77777777" w:rsidR="005C6D5A" w:rsidRPr="003439DB" w:rsidRDefault="005C6D5A" w:rsidP="003439DB">
    <w:pPr>
      <w:pStyle w:val="Header"/>
      <w:jc w:val="center"/>
      <w:rPr>
        <w:b/>
        <w:sz w:val="24"/>
        <w:szCs w:val="24"/>
      </w:rPr>
    </w:pPr>
    <w:r>
      <w:rPr>
        <w:b/>
        <w:sz w:val="24"/>
        <w:szCs w:val="24"/>
      </w:rPr>
      <w:t>ADMINISTRATIVE REVIEW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A46"/>
    <w:multiLevelType w:val="hybridMultilevel"/>
    <w:tmpl w:val="A6AC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4924"/>
    <w:multiLevelType w:val="hybridMultilevel"/>
    <w:tmpl w:val="28A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F2EAA"/>
    <w:multiLevelType w:val="hybridMultilevel"/>
    <w:tmpl w:val="BB9C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7B8"/>
    <w:multiLevelType w:val="hybridMultilevel"/>
    <w:tmpl w:val="C312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CB7"/>
    <w:multiLevelType w:val="hybridMultilevel"/>
    <w:tmpl w:val="171E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F4C"/>
    <w:multiLevelType w:val="hybridMultilevel"/>
    <w:tmpl w:val="483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756E"/>
    <w:multiLevelType w:val="hybridMultilevel"/>
    <w:tmpl w:val="97B4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54B2A"/>
    <w:multiLevelType w:val="hybridMultilevel"/>
    <w:tmpl w:val="BB2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71D0A"/>
    <w:multiLevelType w:val="hybridMultilevel"/>
    <w:tmpl w:val="A1861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31646"/>
    <w:multiLevelType w:val="hybridMultilevel"/>
    <w:tmpl w:val="4832FAEE"/>
    <w:lvl w:ilvl="0" w:tplc="26B8B6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67400"/>
    <w:multiLevelType w:val="hybridMultilevel"/>
    <w:tmpl w:val="F6E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26CBA"/>
    <w:multiLevelType w:val="hybridMultilevel"/>
    <w:tmpl w:val="96E65F82"/>
    <w:lvl w:ilvl="0" w:tplc="26B8B684">
      <w:start w:val="1"/>
      <w:numFmt w:val="bullet"/>
      <w:lvlText w:val=""/>
      <w:lvlJc w:val="left"/>
      <w:pPr>
        <w:ind w:left="720" w:hanging="360"/>
      </w:pPr>
      <w:rPr>
        <w:rFonts w:ascii="Symbol" w:hAnsi="Symbol" w:hint="default"/>
        <w:color w:val="FF0000"/>
      </w:rPr>
    </w:lvl>
    <w:lvl w:ilvl="1" w:tplc="523C5E7E">
      <w:start w:val="1"/>
      <w:numFmt w:val="bullet"/>
      <w:lvlText w:val="o"/>
      <w:lvlJc w:val="left"/>
      <w:pPr>
        <w:ind w:left="1440" w:hanging="360"/>
      </w:pPr>
      <w:rPr>
        <w:rFonts w:ascii="Courier New" w:hAnsi="Courier New" w:cs="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3531"/>
    <w:multiLevelType w:val="hybridMultilevel"/>
    <w:tmpl w:val="A4FE5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96D90"/>
    <w:multiLevelType w:val="hybridMultilevel"/>
    <w:tmpl w:val="A4FE5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05CBA"/>
    <w:multiLevelType w:val="hybridMultilevel"/>
    <w:tmpl w:val="418A9996"/>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90278"/>
    <w:multiLevelType w:val="hybridMultilevel"/>
    <w:tmpl w:val="E464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D58AD"/>
    <w:multiLevelType w:val="hybridMultilevel"/>
    <w:tmpl w:val="492C8736"/>
    <w:lvl w:ilvl="0" w:tplc="C374B20E">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C34B3"/>
    <w:multiLevelType w:val="hybridMultilevel"/>
    <w:tmpl w:val="F09E91B4"/>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77540"/>
    <w:multiLevelType w:val="hybridMultilevel"/>
    <w:tmpl w:val="008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97DBB"/>
    <w:multiLevelType w:val="hybridMultilevel"/>
    <w:tmpl w:val="68DC5B2E"/>
    <w:lvl w:ilvl="0" w:tplc="26B8B6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71F7F"/>
    <w:multiLevelType w:val="hybridMultilevel"/>
    <w:tmpl w:val="DB5A90B8"/>
    <w:lvl w:ilvl="0" w:tplc="B19E8244">
      <w:numFmt w:val="bullet"/>
      <w:lvlText w:val="-"/>
      <w:lvlJc w:val="left"/>
      <w:pPr>
        <w:ind w:left="81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1234E"/>
    <w:multiLevelType w:val="hybridMultilevel"/>
    <w:tmpl w:val="2786863E"/>
    <w:lvl w:ilvl="0" w:tplc="83A01A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42657"/>
    <w:multiLevelType w:val="hybridMultilevel"/>
    <w:tmpl w:val="0DE440D4"/>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279145">
    <w:abstractNumId w:val="4"/>
  </w:num>
  <w:num w:numId="2" w16cid:durableId="1982728477">
    <w:abstractNumId w:val="12"/>
  </w:num>
  <w:num w:numId="3" w16cid:durableId="1849442528">
    <w:abstractNumId w:val="13"/>
  </w:num>
  <w:num w:numId="4" w16cid:durableId="307788180">
    <w:abstractNumId w:val="14"/>
  </w:num>
  <w:num w:numId="5" w16cid:durableId="1718822501">
    <w:abstractNumId w:val="16"/>
  </w:num>
  <w:num w:numId="6" w16cid:durableId="328142378">
    <w:abstractNumId w:val="9"/>
  </w:num>
  <w:num w:numId="7" w16cid:durableId="1645116701">
    <w:abstractNumId w:val="11"/>
  </w:num>
  <w:num w:numId="8" w16cid:durableId="561525223">
    <w:abstractNumId w:val="22"/>
  </w:num>
  <w:num w:numId="9" w16cid:durableId="116293576">
    <w:abstractNumId w:val="19"/>
  </w:num>
  <w:num w:numId="10" w16cid:durableId="1124497543">
    <w:abstractNumId w:val="8"/>
  </w:num>
  <w:num w:numId="11" w16cid:durableId="33507853">
    <w:abstractNumId w:val="17"/>
  </w:num>
  <w:num w:numId="12" w16cid:durableId="1092358103">
    <w:abstractNumId w:val="21"/>
  </w:num>
  <w:num w:numId="13" w16cid:durableId="206308474">
    <w:abstractNumId w:val="20"/>
  </w:num>
  <w:num w:numId="14" w16cid:durableId="1130510098">
    <w:abstractNumId w:val="5"/>
  </w:num>
  <w:num w:numId="15" w16cid:durableId="1458523285">
    <w:abstractNumId w:val="15"/>
  </w:num>
  <w:num w:numId="16" w16cid:durableId="58478868">
    <w:abstractNumId w:val="3"/>
  </w:num>
  <w:num w:numId="17" w16cid:durableId="225259477">
    <w:abstractNumId w:val="18"/>
  </w:num>
  <w:num w:numId="18" w16cid:durableId="1737975790">
    <w:abstractNumId w:val="7"/>
  </w:num>
  <w:num w:numId="19" w16cid:durableId="1271428293">
    <w:abstractNumId w:val="1"/>
  </w:num>
  <w:num w:numId="20" w16cid:durableId="1054541354">
    <w:abstractNumId w:val="10"/>
  </w:num>
  <w:num w:numId="21" w16cid:durableId="1011031440">
    <w:abstractNumId w:val="2"/>
  </w:num>
  <w:num w:numId="22" w16cid:durableId="859857289">
    <w:abstractNumId w:val="6"/>
  </w:num>
  <w:num w:numId="23" w16cid:durableId="23929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DB"/>
    <w:rsid w:val="000041B4"/>
    <w:rsid w:val="00031C3D"/>
    <w:rsid w:val="000362A4"/>
    <w:rsid w:val="000547F3"/>
    <w:rsid w:val="00077E97"/>
    <w:rsid w:val="000840CD"/>
    <w:rsid w:val="000B6B6D"/>
    <w:rsid w:val="000B6D74"/>
    <w:rsid w:val="000C7940"/>
    <w:rsid w:val="000D464D"/>
    <w:rsid w:val="000E63A8"/>
    <w:rsid w:val="000F3462"/>
    <w:rsid w:val="00100BFF"/>
    <w:rsid w:val="001214FF"/>
    <w:rsid w:val="00121A28"/>
    <w:rsid w:val="00124202"/>
    <w:rsid w:val="001374BA"/>
    <w:rsid w:val="0017024C"/>
    <w:rsid w:val="00170BCD"/>
    <w:rsid w:val="00184E92"/>
    <w:rsid w:val="00187D1D"/>
    <w:rsid w:val="001B38C2"/>
    <w:rsid w:val="001C5FE9"/>
    <w:rsid w:val="001E728F"/>
    <w:rsid w:val="001F3870"/>
    <w:rsid w:val="002000F1"/>
    <w:rsid w:val="00211CDE"/>
    <w:rsid w:val="00267D82"/>
    <w:rsid w:val="002A0DBA"/>
    <w:rsid w:val="002A4CD3"/>
    <w:rsid w:val="002B73FD"/>
    <w:rsid w:val="002C052D"/>
    <w:rsid w:val="002D02A6"/>
    <w:rsid w:val="002F39AB"/>
    <w:rsid w:val="002F6259"/>
    <w:rsid w:val="002F7BDF"/>
    <w:rsid w:val="0030341B"/>
    <w:rsid w:val="003163F8"/>
    <w:rsid w:val="00325ED8"/>
    <w:rsid w:val="003439DB"/>
    <w:rsid w:val="00380F3E"/>
    <w:rsid w:val="00391F2E"/>
    <w:rsid w:val="0039635F"/>
    <w:rsid w:val="00397BE0"/>
    <w:rsid w:val="003A137B"/>
    <w:rsid w:val="003A3CBD"/>
    <w:rsid w:val="003B33E7"/>
    <w:rsid w:val="003B73D2"/>
    <w:rsid w:val="003C369E"/>
    <w:rsid w:val="003F261D"/>
    <w:rsid w:val="00412B50"/>
    <w:rsid w:val="004206C7"/>
    <w:rsid w:val="00423D4B"/>
    <w:rsid w:val="004463D1"/>
    <w:rsid w:val="00455149"/>
    <w:rsid w:val="0047424F"/>
    <w:rsid w:val="00495012"/>
    <w:rsid w:val="004C5AC1"/>
    <w:rsid w:val="004D106B"/>
    <w:rsid w:val="005004FB"/>
    <w:rsid w:val="005302FA"/>
    <w:rsid w:val="00535948"/>
    <w:rsid w:val="0057349B"/>
    <w:rsid w:val="00597ACC"/>
    <w:rsid w:val="005A230B"/>
    <w:rsid w:val="005B2BED"/>
    <w:rsid w:val="005C6D5A"/>
    <w:rsid w:val="005E548A"/>
    <w:rsid w:val="005F5056"/>
    <w:rsid w:val="00615C9A"/>
    <w:rsid w:val="0066638A"/>
    <w:rsid w:val="00671F98"/>
    <w:rsid w:val="006A17E7"/>
    <w:rsid w:val="006C0B6D"/>
    <w:rsid w:val="006D78B4"/>
    <w:rsid w:val="006E565A"/>
    <w:rsid w:val="00721062"/>
    <w:rsid w:val="00733EC5"/>
    <w:rsid w:val="00734AEC"/>
    <w:rsid w:val="007661F9"/>
    <w:rsid w:val="007758E4"/>
    <w:rsid w:val="007E249F"/>
    <w:rsid w:val="00835AB7"/>
    <w:rsid w:val="00851796"/>
    <w:rsid w:val="00864E39"/>
    <w:rsid w:val="008A13EF"/>
    <w:rsid w:val="008A4B5A"/>
    <w:rsid w:val="008C26FD"/>
    <w:rsid w:val="008E194E"/>
    <w:rsid w:val="008F0778"/>
    <w:rsid w:val="008F61E8"/>
    <w:rsid w:val="00927A91"/>
    <w:rsid w:val="00933D74"/>
    <w:rsid w:val="00941145"/>
    <w:rsid w:val="00944A36"/>
    <w:rsid w:val="00A144FA"/>
    <w:rsid w:val="00A208FA"/>
    <w:rsid w:val="00A6478A"/>
    <w:rsid w:val="00A70C9C"/>
    <w:rsid w:val="00AF0344"/>
    <w:rsid w:val="00B03746"/>
    <w:rsid w:val="00B42171"/>
    <w:rsid w:val="00B60FA3"/>
    <w:rsid w:val="00B717A4"/>
    <w:rsid w:val="00B7737E"/>
    <w:rsid w:val="00BB261C"/>
    <w:rsid w:val="00BF13E6"/>
    <w:rsid w:val="00BF53B5"/>
    <w:rsid w:val="00BF54F4"/>
    <w:rsid w:val="00C13BF1"/>
    <w:rsid w:val="00C43A08"/>
    <w:rsid w:val="00C71DA8"/>
    <w:rsid w:val="00C81604"/>
    <w:rsid w:val="00CB6A29"/>
    <w:rsid w:val="00CC428B"/>
    <w:rsid w:val="00CC5122"/>
    <w:rsid w:val="00CD704C"/>
    <w:rsid w:val="00CF1657"/>
    <w:rsid w:val="00D0746C"/>
    <w:rsid w:val="00D23E88"/>
    <w:rsid w:val="00D308DB"/>
    <w:rsid w:val="00D54823"/>
    <w:rsid w:val="00D55369"/>
    <w:rsid w:val="00D64672"/>
    <w:rsid w:val="00D92789"/>
    <w:rsid w:val="00DD52C4"/>
    <w:rsid w:val="00DD6AF5"/>
    <w:rsid w:val="00E16419"/>
    <w:rsid w:val="00E3519F"/>
    <w:rsid w:val="00E70996"/>
    <w:rsid w:val="00E717B7"/>
    <w:rsid w:val="00E80023"/>
    <w:rsid w:val="00EC0AB5"/>
    <w:rsid w:val="00ED0663"/>
    <w:rsid w:val="00F100B4"/>
    <w:rsid w:val="00F163AC"/>
    <w:rsid w:val="00F25204"/>
    <w:rsid w:val="00F47D37"/>
    <w:rsid w:val="00F50615"/>
    <w:rsid w:val="00F606B6"/>
    <w:rsid w:val="00F976C8"/>
    <w:rsid w:val="00FB5CE2"/>
    <w:rsid w:val="00FC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96E0"/>
  <w15:docId w15:val="{732E8142-3901-48C5-80B1-28F4DEFD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9DB"/>
  </w:style>
  <w:style w:type="paragraph" w:styleId="Footer">
    <w:name w:val="footer"/>
    <w:basedOn w:val="Normal"/>
    <w:link w:val="FooterChar"/>
    <w:uiPriority w:val="99"/>
    <w:unhideWhenUsed/>
    <w:rsid w:val="0034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9DB"/>
  </w:style>
  <w:style w:type="table" w:styleId="TableGrid">
    <w:name w:val="Table Grid"/>
    <w:basedOn w:val="TableNormal"/>
    <w:uiPriority w:val="59"/>
    <w:rsid w:val="0034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F2E"/>
    <w:pPr>
      <w:ind w:left="720"/>
      <w:contextualSpacing/>
    </w:pPr>
    <w:rPr>
      <w:rFonts w:cs="Times New Roman"/>
    </w:rPr>
  </w:style>
  <w:style w:type="paragraph" w:customStyle="1" w:styleId="Default">
    <w:name w:val="Default"/>
    <w:rsid w:val="00391F2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0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0F1"/>
    <w:rPr>
      <w:rFonts w:ascii="Tahoma" w:hAnsi="Tahoma" w:cs="Tahoma"/>
      <w:sz w:val="16"/>
      <w:szCs w:val="16"/>
    </w:rPr>
  </w:style>
  <w:style w:type="character" w:styleId="CommentReference">
    <w:name w:val="annotation reference"/>
    <w:basedOn w:val="DefaultParagraphFont"/>
    <w:uiPriority w:val="99"/>
    <w:semiHidden/>
    <w:unhideWhenUsed/>
    <w:rsid w:val="007661F9"/>
    <w:rPr>
      <w:sz w:val="16"/>
      <w:szCs w:val="16"/>
    </w:rPr>
  </w:style>
  <w:style w:type="paragraph" w:styleId="CommentText">
    <w:name w:val="annotation text"/>
    <w:basedOn w:val="Normal"/>
    <w:link w:val="CommentTextChar"/>
    <w:uiPriority w:val="99"/>
    <w:semiHidden/>
    <w:unhideWhenUsed/>
    <w:rsid w:val="007661F9"/>
    <w:pPr>
      <w:spacing w:line="240" w:lineRule="auto"/>
    </w:pPr>
    <w:rPr>
      <w:sz w:val="20"/>
      <w:szCs w:val="20"/>
    </w:rPr>
  </w:style>
  <w:style w:type="character" w:customStyle="1" w:styleId="CommentTextChar">
    <w:name w:val="Comment Text Char"/>
    <w:basedOn w:val="DefaultParagraphFont"/>
    <w:link w:val="CommentText"/>
    <w:uiPriority w:val="99"/>
    <w:semiHidden/>
    <w:rsid w:val="007661F9"/>
    <w:rPr>
      <w:sz w:val="20"/>
      <w:szCs w:val="20"/>
    </w:rPr>
  </w:style>
  <w:style w:type="paragraph" w:styleId="CommentSubject">
    <w:name w:val="annotation subject"/>
    <w:basedOn w:val="CommentText"/>
    <w:next w:val="CommentText"/>
    <w:link w:val="CommentSubjectChar"/>
    <w:uiPriority w:val="99"/>
    <w:semiHidden/>
    <w:unhideWhenUsed/>
    <w:rsid w:val="007661F9"/>
    <w:rPr>
      <w:b/>
      <w:bCs/>
    </w:rPr>
  </w:style>
  <w:style w:type="character" w:customStyle="1" w:styleId="CommentSubjectChar">
    <w:name w:val="Comment Subject Char"/>
    <w:basedOn w:val="CommentTextChar"/>
    <w:link w:val="CommentSubject"/>
    <w:uiPriority w:val="99"/>
    <w:semiHidden/>
    <w:rsid w:val="007661F9"/>
    <w:rPr>
      <w:b/>
      <w:bCs/>
      <w:sz w:val="20"/>
      <w:szCs w:val="20"/>
    </w:rPr>
  </w:style>
  <w:style w:type="character" w:styleId="Hyperlink">
    <w:name w:val="Hyperlink"/>
    <w:basedOn w:val="DefaultParagraphFont"/>
    <w:uiPriority w:val="99"/>
    <w:unhideWhenUsed/>
    <w:rsid w:val="00733EC5"/>
    <w:rPr>
      <w:color w:val="0000FF" w:themeColor="hyperlink"/>
      <w:u w:val="single"/>
    </w:rPr>
  </w:style>
  <w:style w:type="paragraph" w:styleId="NormalWeb">
    <w:name w:val="Normal (Web)"/>
    <w:basedOn w:val="Normal"/>
    <w:uiPriority w:val="99"/>
    <w:semiHidden/>
    <w:unhideWhenUsed/>
    <w:rsid w:val="008F61E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5509">
      <w:bodyDiv w:val="1"/>
      <w:marLeft w:val="0"/>
      <w:marRight w:val="0"/>
      <w:marTop w:val="0"/>
      <w:marBottom w:val="0"/>
      <w:divBdr>
        <w:top w:val="none" w:sz="0" w:space="0" w:color="auto"/>
        <w:left w:val="none" w:sz="0" w:space="0" w:color="auto"/>
        <w:bottom w:val="none" w:sz="0" w:space="0" w:color="auto"/>
        <w:right w:val="none" w:sz="0" w:space="0" w:color="auto"/>
      </w:divBdr>
      <w:divsChild>
        <w:div w:id="348261064">
          <w:marLeft w:val="0"/>
          <w:marRight w:val="0"/>
          <w:marTop w:val="0"/>
          <w:marBottom w:val="0"/>
          <w:divBdr>
            <w:top w:val="none" w:sz="0" w:space="0" w:color="auto"/>
            <w:left w:val="none" w:sz="0" w:space="0" w:color="auto"/>
            <w:bottom w:val="none" w:sz="0" w:space="0" w:color="auto"/>
            <w:right w:val="none" w:sz="0" w:space="0" w:color="auto"/>
          </w:divBdr>
        </w:div>
      </w:divsChild>
    </w:div>
    <w:div w:id="17581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Issue_x0020_Date xmlns="2394DED2-EFB2-49FD-87C5-B05DB1489153">2014-09-03T04:00:00+00:00</Issue_x0020_Date>
    <Description0 xmlns="2394DED2-EFB2-49FD-87C5-B05DB1489153">Supplemental Special Milk Program Administrative Review Form SY 2014-2015</Description0>
    <O_x002d_o_x002d_D xmlns="2394ded2-efb2-49fd-87c5-b05db1489153">false</O_x002d_o_x002d_D>
    <PGM xmlns="2394ded2-efb2-49fd-87c5-b05db1489153">
      <Value>SP</Value>
    </PGM>
    <Status xmlns="2394ded2-efb2-49fd-87c5-b05db1489153">active</Status>
    <Format xmlns="2394ded2-efb2-49fd-87c5-b05db1489153">Technical Assistance</Form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852911E57D54C9CA957A64F2FEDCB" ma:contentTypeVersion="12" ma:contentTypeDescription="Create a new document." ma:contentTypeScope="" ma:versionID="935388bfffc822b03c65582bea82a1ef">
  <xsd:schema xmlns:xsd="http://www.w3.org/2001/XMLSchema" xmlns:p="http://schemas.microsoft.com/office/2006/metadata/properties" xmlns:ns2="2394DED2-EFB2-49FD-87C5-B05DB1489153" xmlns:ns3="2394ded2-efb2-49fd-87c5-b05db1489153" targetNamespace="http://schemas.microsoft.com/office/2006/metadata/properties" ma:root="true" ma:fieldsID="0ff20e5419a9a975683d47f10078ea47" ns2:_="" ns3:_="">
    <xsd:import namespace="2394DED2-EFB2-49FD-87C5-B05DB1489153"/>
    <xsd:import namespace="2394ded2-efb2-49fd-87c5-b05db1489153"/>
    <xsd:element name="properties">
      <xsd:complexType>
        <xsd:sequence>
          <xsd:element name="documentManagement">
            <xsd:complexType>
              <xsd:all>
                <xsd:element ref="ns2:Description0" minOccurs="0"/>
                <xsd:element ref="ns2:Issue_x0020_Date" minOccurs="0"/>
                <xsd:element ref="ns3:PGM" minOccurs="0"/>
                <xsd:element ref="ns3:Status"/>
                <xsd:element ref="ns3:O_x002d_o_x002d_D" minOccurs="0"/>
                <xsd:element ref="ns3:Format"/>
              </xsd:all>
            </xsd:complexType>
          </xsd:element>
        </xsd:sequence>
      </xsd:complex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PGM" ma:index="10"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FSP"/>
                    <xsd:enumeration value="SP"/>
                    <xsd:enumeration value="Farm to School"/>
                    <xsd:enumeration value="Tech. Assist"/>
                    <xsd:enumeration value="General (not pgm specific)"/>
                  </xsd:restriction>
                </xsd:simpleType>
              </xsd:element>
            </xsd:sequence>
          </xsd:extension>
        </xsd:complexContent>
      </xsd:complexType>
    </xsd:element>
    <xsd:element name="Status" ma:index="12" ma:displayName="Status" ma:default="active" ma:format="RadioButtons" ma:internalName="Status">
      <xsd:simpleType>
        <xsd:restriction base="dms:Choice">
          <xsd:enumeration value="active"/>
          <xsd:enumeration value="superseded"/>
          <xsd:enumeration value="obsolete"/>
        </xsd:restriction>
      </xsd:simpleType>
    </xsd:element>
    <xsd:element name="O_x002d_o_x002d_D" ma:index="14" nillable="true" ma:displayName="O-o-D" ma:default="0" ma:description="Out of date, decommissioned, no longer should be used, superceded" ma:internalName="O_x002d_o_x002d_D">
      <xsd:simpleType>
        <xsd:restriction base="dms:Boolean"/>
      </xsd:simpleType>
    </xsd:element>
    <xsd:element name="Format" ma:index="15" ma:displayName="Format" ma:format="RadioButtons" ma:internalName="Format">
      <xsd:simpleType>
        <xsd:restriction base="dms:Choice">
          <xsd:enumeration value="Handbook"/>
          <xsd:enumeration value="Manual"/>
          <xsd:enumeration value="Instruction"/>
          <xsd:enumeration value="Communications Material"/>
          <xsd:enumeration value="Research Material"/>
          <xsd:enumeration value="Technical Assistance"/>
          <xsd:enumeration value="Letter"/>
          <xsd:enumeration value="Gra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D3E60D-3673-4958-BBC7-F5B850243F2D}">
  <ds:schemaRefs>
    <ds:schemaRef ds:uri="http://schemas.openxmlformats.org/officeDocument/2006/bibliography"/>
  </ds:schemaRefs>
</ds:datastoreItem>
</file>

<file path=customXml/itemProps2.xml><?xml version="1.0" encoding="utf-8"?>
<ds:datastoreItem xmlns:ds="http://schemas.openxmlformats.org/officeDocument/2006/customXml" ds:itemID="{215B85F3-83A9-4FF7-9F95-950F67E89285}">
  <ds:schemaRefs>
    <ds:schemaRef ds:uri="http://schemas.microsoft.com/office/2006/documentManagement/types"/>
    <ds:schemaRef ds:uri="http://purl.org/dc/elements/1.1/"/>
    <ds:schemaRef ds:uri="http://schemas.microsoft.com/office/2006/metadata/properties"/>
    <ds:schemaRef ds:uri="2394ded2-efb2-49fd-87c5-b05db1489153"/>
    <ds:schemaRef ds:uri="http://purl.org/dc/terms/"/>
    <ds:schemaRef ds:uri="http://schemas.openxmlformats.org/package/2006/metadata/core-properties"/>
    <ds:schemaRef ds:uri="2394DED2-EFB2-49FD-87C5-B05DB1489153"/>
    <ds:schemaRef ds:uri="http://www.w3.org/XML/1998/namespace"/>
    <ds:schemaRef ds:uri="http://purl.org/dc/dcmitype/"/>
  </ds:schemaRefs>
</ds:datastoreItem>
</file>

<file path=customXml/itemProps3.xml><?xml version="1.0" encoding="utf-8"?>
<ds:datastoreItem xmlns:ds="http://schemas.openxmlformats.org/officeDocument/2006/customXml" ds:itemID="{23D7D9B5-7B35-4997-B719-59CF7B4871CB}">
  <ds:schemaRefs>
    <ds:schemaRef ds:uri="http://schemas.microsoft.com/sharepoint/v3/contenttype/forms"/>
  </ds:schemaRefs>
</ds:datastoreItem>
</file>

<file path=customXml/itemProps4.xml><?xml version="1.0" encoding="utf-8"?>
<ds:datastoreItem xmlns:ds="http://schemas.openxmlformats.org/officeDocument/2006/customXml" ds:itemID="{D5BF092F-EB52-4D81-B0CC-55133F715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DED2-EFB2-49FD-87C5-B05DB1489153"/>
    <ds:schemaRef ds:uri="2394ded2-efb2-49fd-87c5-b05db14891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Supplemental Special Milk Program Administrative Review Form SY 2014-2015</vt:lpstr>
    </vt:vector>
  </TitlesOfParts>
  <Company>FNS User</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Special Milk Program Administrative Review Form SY 2014-2015</dc:title>
  <dc:subject>11</dc:subject>
  <dc:creator>Desrosiers</dc:creator>
  <cp:lastModifiedBy>Burnham, Rachael</cp:lastModifiedBy>
  <cp:revision>5</cp:revision>
  <dcterms:created xsi:type="dcterms:W3CDTF">2019-08-01T22:02:00Z</dcterms:created>
  <dcterms:modified xsi:type="dcterms:W3CDTF">2022-10-04T19:43:00Z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0x010100C88852911E57D54C9CA957A64F2FEDCB</vt:lpwstr>
  </property>
</Properties>
</file>