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Look w:val="04A0" w:firstRow="1" w:lastRow="0" w:firstColumn="1" w:lastColumn="0" w:noHBand="0" w:noVBand="1"/>
      </w:tblPr>
      <w:tblGrid>
        <w:gridCol w:w="896"/>
        <w:gridCol w:w="8454"/>
      </w:tblGrid>
      <w:tr w:rsidR="00EC142C" w:rsidRPr="0011704A" w14:paraId="2609B1C7" w14:textId="77777777" w:rsidTr="00AD2555">
        <w:trPr>
          <w:trHeight w:val="514"/>
        </w:trPr>
        <w:tc>
          <w:tcPr>
            <w:tcW w:w="5000" w:type="pct"/>
            <w:gridSpan w:val="2"/>
            <w:shd w:val="pct15" w:color="auto" w:fill="auto"/>
            <w:vAlign w:val="center"/>
          </w:tcPr>
          <w:p w14:paraId="5D8DDAA4" w14:textId="77777777" w:rsidR="00EC142C" w:rsidRPr="0011704A" w:rsidRDefault="00EC142C" w:rsidP="00047182">
            <w:pPr>
              <w:spacing w:beforeLines="60" w:before="144" w:afterLines="60" w:after="144"/>
              <w:jc w:val="center"/>
            </w:pPr>
            <w:r>
              <w:rPr>
                <w:b/>
              </w:rPr>
              <w:t>Off-Site Questions</w:t>
            </w:r>
          </w:p>
        </w:tc>
      </w:tr>
      <w:tr w:rsidR="00EC142C" w:rsidRPr="0011704A" w14:paraId="1F6CC47F" w14:textId="77777777" w:rsidTr="00AD2555">
        <w:trPr>
          <w:trHeight w:val="1127"/>
        </w:trPr>
        <w:tc>
          <w:tcPr>
            <w:tcW w:w="479" w:type="pct"/>
            <w:shd w:val="pct15" w:color="auto" w:fill="auto"/>
          </w:tcPr>
          <w:p w14:paraId="5CF5DDDB" w14:textId="77777777" w:rsidR="00EC142C" w:rsidRDefault="00EC142C" w:rsidP="00047182">
            <w:pPr>
              <w:spacing w:beforeLines="60" w:before="144" w:afterLines="60" w:after="144"/>
              <w:rPr>
                <w:sz w:val="20"/>
                <w:szCs w:val="20"/>
              </w:rPr>
            </w:pPr>
            <w:r>
              <w:rPr>
                <w:sz w:val="24"/>
                <w:szCs w:val="24"/>
              </w:rPr>
              <w:t>1100.</w:t>
            </w:r>
          </w:p>
        </w:tc>
        <w:tc>
          <w:tcPr>
            <w:tcW w:w="4521" w:type="pct"/>
            <w:vAlign w:val="center"/>
          </w:tcPr>
          <w:p w14:paraId="5F4D0E19" w14:textId="77777777" w:rsidR="00EC142C" w:rsidRDefault="00EC142C" w:rsidP="00047182">
            <w:pPr>
              <w:spacing w:beforeLines="60" w:before="144" w:afterLines="60" w:after="144"/>
            </w:pPr>
            <w:r w:rsidRPr="0011704A">
              <w:t xml:space="preserve">What are the SFA’s food sale policies? List all types of sales to include the selling of non-food items in combination with food items.  </w:t>
            </w:r>
          </w:p>
          <w:p w14:paraId="33CB1DF3" w14:textId="61D30753" w:rsidR="00514AF3" w:rsidRDefault="00427CE4" w:rsidP="00514AF3">
            <w:pPr>
              <w:spacing w:beforeLines="60" w:before="144" w:afterLines="60" w:after="144"/>
              <w:rPr>
                <w:color w:val="FF0000"/>
              </w:rPr>
            </w:pPr>
            <w:r>
              <w:rPr>
                <w:b/>
                <w:color w:val="FF0000"/>
              </w:rPr>
              <w:t xml:space="preserve">Tips: </w:t>
            </w:r>
            <w:r w:rsidR="00514AF3" w:rsidRPr="00605357">
              <w:rPr>
                <w:color w:val="FF0000"/>
              </w:rPr>
              <w:t>All competitive food sales for students must comply with the Smart Snacks regulations when they occur on the school campus, during the school day (defined as 12am on a day of instruction to 30 minutes after the end of the official school day). Up to three exempt fundraisers are allowed per school building per year. It’s a best practice to have written policies outlining food and beverage sales outside of the reimbursable meals program.</w:t>
            </w:r>
          </w:p>
          <w:p w14:paraId="1248D3B7" w14:textId="77777777" w:rsidR="00514AF3" w:rsidRDefault="00514AF3" w:rsidP="00514AF3">
            <w:pPr>
              <w:spacing w:beforeLines="60" w:before="144" w:afterLines="60" w:after="144"/>
              <w:rPr>
                <w:color w:val="FF0000"/>
              </w:rPr>
            </w:pPr>
            <w:r>
              <w:rPr>
                <w:color w:val="FF0000"/>
              </w:rPr>
              <w:t xml:space="preserve">View </w:t>
            </w:r>
            <w:hyperlink r:id="rId7" w:history="1">
              <w:r w:rsidRPr="00BE7E08">
                <w:rPr>
                  <w:rStyle w:val="Hyperlink"/>
                </w:rPr>
                <w:t>USDA’s A Guide to Smart Snacks in School</w:t>
              </w:r>
            </w:hyperlink>
            <w:r>
              <w:rPr>
                <w:color w:val="FF0000"/>
              </w:rPr>
              <w:t xml:space="preserve"> for additional information. For items with a nutrition label, the </w:t>
            </w:r>
            <w:hyperlink r:id="rId8" w:history="1">
              <w:r w:rsidRPr="00317B9B">
                <w:rPr>
                  <w:rStyle w:val="Hyperlink"/>
                </w:rPr>
                <w:t>Smart Snacks Product Calculator</w:t>
              </w:r>
            </w:hyperlink>
            <w:r>
              <w:rPr>
                <w:color w:val="FF0000"/>
              </w:rPr>
              <w:t xml:space="preserve"> can assess compliance. </w:t>
            </w:r>
          </w:p>
          <w:p w14:paraId="10219F76" w14:textId="0EEEBE31" w:rsidR="00926DB0" w:rsidRDefault="00926DB0" w:rsidP="00047182">
            <w:pPr>
              <w:spacing w:beforeLines="60" w:before="144" w:afterLines="60" w:after="144"/>
              <w:rPr>
                <w:b/>
                <w:color w:val="FF0000"/>
              </w:rPr>
            </w:pPr>
            <w:r>
              <w:rPr>
                <w:b/>
                <w:color w:val="FF0000"/>
              </w:rPr>
              <w:t xml:space="preserve">Resources: </w:t>
            </w:r>
          </w:p>
          <w:p w14:paraId="74EF2723" w14:textId="5EA1A1C5" w:rsidR="00D83282" w:rsidRPr="00A84631" w:rsidRDefault="00A84631" w:rsidP="00A84631">
            <w:pPr>
              <w:pStyle w:val="ListParagraph"/>
              <w:numPr>
                <w:ilvl w:val="0"/>
                <w:numId w:val="8"/>
              </w:numPr>
              <w:spacing w:beforeLines="60" w:before="144" w:afterLines="60" w:after="144"/>
              <w:rPr>
                <w:rStyle w:val="Hyperlink"/>
                <w:color w:val="FF0000"/>
                <w:u w:val="none"/>
              </w:rPr>
            </w:pPr>
            <w:hyperlink r:id="rId9" w:history="1">
              <w:r w:rsidR="00B1417B" w:rsidRPr="00A84631">
                <w:rPr>
                  <w:rStyle w:val="Hyperlink"/>
                </w:rPr>
                <w:t>Smart Snacks &amp; Competitive Food Quick Reference Guide</w:t>
              </w:r>
            </w:hyperlink>
            <w:r w:rsidR="00926DB0" w:rsidRPr="00A84631">
              <w:rPr>
                <w:color w:val="FF0000"/>
              </w:rPr>
              <w:t xml:space="preserve"> </w:t>
            </w:r>
          </w:p>
          <w:p w14:paraId="7430ADDD" w14:textId="77777777" w:rsidR="00427CE4" w:rsidRDefault="00A84631" w:rsidP="00A84631">
            <w:pPr>
              <w:pStyle w:val="ListParagraph"/>
              <w:numPr>
                <w:ilvl w:val="0"/>
                <w:numId w:val="8"/>
              </w:numPr>
              <w:spacing w:beforeLines="60" w:before="144" w:afterLines="60" w:after="144"/>
              <w:rPr>
                <w:color w:val="FF0000"/>
              </w:rPr>
            </w:pPr>
            <w:hyperlink r:id="rId10" w:history="1">
              <w:r w:rsidR="00926DB0" w:rsidRPr="00A84631">
                <w:rPr>
                  <w:rStyle w:val="Hyperlink"/>
                </w:rPr>
                <w:t xml:space="preserve">CO policy on fundraisers </w:t>
              </w:r>
            </w:hyperlink>
            <w:r w:rsidR="00926DB0" w:rsidRPr="00A84631">
              <w:rPr>
                <w:color w:val="FF0000"/>
              </w:rPr>
              <w:t xml:space="preserve"> </w:t>
            </w:r>
          </w:p>
          <w:p w14:paraId="15BD6F8A" w14:textId="46BCA6AB" w:rsidR="00A84631" w:rsidRPr="00A84631" w:rsidRDefault="00A84631" w:rsidP="00A84631">
            <w:pPr>
              <w:pStyle w:val="ListParagraph"/>
              <w:numPr>
                <w:ilvl w:val="0"/>
                <w:numId w:val="8"/>
              </w:numPr>
              <w:spacing w:beforeLines="60" w:before="144" w:afterLines="60" w:after="144"/>
              <w:rPr>
                <w:color w:val="FF0000"/>
              </w:rPr>
            </w:pPr>
            <w:hyperlink r:id="rId11" w:history="1">
              <w:r w:rsidRPr="00A84631">
                <w:rPr>
                  <w:rStyle w:val="Hyperlink"/>
                </w:rPr>
                <w:t>Smart Snacks in Schools webpage</w:t>
              </w:r>
            </w:hyperlink>
          </w:p>
        </w:tc>
      </w:tr>
      <w:tr w:rsidR="00EC142C" w:rsidRPr="0011704A" w14:paraId="26D207FF" w14:textId="77777777" w:rsidTr="00AD2555">
        <w:trPr>
          <w:trHeight w:val="828"/>
        </w:trPr>
        <w:tc>
          <w:tcPr>
            <w:tcW w:w="479" w:type="pct"/>
            <w:shd w:val="pct15" w:color="auto" w:fill="auto"/>
          </w:tcPr>
          <w:p w14:paraId="2ABAFAEE" w14:textId="77777777" w:rsidR="00EC142C" w:rsidRPr="0011704A" w:rsidRDefault="00EC142C" w:rsidP="00047182">
            <w:pPr>
              <w:spacing w:beforeLines="60" w:before="144" w:afterLines="60" w:after="144"/>
              <w:rPr>
                <w:sz w:val="20"/>
                <w:szCs w:val="20"/>
              </w:rPr>
            </w:pPr>
            <w:r w:rsidRPr="0011704A">
              <w:rPr>
                <w:sz w:val="24"/>
                <w:szCs w:val="24"/>
              </w:rPr>
              <w:t>1101.</w:t>
            </w:r>
          </w:p>
        </w:tc>
        <w:tc>
          <w:tcPr>
            <w:tcW w:w="4521" w:type="pct"/>
            <w:vAlign w:val="center"/>
          </w:tcPr>
          <w:p w14:paraId="6239382D" w14:textId="77777777" w:rsidR="00EC142C" w:rsidRDefault="00EC142C" w:rsidP="00047182">
            <w:pPr>
              <w:spacing w:beforeLines="60" w:before="144" w:afterLines="60" w:after="144"/>
            </w:pPr>
            <w:r w:rsidRPr="0011704A">
              <w:t xml:space="preserve">What is the SFA’s process for determining compliance with non-packaged or recipe (combination foods that do not label) food items?  </w:t>
            </w:r>
          </w:p>
          <w:p w14:paraId="482D0DA2" w14:textId="77777777" w:rsidR="00926DB0" w:rsidRDefault="00926DB0" w:rsidP="00047182">
            <w:pPr>
              <w:spacing w:beforeLines="60" w:before="144" w:afterLines="60" w:after="144"/>
              <w:rPr>
                <w:color w:val="FF0000"/>
              </w:rPr>
            </w:pPr>
            <w:r>
              <w:rPr>
                <w:b/>
                <w:color w:val="FF0000"/>
              </w:rPr>
              <w:t xml:space="preserve">Tips: </w:t>
            </w:r>
            <w:r>
              <w:rPr>
                <w:color w:val="FF0000"/>
              </w:rPr>
              <w:t>Create a process to ensure compliance of all food items. For items made from scratch, be sure to have a way to determine the nutrients (calories, fat, sodium, sugar) per serving. Utilize an approved software program or a free online service.</w:t>
            </w:r>
          </w:p>
          <w:p w14:paraId="0370E04A" w14:textId="77777777" w:rsidR="00926DB0" w:rsidRDefault="00926DB0" w:rsidP="00047182">
            <w:pPr>
              <w:spacing w:beforeLines="60" w:before="144" w:afterLines="60" w:after="144"/>
              <w:rPr>
                <w:b/>
                <w:color w:val="FF0000"/>
              </w:rPr>
            </w:pPr>
            <w:r>
              <w:rPr>
                <w:b/>
                <w:color w:val="FF0000"/>
              </w:rPr>
              <w:t>Resources:</w:t>
            </w:r>
          </w:p>
          <w:p w14:paraId="45A9C643" w14:textId="30EF126B" w:rsidR="00514AF3" w:rsidRDefault="00A84631" w:rsidP="00A84631">
            <w:pPr>
              <w:pStyle w:val="ListParagraph"/>
              <w:numPr>
                <w:ilvl w:val="0"/>
                <w:numId w:val="9"/>
              </w:numPr>
              <w:spacing w:beforeLines="60" w:before="144" w:afterLines="60" w:after="144"/>
            </w:pPr>
            <w:hyperlink r:id="rId12" w:history="1">
              <w:r w:rsidR="00AD2555" w:rsidRPr="00A84631">
                <w:rPr>
                  <w:rStyle w:val="Hyperlink"/>
                </w:rPr>
                <w:t>USDA approved software</w:t>
              </w:r>
            </w:hyperlink>
          </w:p>
          <w:p w14:paraId="372879B6" w14:textId="13688B62" w:rsidR="00AD2555" w:rsidRPr="002723D1" w:rsidRDefault="00A84631" w:rsidP="002723D1">
            <w:pPr>
              <w:pStyle w:val="ListParagraph"/>
              <w:numPr>
                <w:ilvl w:val="0"/>
                <w:numId w:val="2"/>
              </w:numPr>
              <w:spacing w:beforeLines="60" w:before="144" w:afterLines="60" w:after="144"/>
              <w:rPr>
                <w:sz w:val="20"/>
                <w:szCs w:val="20"/>
                <w:lang w:val="es-US"/>
              </w:rPr>
            </w:pPr>
            <w:hyperlink r:id="rId13" w:history="1">
              <w:r w:rsidR="00514AF3" w:rsidRPr="00A84631">
                <w:rPr>
                  <w:rStyle w:val="Hyperlink"/>
                  <w:rFonts w:asciiTheme="minorHAnsi" w:eastAsiaTheme="minorEastAsia" w:hAnsiTheme="minorHAnsi" w:cstheme="minorBidi"/>
                </w:rPr>
                <w:t>Smart Snacks Recipe Analyzer Tool</w:t>
              </w:r>
            </w:hyperlink>
          </w:p>
        </w:tc>
      </w:tr>
      <w:tr w:rsidR="00EC142C" w:rsidRPr="0011704A" w14:paraId="19A14987" w14:textId="77777777" w:rsidTr="00AD2555">
        <w:trPr>
          <w:trHeight w:val="828"/>
        </w:trPr>
        <w:tc>
          <w:tcPr>
            <w:tcW w:w="479" w:type="pct"/>
            <w:shd w:val="pct15" w:color="auto" w:fill="auto"/>
          </w:tcPr>
          <w:p w14:paraId="6289830C" w14:textId="77777777" w:rsidR="00EC142C" w:rsidRPr="0011704A" w:rsidRDefault="00EC142C" w:rsidP="00047182">
            <w:pPr>
              <w:spacing w:beforeLines="60" w:before="144" w:afterLines="60" w:after="144"/>
              <w:rPr>
                <w:sz w:val="20"/>
                <w:szCs w:val="20"/>
              </w:rPr>
            </w:pPr>
            <w:r w:rsidRPr="0011704A">
              <w:rPr>
                <w:sz w:val="24"/>
                <w:szCs w:val="24"/>
              </w:rPr>
              <w:t>1102.</w:t>
            </w:r>
          </w:p>
        </w:tc>
        <w:tc>
          <w:tcPr>
            <w:tcW w:w="4521" w:type="pct"/>
            <w:vAlign w:val="center"/>
          </w:tcPr>
          <w:p w14:paraId="50755327" w14:textId="77777777" w:rsidR="00EC142C" w:rsidRDefault="00EC142C" w:rsidP="00047182">
            <w:pPr>
              <w:spacing w:beforeLines="60" w:before="144" w:afterLines="60" w:after="144"/>
            </w:pPr>
            <w:r w:rsidRPr="0011704A">
              <w:t xml:space="preserve">How does the SFA account for accompaniments when determining whether food items meet the Smart Snack standards?  </w:t>
            </w:r>
          </w:p>
          <w:p w14:paraId="0C3CF19D" w14:textId="1EF806BF" w:rsidR="00B1417B" w:rsidRDefault="003A0A66" w:rsidP="00047182">
            <w:pPr>
              <w:spacing w:beforeLines="60" w:before="144" w:afterLines="60" w:after="144"/>
              <w:rPr>
                <w:color w:val="FF0000"/>
              </w:rPr>
            </w:pPr>
            <w:r>
              <w:rPr>
                <w:color w:val="FF0000"/>
              </w:rPr>
              <w:t>Tips: Have a process in place to determine the portion sizes (or average portion sizes) and associated nutrients (calories, fat, sodium, sugar). Remember SFAs cannot sell accompaniments on their own (</w:t>
            </w:r>
            <w:proofErr w:type="gramStart"/>
            <w:r>
              <w:rPr>
                <w:color w:val="FF0000"/>
              </w:rPr>
              <w:t>e.g.</w:t>
            </w:r>
            <w:proofErr w:type="gramEnd"/>
            <w:r>
              <w:rPr>
                <w:color w:val="FF0000"/>
              </w:rPr>
              <w:t xml:space="preserve"> a side of ranch) unless they meet the Smart Snack standards. Best practice to pre-portion accompaniments for greater control.</w:t>
            </w:r>
          </w:p>
          <w:p w14:paraId="6EB472E1" w14:textId="77777777" w:rsidR="00AD2555" w:rsidRPr="00AD2555" w:rsidRDefault="00AD2555" w:rsidP="00AD2555">
            <w:pPr>
              <w:spacing w:beforeLines="60" w:before="144" w:afterLines="60" w:after="144"/>
              <w:rPr>
                <w:color w:val="FF0000"/>
              </w:rPr>
            </w:pPr>
            <w:r w:rsidRPr="00AD2555">
              <w:rPr>
                <w:b/>
                <w:color w:val="FF0000"/>
              </w:rPr>
              <w:t xml:space="preserve">Resources: </w:t>
            </w:r>
          </w:p>
          <w:p w14:paraId="1BA81102" w14:textId="6AFE0A2B" w:rsidR="00AD2555" w:rsidRPr="00A84631" w:rsidRDefault="00A84631" w:rsidP="00A84631">
            <w:pPr>
              <w:pStyle w:val="ListParagraph"/>
              <w:numPr>
                <w:ilvl w:val="0"/>
                <w:numId w:val="2"/>
              </w:numPr>
              <w:spacing w:beforeLines="60" w:before="144" w:afterLines="60" w:after="144"/>
              <w:rPr>
                <w:color w:val="FF0000"/>
              </w:rPr>
            </w:pPr>
            <w:hyperlink r:id="rId14" w:history="1">
              <w:r w:rsidR="00D83282" w:rsidRPr="00A84631">
                <w:rPr>
                  <w:rStyle w:val="Hyperlink"/>
                </w:rPr>
                <w:t>Smart Snacks calculator</w:t>
              </w:r>
            </w:hyperlink>
          </w:p>
        </w:tc>
      </w:tr>
      <w:tr w:rsidR="003A0A66" w:rsidRPr="0011704A" w14:paraId="08681968" w14:textId="77777777" w:rsidTr="00AD2555">
        <w:trPr>
          <w:trHeight w:val="828"/>
        </w:trPr>
        <w:tc>
          <w:tcPr>
            <w:tcW w:w="479" w:type="pct"/>
            <w:shd w:val="pct15" w:color="auto" w:fill="auto"/>
          </w:tcPr>
          <w:p w14:paraId="518D03ED" w14:textId="1CA36DEB" w:rsidR="003A0A66" w:rsidRPr="0011704A" w:rsidRDefault="003A0A66" w:rsidP="00047182">
            <w:pPr>
              <w:spacing w:beforeLines="60" w:before="144" w:afterLines="60" w:after="144"/>
              <w:rPr>
                <w:sz w:val="24"/>
                <w:szCs w:val="24"/>
              </w:rPr>
            </w:pPr>
            <w:r>
              <w:rPr>
                <w:sz w:val="24"/>
                <w:szCs w:val="24"/>
              </w:rPr>
              <w:t>1103.</w:t>
            </w:r>
          </w:p>
        </w:tc>
        <w:tc>
          <w:tcPr>
            <w:tcW w:w="4521" w:type="pct"/>
            <w:vAlign w:val="center"/>
          </w:tcPr>
          <w:p w14:paraId="18D01896" w14:textId="77777777" w:rsidR="003A0A66" w:rsidRDefault="003A0A66" w:rsidP="003A0A66">
            <w:pPr>
              <w:spacing w:beforeLines="60" w:before="144" w:afterLines="60" w:after="144"/>
            </w:pPr>
            <w:r>
              <w:t>Who is responsible for tracking Smart Snacks compliance at the:</w:t>
            </w:r>
          </w:p>
          <w:p w14:paraId="024BF45C" w14:textId="5EC0118B" w:rsidR="003A0A66" w:rsidRDefault="003A0A66" w:rsidP="003A0A66">
            <w:pPr>
              <w:spacing w:beforeLines="60" w:before="144" w:afterLines="60" w:after="144"/>
            </w:pPr>
            <w:r>
              <w:t xml:space="preserve">a. SFA level: </w:t>
            </w:r>
          </w:p>
          <w:p w14:paraId="36EA224E" w14:textId="77777777" w:rsidR="003A0A66" w:rsidRDefault="003A0A66" w:rsidP="003A0A66">
            <w:pPr>
              <w:spacing w:beforeLines="60" w:before="144" w:afterLines="60" w:after="144"/>
            </w:pPr>
            <w:r>
              <w:t>b. School level:</w:t>
            </w:r>
          </w:p>
          <w:p w14:paraId="096DFABC" w14:textId="77777777" w:rsidR="003A0A66" w:rsidRDefault="003A0A66" w:rsidP="003A0A66">
            <w:pPr>
              <w:spacing w:beforeLines="60" w:before="144" w:afterLines="60" w:after="144"/>
            </w:pPr>
            <w:r>
              <w:t>c. For foodservice:</w:t>
            </w:r>
          </w:p>
          <w:p w14:paraId="29DC6DAC" w14:textId="579A67E0" w:rsidR="003A0A66" w:rsidRPr="00A84631" w:rsidRDefault="003A0A66" w:rsidP="003A0A66">
            <w:pPr>
              <w:spacing w:beforeLines="60" w:before="144" w:afterLines="60" w:after="144"/>
              <w:rPr>
                <w:rFonts w:cs="Times New Roman"/>
                <w:color w:val="FF0000"/>
              </w:rPr>
            </w:pPr>
            <w:r w:rsidRPr="003A0A66">
              <w:rPr>
                <w:rFonts w:cs="Times New Roman"/>
                <w:b/>
                <w:color w:val="FF0000"/>
              </w:rPr>
              <w:lastRenderedPageBreak/>
              <w:t>Tips</w:t>
            </w:r>
            <w:r>
              <w:rPr>
                <w:rFonts w:cs="Times New Roman"/>
                <w:color w:val="FF0000"/>
              </w:rPr>
              <w:t>: LEA and SFA should collaborate with who is responsible for tracking Smart Snacks compliance as there are many opportunities for this to occur outside of the food service department (ex. school stores, vending machines, student-run fundraisers, etc.)</w:t>
            </w:r>
          </w:p>
        </w:tc>
      </w:tr>
    </w:tbl>
    <w:p w14:paraId="5B8E84AD" w14:textId="5527B9F2" w:rsidR="00AD2555" w:rsidRDefault="00AD2555" w:rsidP="00EC142C"/>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8347"/>
      </w:tblGrid>
      <w:tr w:rsidR="00EC142C" w:rsidRPr="009629EC" w14:paraId="522E2A43" w14:textId="77777777" w:rsidTr="00047182">
        <w:tc>
          <w:tcPr>
            <w:tcW w:w="5000" w:type="pct"/>
            <w:gridSpan w:val="2"/>
            <w:shd w:val="pct20" w:color="auto" w:fill="FFFFFF"/>
          </w:tcPr>
          <w:p w14:paraId="0584C960" w14:textId="77777777" w:rsidR="00EC142C" w:rsidRPr="00EC142C" w:rsidRDefault="00EC142C" w:rsidP="00047182">
            <w:pPr>
              <w:spacing w:beforeLines="60" w:before="144" w:afterLines="60" w:after="144" w:line="240" w:lineRule="auto"/>
              <w:jc w:val="center"/>
              <w:rPr>
                <w:b/>
              </w:rPr>
            </w:pPr>
            <w:r>
              <w:rPr>
                <w:b/>
              </w:rPr>
              <w:t>On-Site Questions</w:t>
            </w:r>
          </w:p>
        </w:tc>
      </w:tr>
      <w:tr w:rsidR="008F58DC" w:rsidRPr="009629EC" w14:paraId="491BC8C8" w14:textId="77777777" w:rsidTr="008F58DC">
        <w:tc>
          <w:tcPr>
            <w:tcW w:w="5000" w:type="pct"/>
            <w:gridSpan w:val="2"/>
            <w:shd w:val="clear" w:color="auto" w:fill="FFFFFF" w:themeFill="background1"/>
          </w:tcPr>
          <w:p w14:paraId="501823A1" w14:textId="77777777" w:rsidR="008F58DC" w:rsidRPr="00EC142C" w:rsidRDefault="008F58DC" w:rsidP="00047182">
            <w:pPr>
              <w:spacing w:beforeLines="60" w:before="144" w:afterLines="60" w:after="144" w:line="240" w:lineRule="auto"/>
            </w:pPr>
            <w:r>
              <w:t>School Level Questions</w:t>
            </w:r>
          </w:p>
        </w:tc>
      </w:tr>
      <w:tr w:rsidR="00EC142C" w:rsidRPr="009629EC" w14:paraId="43AD0E67" w14:textId="77777777" w:rsidTr="00047182">
        <w:tc>
          <w:tcPr>
            <w:tcW w:w="528" w:type="pct"/>
            <w:shd w:val="clear" w:color="auto" w:fill="FFFFFF" w:themeFill="background1"/>
          </w:tcPr>
          <w:p w14:paraId="49F26CB5" w14:textId="77777777" w:rsidR="00EC142C" w:rsidRPr="00EC142C" w:rsidRDefault="00EC142C" w:rsidP="00047182">
            <w:pPr>
              <w:spacing w:beforeLines="60" w:before="144" w:afterLines="60" w:after="144" w:line="240" w:lineRule="auto"/>
            </w:pPr>
            <w:r w:rsidRPr="00EC142C">
              <w:t>1104.</w:t>
            </w:r>
          </w:p>
        </w:tc>
        <w:tc>
          <w:tcPr>
            <w:tcW w:w="4472" w:type="pct"/>
            <w:shd w:val="clear" w:color="auto" w:fill="FFFFFF" w:themeFill="background1"/>
          </w:tcPr>
          <w:p w14:paraId="7441439A" w14:textId="77777777" w:rsidR="00EC142C" w:rsidRDefault="00EC142C" w:rsidP="00047182">
            <w:pPr>
              <w:spacing w:beforeLines="60" w:before="144" w:afterLines="60" w:after="144" w:line="240" w:lineRule="auto"/>
            </w:pPr>
            <w:r w:rsidRPr="00EC142C">
              <w:t xml:space="preserve">Where are students able to purchase </w:t>
            </w:r>
            <w:proofErr w:type="gramStart"/>
            <w:r w:rsidRPr="00EC142C">
              <w:t>foods</w:t>
            </w:r>
            <w:proofErr w:type="gramEnd"/>
            <w:r w:rsidRPr="00EC142C">
              <w:t xml:space="preserve"> during the school day?</w:t>
            </w:r>
          </w:p>
          <w:p w14:paraId="06CB61B6" w14:textId="77777777" w:rsidR="004D6E6C" w:rsidRDefault="004D6E6C" w:rsidP="00047182">
            <w:pPr>
              <w:spacing w:beforeLines="60" w:before="144" w:afterLines="60" w:after="144" w:line="240" w:lineRule="auto"/>
              <w:rPr>
                <w:color w:val="FF0000"/>
              </w:rPr>
            </w:pPr>
            <w:r>
              <w:rPr>
                <w:b/>
                <w:color w:val="FF0000"/>
              </w:rPr>
              <w:t xml:space="preserve">Tips: </w:t>
            </w:r>
            <w:r w:rsidR="003663A4">
              <w:rPr>
                <w:color w:val="FF0000"/>
              </w:rPr>
              <w:t>SFA and Local Education</w:t>
            </w:r>
            <w:r>
              <w:rPr>
                <w:color w:val="FF0000"/>
              </w:rPr>
              <w:t xml:space="preserve"> Agency (LEA) collaboration is essential for implementation. Work closely with the LEA to ensure a process is in place to ensure compliance.</w:t>
            </w:r>
          </w:p>
          <w:p w14:paraId="687DF857" w14:textId="598FE8B8" w:rsidR="004D6E6C" w:rsidRPr="004D6E6C" w:rsidRDefault="004D6E6C" w:rsidP="00D83282">
            <w:pPr>
              <w:pStyle w:val="NoSpacing"/>
            </w:pPr>
          </w:p>
        </w:tc>
      </w:tr>
      <w:tr w:rsidR="00EC142C" w:rsidRPr="009629EC" w14:paraId="60068758" w14:textId="77777777" w:rsidTr="00047182">
        <w:trPr>
          <w:trHeight w:val="1637"/>
        </w:trPr>
        <w:tc>
          <w:tcPr>
            <w:tcW w:w="528" w:type="pct"/>
          </w:tcPr>
          <w:p w14:paraId="610E555D" w14:textId="77777777" w:rsidR="00EC142C" w:rsidRPr="00EC142C" w:rsidRDefault="00EC142C" w:rsidP="00047182">
            <w:pPr>
              <w:spacing w:beforeLines="60" w:before="144" w:afterLines="60" w:after="144" w:line="240" w:lineRule="auto"/>
              <w:ind w:left="30"/>
            </w:pPr>
            <w:r w:rsidRPr="00EC142C">
              <w:t>1105.</w:t>
            </w:r>
          </w:p>
        </w:tc>
        <w:tc>
          <w:tcPr>
            <w:tcW w:w="4472" w:type="pct"/>
            <w:vAlign w:val="center"/>
          </w:tcPr>
          <w:p w14:paraId="38EA3F19" w14:textId="551DF572" w:rsidR="003A0A66" w:rsidRDefault="003A0A66" w:rsidP="003A0A66">
            <w:pPr>
              <w:pStyle w:val="ListParagraph"/>
              <w:numPr>
                <w:ilvl w:val="0"/>
                <w:numId w:val="1"/>
              </w:numPr>
              <w:spacing w:beforeLines="60" w:before="144" w:afterLines="60" w:after="144" w:line="240" w:lineRule="auto"/>
            </w:pPr>
            <w:r>
              <w:t>Review 10% of the food and beverages sold during the review month. Do foods and beverages sold to students during the school day (defined as 12 am on a day of instruction to 30 minutes after the end of the official school day), including a la carte foods and beverages sold during meal services, meet Smart Snacks standards? (Includes food items sold during non-exempt fundraisers)</w:t>
            </w:r>
          </w:p>
          <w:p w14:paraId="0D837242" w14:textId="77777777" w:rsidR="003A0A66" w:rsidRDefault="003A0A66" w:rsidP="003A0A66">
            <w:pPr>
              <w:pStyle w:val="ListParagraph"/>
              <w:spacing w:beforeLines="60" w:before="144" w:afterLines="60" w:after="144" w:line="240" w:lineRule="auto"/>
              <w:ind w:left="390"/>
            </w:pPr>
            <w:r>
              <w:t>If NO, explain.</w:t>
            </w:r>
          </w:p>
          <w:p w14:paraId="26607821" w14:textId="77777777" w:rsidR="00EC142C" w:rsidRDefault="00EC142C" w:rsidP="00EC142C">
            <w:pPr>
              <w:pStyle w:val="ListParagraph"/>
              <w:numPr>
                <w:ilvl w:val="0"/>
                <w:numId w:val="1"/>
              </w:numPr>
            </w:pPr>
            <w:r w:rsidRPr="00EC142C">
              <w:t>If mixed grades, do beverages meet requirements for the youngest age?</w:t>
            </w:r>
          </w:p>
          <w:p w14:paraId="5DED4D33" w14:textId="490C6470" w:rsidR="004D6E6C" w:rsidRDefault="004D6E6C" w:rsidP="003663A4">
            <w:pPr>
              <w:pStyle w:val="NoSpacing"/>
              <w:rPr>
                <w:color w:val="FF0000"/>
              </w:rPr>
            </w:pPr>
            <w:r w:rsidRPr="003663A4">
              <w:rPr>
                <w:b/>
                <w:color w:val="FF0000"/>
              </w:rPr>
              <w:t xml:space="preserve">Tips: </w:t>
            </w:r>
            <w:r w:rsidR="00B1417B">
              <w:rPr>
                <w:color w:val="FF0000"/>
              </w:rPr>
              <w:t xml:space="preserve">All </w:t>
            </w:r>
            <w:r w:rsidR="003663A4">
              <w:rPr>
                <w:color w:val="FF0000"/>
              </w:rPr>
              <w:t>food</w:t>
            </w:r>
            <w:r w:rsidR="00A84631">
              <w:rPr>
                <w:color w:val="FF0000"/>
              </w:rPr>
              <w:t xml:space="preserve"> and beverage</w:t>
            </w:r>
            <w:r w:rsidR="003663A4">
              <w:rPr>
                <w:color w:val="FF0000"/>
              </w:rPr>
              <w:t xml:space="preserve"> sales </w:t>
            </w:r>
            <w:r w:rsidR="00A84631">
              <w:rPr>
                <w:color w:val="FF0000"/>
              </w:rPr>
              <w:t>to</w:t>
            </w:r>
            <w:r w:rsidR="003663A4">
              <w:rPr>
                <w:color w:val="FF0000"/>
              </w:rPr>
              <w:t xml:space="preserve"> students must comply with the Smart Snacks regulations when they occur on the school campus, during the school day. </w:t>
            </w:r>
            <w:r w:rsidRPr="003663A4">
              <w:rPr>
                <w:color w:val="FF0000"/>
              </w:rPr>
              <w:t xml:space="preserve">For schools with mixed grades, beverages sold to students during the school day must </w:t>
            </w:r>
            <w:r w:rsidR="003663A4" w:rsidRPr="003663A4">
              <w:rPr>
                <w:color w:val="FF0000"/>
              </w:rPr>
              <w:t>meet requirements for the youngest age if all students have access to the beverages.</w:t>
            </w:r>
          </w:p>
          <w:p w14:paraId="73B774BE" w14:textId="77777777" w:rsidR="003663A4" w:rsidRPr="003663A4" w:rsidRDefault="003663A4" w:rsidP="003663A4">
            <w:pPr>
              <w:pStyle w:val="NoSpacing"/>
              <w:rPr>
                <w:b/>
              </w:rPr>
            </w:pPr>
          </w:p>
        </w:tc>
      </w:tr>
      <w:tr w:rsidR="00EC142C" w:rsidRPr="009629EC" w14:paraId="3D82B549" w14:textId="77777777" w:rsidTr="00047182">
        <w:trPr>
          <w:trHeight w:val="908"/>
        </w:trPr>
        <w:tc>
          <w:tcPr>
            <w:tcW w:w="528" w:type="pct"/>
          </w:tcPr>
          <w:p w14:paraId="75833194" w14:textId="77777777" w:rsidR="00EC142C" w:rsidRPr="00EC142C" w:rsidRDefault="00EC142C" w:rsidP="00047182">
            <w:pPr>
              <w:spacing w:beforeLines="60" w:before="144" w:afterLines="60" w:after="144" w:line="240" w:lineRule="auto"/>
              <w:ind w:left="30"/>
            </w:pPr>
            <w:r w:rsidRPr="00EC142C">
              <w:t>1106.</w:t>
            </w:r>
          </w:p>
        </w:tc>
        <w:tc>
          <w:tcPr>
            <w:tcW w:w="4472" w:type="pct"/>
            <w:vAlign w:val="center"/>
          </w:tcPr>
          <w:p w14:paraId="096C042C" w14:textId="77777777" w:rsidR="003A0A66" w:rsidRDefault="003A0A66" w:rsidP="003A0A66">
            <w:proofErr w:type="gramStart"/>
            <w:r>
              <w:t>Does</w:t>
            </w:r>
            <w:proofErr w:type="gramEnd"/>
            <w:r>
              <w:t xml:space="preserve"> the school hold fundraisers during the school day where students may purchase food or beverages? If </w:t>
            </w:r>
            <w:proofErr w:type="gramStart"/>
            <w:r>
              <w:t>yes,  indicate</w:t>
            </w:r>
            <w:proofErr w:type="gramEnd"/>
            <w:r>
              <w:t xml:space="preserve"> whether or not the items are Smart Snacks compliant</w:t>
            </w:r>
          </w:p>
          <w:p w14:paraId="0AE29841" w14:textId="0FE8B20D" w:rsidR="003A0A66" w:rsidRDefault="003A0A66" w:rsidP="003A0A66">
            <w:pPr>
              <w:pStyle w:val="NoSpacing"/>
            </w:pPr>
            <w:r>
              <w:t>If the items are not Smart Snacks compliant, did the school observe the State-defined limit on fundraisers?</w:t>
            </w:r>
          </w:p>
          <w:p w14:paraId="6D035AB0" w14:textId="77777777" w:rsidR="003A0A66" w:rsidRDefault="003A0A66" w:rsidP="003A0A66">
            <w:pPr>
              <w:pStyle w:val="NoSpacing"/>
            </w:pPr>
          </w:p>
          <w:p w14:paraId="5B2C8C90" w14:textId="1D9C2921" w:rsidR="003663A4" w:rsidRDefault="003663A4" w:rsidP="003A0A66">
            <w:pPr>
              <w:pStyle w:val="NoSpacing"/>
              <w:rPr>
                <w:color w:val="FF0000"/>
              </w:rPr>
            </w:pPr>
            <w:r w:rsidRPr="003663A4">
              <w:rPr>
                <w:b/>
                <w:color w:val="FF0000"/>
              </w:rPr>
              <w:t xml:space="preserve">Tips: </w:t>
            </w:r>
            <w:r w:rsidRPr="003663A4">
              <w:rPr>
                <w:color w:val="FF0000"/>
              </w:rPr>
              <w:t xml:space="preserve">Up to three exempt fundraisers are allowed per school building per year. </w:t>
            </w:r>
            <w:r>
              <w:rPr>
                <w:color w:val="FF0000"/>
              </w:rPr>
              <w:t xml:space="preserve">The duration of the fundraisers will be determined by the </w:t>
            </w:r>
            <w:proofErr w:type="gramStart"/>
            <w:r w:rsidR="00B1417B">
              <w:rPr>
                <w:color w:val="FF0000"/>
              </w:rPr>
              <w:t>LEA</w:t>
            </w:r>
            <w:r>
              <w:rPr>
                <w:color w:val="FF0000"/>
              </w:rPr>
              <w:t>,</w:t>
            </w:r>
            <w:proofErr w:type="gramEnd"/>
            <w:r>
              <w:rPr>
                <w:color w:val="FF0000"/>
              </w:rPr>
              <w:t xml:space="preserve"> however, the duration must comply with the intent of the legislation to increase the consumption of healthy foods during the school day and create an environment that reinforces the development of healthy eating habits.</w:t>
            </w:r>
          </w:p>
          <w:p w14:paraId="5719693F" w14:textId="77777777" w:rsidR="003663A4" w:rsidRDefault="003663A4" w:rsidP="003663A4">
            <w:pPr>
              <w:pStyle w:val="NoSpacing"/>
              <w:rPr>
                <w:color w:val="FF0000"/>
              </w:rPr>
            </w:pPr>
          </w:p>
          <w:p w14:paraId="04E7762C" w14:textId="77777777" w:rsidR="003663A4" w:rsidRDefault="003663A4" w:rsidP="003663A4">
            <w:pPr>
              <w:pStyle w:val="NoSpacing"/>
              <w:rPr>
                <w:b/>
                <w:color w:val="FF0000"/>
              </w:rPr>
            </w:pPr>
            <w:r>
              <w:rPr>
                <w:b/>
                <w:color w:val="FF0000"/>
              </w:rPr>
              <w:t>Resources:</w:t>
            </w:r>
          </w:p>
          <w:p w14:paraId="3EAD391F" w14:textId="6989F0C0" w:rsidR="003663A4" w:rsidRDefault="00A84631" w:rsidP="00A84631">
            <w:pPr>
              <w:pStyle w:val="NoSpacing"/>
              <w:numPr>
                <w:ilvl w:val="0"/>
                <w:numId w:val="2"/>
              </w:numPr>
              <w:rPr>
                <w:color w:val="FF0000"/>
              </w:rPr>
            </w:pPr>
            <w:hyperlink r:id="rId15" w:history="1">
              <w:r w:rsidR="003663A4" w:rsidRPr="00A84631">
                <w:rPr>
                  <w:rStyle w:val="Hyperlink"/>
                </w:rPr>
                <w:t>CO policy on fundraisers</w:t>
              </w:r>
            </w:hyperlink>
          </w:p>
          <w:p w14:paraId="16752A83" w14:textId="1430B5BA" w:rsidR="003663A4" w:rsidRPr="003663A4" w:rsidRDefault="003663A4" w:rsidP="003663A4">
            <w:pPr>
              <w:pStyle w:val="NoSpacing"/>
              <w:rPr>
                <w:color w:val="FF0000"/>
              </w:rPr>
            </w:pPr>
          </w:p>
          <w:p w14:paraId="27ECABAC" w14:textId="77777777" w:rsidR="003663A4" w:rsidRPr="003663A4" w:rsidRDefault="003663A4" w:rsidP="003663A4">
            <w:pPr>
              <w:pStyle w:val="NoSpacing"/>
              <w:rPr>
                <w:b/>
              </w:rPr>
            </w:pPr>
          </w:p>
        </w:tc>
      </w:tr>
      <w:tr w:rsidR="00EC142C" w:rsidRPr="009629EC" w14:paraId="56BC2B03" w14:textId="77777777" w:rsidTr="00047182">
        <w:trPr>
          <w:trHeight w:val="782"/>
        </w:trPr>
        <w:tc>
          <w:tcPr>
            <w:tcW w:w="528" w:type="pct"/>
          </w:tcPr>
          <w:p w14:paraId="5A717627" w14:textId="77777777" w:rsidR="00EC142C" w:rsidRPr="00EC142C" w:rsidRDefault="00EC142C" w:rsidP="00047182">
            <w:pPr>
              <w:spacing w:beforeLines="60" w:before="144" w:afterLines="60" w:after="144" w:line="240" w:lineRule="auto"/>
              <w:ind w:left="30"/>
            </w:pPr>
            <w:r w:rsidRPr="00EC142C">
              <w:t>1107.</w:t>
            </w:r>
          </w:p>
        </w:tc>
        <w:tc>
          <w:tcPr>
            <w:tcW w:w="4472" w:type="pct"/>
            <w:vAlign w:val="center"/>
          </w:tcPr>
          <w:p w14:paraId="4DCE9EB1" w14:textId="77777777" w:rsidR="00EC142C" w:rsidRDefault="00EC142C" w:rsidP="00047182">
            <w:r w:rsidRPr="00EC142C">
              <w:t>Are exempt leftover NSLP entrees only sold the same day, or the day after, they are initially offered?</w:t>
            </w:r>
          </w:p>
          <w:p w14:paraId="0AAAD50E" w14:textId="77777777" w:rsidR="003663A4" w:rsidRPr="003663A4" w:rsidRDefault="003663A4" w:rsidP="00047182">
            <w:pPr>
              <w:rPr>
                <w:color w:val="FF0000"/>
              </w:rPr>
            </w:pPr>
            <w:r>
              <w:rPr>
                <w:b/>
                <w:color w:val="FF0000"/>
              </w:rPr>
              <w:lastRenderedPageBreak/>
              <w:t xml:space="preserve">Tips: </w:t>
            </w:r>
            <w:r>
              <w:rPr>
                <w:color w:val="FF0000"/>
              </w:rPr>
              <w:t xml:space="preserve">Exempt entrée items offered as a competitive food must be offered in the same or smaller portion sizes as in NSLP or SBP. </w:t>
            </w:r>
            <w:r w:rsidR="00A64A39">
              <w:rPr>
                <w:color w:val="FF0000"/>
              </w:rPr>
              <w:t xml:space="preserve">This is allowable for both SBP and NSLP entrees. In turn, an entrée served at breakfast can be sold at lunch and vice versa on the same day, or the day after, they are offered as part of a reimbursable meal. </w:t>
            </w:r>
          </w:p>
        </w:tc>
      </w:tr>
    </w:tbl>
    <w:p w14:paraId="5C77446A" w14:textId="77777777" w:rsidR="00D83282" w:rsidRDefault="00D83282" w:rsidP="003A0A66"/>
    <w:p w14:paraId="668874EA" w14:textId="77777777" w:rsidR="00D83282" w:rsidRDefault="00D83282" w:rsidP="008F58DC">
      <w:pPr>
        <w:jc w:val="center"/>
      </w:pPr>
    </w:p>
    <w:p w14:paraId="2CB84611" w14:textId="77777777" w:rsidR="00A80822" w:rsidRDefault="00A80822" w:rsidP="00A64A39"/>
    <w:sectPr w:rsidR="00A8082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BC11" w14:textId="77777777" w:rsidR="00D83640" w:rsidRDefault="00D83640" w:rsidP="00A80822">
      <w:pPr>
        <w:spacing w:after="0" w:line="240" w:lineRule="auto"/>
      </w:pPr>
      <w:r>
        <w:separator/>
      </w:r>
    </w:p>
  </w:endnote>
  <w:endnote w:type="continuationSeparator" w:id="0">
    <w:p w14:paraId="03E883E4" w14:textId="77777777" w:rsidR="00D83640" w:rsidRDefault="00D83640" w:rsidP="00A8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7A3A" w14:textId="77777777" w:rsidR="00555383" w:rsidRDefault="00555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85418"/>
      <w:docPartObj>
        <w:docPartGallery w:val="Page Numbers (Bottom of Page)"/>
        <w:docPartUnique/>
      </w:docPartObj>
    </w:sdtPr>
    <w:sdtEndPr>
      <w:rPr>
        <w:noProof/>
      </w:rPr>
    </w:sdtEndPr>
    <w:sdtContent>
      <w:p w14:paraId="3BA90E33" w14:textId="77777777" w:rsidR="00A80822" w:rsidRDefault="00A80822">
        <w:pPr>
          <w:pStyle w:val="Footer"/>
          <w:jc w:val="right"/>
        </w:pPr>
        <w:r>
          <w:fldChar w:fldCharType="begin"/>
        </w:r>
        <w:r>
          <w:instrText xml:space="preserve"> PAGE   \* MERGEFORMAT </w:instrText>
        </w:r>
        <w:r>
          <w:fldChar w:fldCharType="separate"/>
        </w:r>
        <w:r w:rsidR="002723D1">
          <w:rPr>
            <w:noProof/>
          </w:rPr>
          <w:t>3</w:t>
        </w:r>
        <w:r>
          <w:rPr>
            <w:noProof/>
          </w:rPr>
          <w:fldChar w:fldCharType="end"/>
        </w:r>
      </w:p>
    </w:sdtContent>
  </w:sdt>
  <w:p w14:paraId="5F92800F" w14:textId="2E693884" w:rsidR="00A80822" w:rsidRPr="003D4049" w:rsidRDefault="003D4049" w:rsidP="00555383">
    <w:pPr>
      <w:autoSpaceDE w:val="0"/>
      <w:autoSpaceDN w:val="0"/>
      <w:adjustRightInd w:val="0"/>
      <w:spacing w:after="0" w:line="240" w:lineRule="auto"/>
      <w:jc w:val="center"/>
      <w:rPr>
        <w:rFonts w:cs="Arial"/>
      </w:rPr>
    </w:pPr>
    <w:r w:rsidRPr="003D4049">
      <w:rPr>
        <w:rFonts w:cs="Arial"/>
      </w:rPr>
      <w:t>This institution is an equal opportunity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34A1" w14:textId="77777777" w:rsidR="00555383" w:rsidRDefault="00555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CA1E" w14:textId="77777777" w:rsidR="00D83640" w:rsidRDefault="00D83640" w:rsidP="00A80822">
      <w:pPr>
        <w:spacing w:after="0" w:line="240" w:lineRule="auto"/>
      </w:pPr>
      <w:r>
        <w:separator/>
      </w:r>
    </w:p>
  </w:footnote>
  <w:footnote w:type="continuationSeparator" w:id="0">
    <w:p w14:paraId="7A32B89B" w14:textId="77777777" w:rsidR="00D83640" w:rsidRDefault="00D83640" w:rsidP="00A80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E90E" w14:textId="77777777" w:rsidR="00555383" w:rsidRDefault="00555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99B7" w14:textId="77777777" w:rsidR="00A80822" w:rsidRPr="00A80822" w:rsidRDefault="00A80822" w:rsidP="00A80822">
    <w:pPr>
      <w:pStyle w:val="Header"/>
      <w:jc w:val="center"/>
      <w:rPr>
        <w:b/>
      </w:rPr>
    </w:pPr>
    <w:r>
      <w:rPr>
        <w:b/>
      </w:rPr>
      <w:t>USDA Adm</w:t>
    </w:r>
    <w:r w:rsidR="00C80A96">
      <w:rPr>
        <w:b/>
      </w:rPr>
      <w:t>inistrative Review: Smart Snacks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680E" w14:textId="77777777" w:rsidR="00555383" w:rsidRDefault="00555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3091"/>
    <w:multiLevelType w:val="hybridMultilevel"/>
    <w:tmpl w:val="DE7600CC"/>
    <w:lvl w:ilvl="0" w:tplc="B5144A3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73ADE"/>
    <w:multiLevelType w:val="hybridMultilevel"/>
    <w:tmpl w:val="2AAC73D6"/>
    <w:lvl w:ilvl="0" w:tplc="B5144A3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F5159"/>
    <w:multiLevelType w:val="hybridMultilevel"/>
    <w:tmpl w:val="36CE0C4E"/>
    <w:lvl w:ilvl="0" w:tplc="B5144A3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BF55CF"/>
    <w:multiLevelType w:val="hybridMultilevel"/>
    <w:tmpl w:val="50A06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BE3829"/>
    <w:multiLevelType w:val="hybridMultilevel"/>
    <w:tmpl w:val="9ABEE9D0"/>
    <w:lvl w:ilvl="0" w:tplc="72A218B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46757C"/>
    <w:multiLevelType w:val="hybridMultilevel"/>
    <w:tmpl w:val="B440A1A2"/>
    <w:lvl w:ilvl="0" w:tplc="B5144A3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37CD1"/>
    <w:multiLevelType w:val="hybridMultilevel"/>
    <w:tmpl w:val="664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048BF"/>
    <w:multiLevelType w:val="hybridMultilevel"/>
    <w:tmpl w:val="58343622"/>
    <w:lvl w:ilvl="0" w:tplc="B5144A3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943FFE"/>
    <w:multiLevelType w:val="hybridMultilevel"/>
    <w:tmpl w:val="615EA7C4"/>
    <w:lvl w:ilvl="0" w:tplc="FDA2DB44">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536381113">
    <w:abstractNumId w:val="8"/>
  </w:num>
  <w:num w:numId="2" w16cid:durableId="1376079802">
    <w:abstractNumId w:val="5"/>
  </w:num>
  <w:num w:numId="3" w16cid:durableId="44642826">
    <w:abstractNumId w:val="4"/>
  </w:num>
  <w:num w:numId="4" w16cid:durableId="757601962">
    <w:abstractNumId w:val="2"/>
  </w:num>
  <w:num w:numId="5" w16cid:durableId="309793779">
    <w:abstractNumId w:val="7"/>
  </w:num>
  <w:num w:numId="6" w16cid:durableId="201673172">
    <w:abstractNumId w:val="0"/>
  </w:num>
  <w:num w:numId="7" w16cid:durableId="247202619">
    <w:abstractNumId w:val="3"/>
  </w:num>
  <w:num w:numId="8" w16cid:durableId="939021116">
    <w:abstractNumId w:val="6"/>
  </w:num>
  <w:num w:numId="9" w16cid:durableId="181313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22"/>
    <w:rsid w:val="000B5635"/>
    <w:rsid w:val="000F170F"/>
    <w:rsid w:val="0011605B"/>
    <w:rsid w:val="0020586B"/>
    <w:rsid w:val="002723D1"/>
    <w:rsid w:val="003663A4"/>
    <w:rsid w:val="003A0A66"/>
    <w:rsid w:val="003D4049"/>
    <w:rsid w:val="00427CE4"/>
    <w:rsid w:val="00457BA6"/>
    <w:rsid w:val="004D6E6C"/>
    <w:rsid w:val="00514AF3"/>
    <w:rsid w:val="00555383"/>
    <w:rsid w:val="005706A2"/>
    <w:rsid w:val="00614348"/>
    <w:rsid w:val="006E3001"/>
    <w:rsid w:val="008B481C"/>
    <w:rsid w:val="008F58DC"/>
    <w:rsid w:val="00926DB0"/>
    <w:rsid w:val="00A64A39"/>
    <w:rsid w:val="00A80822"/>
    <w:rsid w:val="00A84631"/>
    <w:rsid w:val="00AD2555"/>
    <w:rsid w:val="00B1417B"/>
    <w:rsid w:val="00B74F93"/>
    <w:rsid w:val="00BA3B5F"/>
    <w:rsid w:val="00BA4E52"/>
    <w:rsid w:val="00C80A96"/>
    <w:rsid w:val="00C83E1E"/>
    <w:rsid w:val="00CA3915"/>
    <w:rsid w:val="00D83282"/>
    <w:rsid w:val="00D83640"/>
    <w:rsid w:val="00D845CA"/>
    <w:rsid w:val="00DB421D"/>
    <w:rsid w:val="00E24F4A"/>
    <w:rsid w:val="00EC142C"/>
    <w:rsid w:val="00ED0D2C"/>
    <w:rsid w:val="00F43922"/>
    <w:rsid w:val="00F8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4472"/>
  <w15:docId w15:val="{8DEB973D-1EBE-4F8A-BB13-775D4736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822"/>
  </w:style>
  <w:style w:type="paragraph" w:styleId="Footer">
    <w:name w:val="footer"/>
    <w:basedOn w:val="Normal"/>
    <w:link w:val="FooterChar"/>
    <w:uiPriority w:val="99"/>
    <w:unhideWhenUsed/>
    <w:rsid w:val="00A80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822"/>
  </w:style>
  <w:style w:type="table" w:styleId="TableGrid">
    <w:name w:val="Table Grid"/>
    <w:basedOn w:val="TableNormal"/>
    <w:uiPriority w:val="59"/>
    <w:rsid w:val="00EC142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42C"/>
    <w:pPr>
      <w:ind w:left="720"/>
      <w:contextualSpacing/>
    </w:pPr>
    <w:rPr>
      <w:rFonts w:ascii="Calibri" w:eastAsia="Calibri" w:hAnsi="Calibri" w:cs="Times New Roman"/>
    </w:rPr>
  </w:style>
  <w:style w:type="character" w:styleId="Hyperlink">
    <w:name w:val="Hyperlink"/>
    <w:basedOn w:val="DefaultParagraphFont"/>
    <w:uiPriority w:val="99"/>
    <w:unhideWhenUsed/>
    <w:rsid w:val="00926DB0"/>
    <w:rPr>
      <w:color w:val="0000FF" w:themeColor="hyperlink"/>
      <w:u w:val="single"/>
    </w:rPr>
  </w:style>
  <w:style w:type="paragraph" w:styleId="NoSpacing">
    <w:name w:val="No Spacing"/>
    <w:uiPriority w:val="1"/>
    <w:qFormat/>
    <w:rsid w:val="003663A4"/>
    <w:pPr>
      <w:spacing w:after="0" w:line="240" w:lineRule="auto"/>
    </w:pPr>
    <w:rPr>
      <w:rFonts w:eastAsiaTheme="minorEastAsia"/>
    </w:rPr>
  </w:style>
  <w:style w:type="character" w:styleId="FollowedHyperlink">
    <w:name w:val="FollowedHyperlink"/>
    <w:basedOn w:val="DefaultParagraphFont"/>
    <w:uiPriority w:val="99"/>
    <w:semiHidden/>
    <w:unhideWhenUsed/>
    <w:rsid w:val="003663A4"/>
    <w:rPr>
      <w:color w:val="800080" w:themeColor="followedHyperlink"/>
      <w:u w:val="single"/>
    </w:rPr>
  </w:style>
  <w:style w:type="character" w:styleId="CommentReference">
    <w:name w:val="annotation reference"/>
    <w:basedOn w:val="DefaultParagraphFont"/>
    <w:uiPriority w:val="99"/>
    <w:semiHidden/>
    <w:unhideWhenUsed/>
    <w:rsid w:val="00BA4E52"/>
    <w:rPr>
      <w:sz w:val="16"/>
      <w:szCs w:val="16"/>
    </w:rPr>
  </w:style>
  <w:style w:type="paragraph" w:styleId="CommentText">
    <w:name w:val="annotation text"/>
    <w:basedOn w:val="Normal"/>
    <w:link w:val="CommentTextChar"/>
    <w:uiPriority w:val="99"/>
    <w:semiHidden/>
    <w:unhideWhenUsed/>
    <w:rsid w:val="00BA4E52"/>
    <w:pPr>
      <w:spacing w:line="240" w:lineRule="auto"/>
    </w:pPr>
    <w:rPr>
      <w:sz w:val="20"/>
      <w:szCs w:val="20"/>
    </w:rPr>
  </w:style>
  <w:style w:type="character" w:customStyle="1" w:styleId="CommentTextChar">
    <w:name w:val="Comment Text Char"/>
    <w:basedOn w:val="DefaultParagraphFont"/>
    <w:link w:val="CommentText"/>
    <w:uiPriority w:val="99"/>
    <w:semiHidden/>
    <w:rsid w:val="00BA4E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A4E52"/>
    <w:rPr>
      <w:b/>
      <w:bCs/>
    </w:rPr>
  </w:style>
  <w:style w:type="character" w:customStyle="1" w:styleId="CommentSubjectChar">
    <w:name w:val="Comment Subject Char"/>
    <w:basedOn w:val="CommentTextChar"/>
    <w:link w:val="CommentSubject"/>
    <w:uiPriority w:val="99"/>
    <w:semiHidden/>
    <w:rsid w:val="00BA4E52"/>
    <w:rPr>
      <w:rFonts w:eastAsiaTheme="minorEastAsia"/>
      <w:b/>
      <w:bCs/>
      <w:sz w:val="20"/>
      <w:szCs w:val="20"/>
    </w:rPr>
  </w:style>
  <w:style w:type="paragraph" w:styleId="BalloonText">
    <w:name w:val="Balloon Text"/>
    <w:basedOn w:val="Normal"/>
    <w:link w:val="BalloonTextChar"/>
    <w:uiPriority w:val="99"/>
    <w:semiHidden/>
    <w:unhideWhenUsed/>
    <w:rsid w:val="00BA4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E5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51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planner.healthiergeneration.org/calculator/" TargetMode="External"/><Relationship Id="rId13" Type="http://schemas.openxmlformats.org/officeDocument/2006/relationships/hyperlink" Target="https://dpi.wi.gov/sites/default/files/imce/school-nutrition/recipe-analyzer-tool.xls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fns-prod.azureedge.us/sites/default/files/resource-files/smartsnacks.pdf" TargetMode="External"/><Relationship Id="rId12" Type="http://schemas.openxmlformats.org/officeDocument/2006/relationships/hyperlink" Target="https://www.fns.usda.gov/tn/usda-approved-nutrient-analysis-softwa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nutrition/smart-snacks-in-schools" TargetMode="External"/><Relationship Id="rId5" Type="http://schemas.openxmlformats.org/officeDocument/2006/relationships/footnotes" Target="footnotes.xml"/><Relationship Id="rId15" Type="http://schemas.openxmlformats.org/officeDocument/2006/relationships/hyperlink" Target="http://www.cde.state.co.us/nutrition/smartsnackscolopolicyexemptfundraisers" TargetMode="External"/><Relationship Id="rId23" Type="http://schemas.openxmlformats.org/officeDocument/2006/relationships/theme" Target="theme/theme1.xml"/><Relationship Id="rId10" Type="http://schemas.openxmlformats.org/officeDocument/2006/relationships/hyperlink" Target="http://www.cde.state.co.us/nutrition/smartsnackscolopolicyexemptfundraiser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de.state.co.us/nutrition/osnsmartsnacksandcompetitivefoodsquickreferenceguide" TargetMode="External"/><Relationship Id="rId14" Type="http://schemas.openxmlformats.org/officeDocument/2006/relationships/hyperlink" Target="https://foodplanner.healthiergeneration.org/calculato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Brehan</dc:creator>
  <cp:lastModifiedBy>Opgenorth, Erin</cp:lastModifiedBy>
  <cp:revision>4</cp:revision>
  <dcterms:created xsi:type="dcterms:W3CDTF">2021-09-28T22:57:00Z</dcterms:created>
  <dcterms:modified xsi:type="dcterms:W3CDTF">2023-09-28T21:31:00Z</dcterms:modified>
</cp:coreProperties>
</file>