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EC" w:rsidRPr="00DE01EC" w:rsidRDefault="00502B0A" w:rsidP="00DE01EC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DE01EC" w:rsidRPr="00DE01EC">
        <w:rPr>
          <w:rFonts w:ascii="Times New Roman" w:hAnsi="Times New Roman" w:cs="Times New Roman"/>
          <w:b/>
          <w:sz w:val="24"/>
          <w:szCs w:val="24"/>
        </w:rPr>
        <w:t>Bullying Prevention and Education Grant Self-Assessment</w:t>
      </w:r>
    </w:p>
    <w:p w:rsidR="00DE01EC" w:rsidRPr="00DE01EC" w:rsidRDefault="00DE01EC" w:rsidP="00DE01EC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F93250" w:rsidRPr="00DE01EC" w:rsidRDefault="00F93250" w:rsidP="00DE01EC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  <w:r w:rsidRPr="00DE01EC">
        <w:rPr>
          <w:rFonts w:ascii="Times New Roman" w:hAnsi="Times New Roman" w:cs="Times New Roman"/>
          <w:sz w:val="24"/>
          <w:szCs w:val="24"/>
        </w:rPr>
        <w:t>Instructions</w:t>
      </w:r>
    </w:p>
    <w:p w:rsidR="00F93250" w:rsidRPr="00DE01EC" w:rsidRDefault="00F93250" w:rsidP="00DE01EC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</w:p>
    <w:p w:rsidR="007560D1" w:rsidRPr="00DE01EC" w:rsidRDefault="004E1155" w:rsidP="00DE01EC">
      <w:pPr>
        <w:pStyle w:val="BodyText"/>
        <w:kinsoku w:val="0"/>
        <w:overflowPunct w:val="0"/>
        <w:ind w:left="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02B0A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 xml:space="preserve">Bullying Prevention and Education Grant </w:t>
      </w:r>
      <w:r w:rsidR="00502B0A">
        <w:rPr>
          <w:rFonts w:ascii="Times New Roman" w:hAnsi="Times New Roman" w:cs="Times New Roman"/>
          <w:sz w:val="24"/>
          <w:szCs w:val="24"/>
        </w:rPr>
        <w:t xml:space="preserve">(BPEG) </w:t>
      </w:r>
      <w:r>
        <w:rPr>
          <w:rFonts w:ascii="Times New Roman" w:hAnsi="Times New Roman" w:cs="Times New Roman"/>
          <w:sz w:val="24"/>
          <w:szCs w:val="24"/>
        </w:rPr>
        <w:t xml:space="preserve">Self-Assessment is designed to support BPEG grantees in their implementation of the project. </w:t>
      </w:r>
      <w:r w:rsidR="00DE01EC">
        <w:rPr>
          <w:rFonts w:ascii="Times New Roman" w:hAnsi="Times New Roman" w:cs="Times New Roman"/>
          <w:sz w:val="24"/>
          <w:szCs w:val="24"/>
        </w:rPr>
        <w:t xml:space="preserve">Many of the items on the self-assessment relate to grant activities and can serve as a fidelity measure for the annual report to the Colorado Department of Education (CDE). </w:t>
      </w:r>
      <w:r>
        <w:rPr>
          <w:rFonts w:ascii="Times New Roman" w:hAnsi="Times New Roman" w:cs="Times New Roman"/>
          <w:sz w:val="24"/>
          <w:szCs w:val="24"/>
        </w:rPr>
        <w:t>In addition, t</w:t>
      </w:r>
      <w:r w:rsidR="00DE01E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DE01EC">
        <w:rPr>
          <w:rFonts w:ascii="Times New Roman" w:hAnsi="Times New Roman" w:cs="Times New Roman"/>
          <w:sz w:val="24"/>
          <w:szCs w:val="24"/>
        </w:rPr>
        <w:t xml:space="preserve"> self-assessment 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01EC">
        <w:rPr>
          <w:rFonts w:ascii="Times New Roman" w:hAnsi="Times New Roman" w:cs="Times New Roman"/>
          <w:sz w:val="24"/>
          <w:szCs w:val="24"/>
        </w:rPr>
        <w:t xml:space="preserve"> guidance on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="00DE01EC">
        <w:rPr>
          <w:rFonts w:ascii="Times New Roman" w:hAnsi="Times New Roman" w:cs="Times New Roman"/>
          <w:sz w:val="24"/>
          <w:szCs w:val="24"/>
        </w:rPr>
        <w:t xml:space="preserve"> strengths and weaknesses </w:t>
      </w:r>
      <w:r w:rsidR="00B20F3C">
        <w:rPr>
          <w:rFonts w:ascii="Times New Roman" w:hAnsi="Times New Roman" w:cs="Times New Roman"/>
          <w:sz w:val="24"/>
          <w:szCs w:val="24"/>
        </w:rPr>
        <w:t>related to preventing bullying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20F3C">
        <w:rPr>
          <w:rFonts w:ascii="Times New Roman" w:hAnsi="Times New Roman" w:cs="Times New Roman"/>
          <w:sz w:val="24"/>
          <w:szCs w:val="24"/>
        </w:rPr>
        <w:t>can be used to determine next steps and goals for the B</w:t>
      </w:r>
      <w:r>
        <w:rPr>
          <w:rFonts w:ascii="Times New Roman" w:hAnsi="Times New Roman" w:cs="Times New Roman"/>
          <w:sz w:val="24"/>
          <w:szCs w:val="24"/>
        </w:rPr>
        <w:t xml:space="preserve">ullying </w:t>
      </w:r>
      <w:r w:rsidR="00B20F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revention </w:t>
      </w:r>
      <w:r w:rsidR="00B20F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(BPC)</w:t>
      </w:r>
      <w:r w:rsidR="00B20F3C">
        <w:rPr>
          <w:rFonts w:ascii="Times New Roman" w:hAnsi="Times New Roman" w:cs="Times New Roman"/>
          <w:sz w:val="24"/>
          <w:szCs w:val="24"/>
        </w:rPr>
        <w:t>.</w:t>
      </w:r>
      <w:r w:rsidR="00AA470A">
        <w:rPr>
          <w:rFonts w:ascii="Times New Roman" w:hAnsi="Times New Roman" w:cs="Times New Roman"/>
          <w:sz w:val="24"/>
          <w:szCs w:val="24"/>
        </w:rPr>
        <w:t xml:space="preserve"> This document is not meant to represent all of the activities and considerations that are part of the </w:t>
      </w:r>
      <w:r w:rsidR="00502B0A">
        <w:rPr>
          <w:rFonts w:ascii="Times New Roman" w:hAnsi="Times New Roman" w:cs="Times New Roman"/>
          <w:sz w:val="24"/>
          <w:szCs w:val="24"/>
        </w:rPr>
        <w:t>BPEG.</w:t>
      </w:r>
    </w:p>
    <w:p w:rsidR="00F93250" w:rsidRPr="00DE01EC" w:rsidRDefault="00F93250" w:rsidP="00DE01EC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</w:p>
    <w:p w:rsidR="0026315B" w:rsidRDefault="004E1155" w:rsidP="00DE01E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bookmarkStart w:id="1" w:name="For each of the checklists included in t"/>
      <w:bookmarkEnd w:id="1"/>
      <w:r>
        <w:rPr>
          <w:rFonts w:ascii="Times New Roman" w:hAnsi="Times New Roman" w:cs="Times New Roman"/>
          <w:sz w:val="24"/>
          <w:szCs w:val="24"/>
        </w:rPr>
        <w:t>The BPEG Self-Assessment should be completed by the BPC at least annually with the support of the Implementation Coach</w:t>
      </w:r>
      <w:r w:rsidR="0026315B">
        <w:rPr>
          <w:rFonts w:ascii="Times New Roman" w:hAnsi="Times New Roman" w:cs="Times New Roman"/>
          <w:sz w:val="24"/>
          <w:szCs w:val="24"/>
        </w:rPr>
        <w:t xml:space="preserve">. When </w:t>
      </w:r>
      <w:r w:rsidR="00502B0A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5B">
        <w:rPr>
          <w:rFonts w:ascii="Times New Roman" w:hAnsi="Times New Roman" w:cs="Times New Roman"/>
          <w:sz w:val="24"/>
          <w:szCs w:val="24"/>
        </w:rPr>
        <w:t>assessment is completed, sum all of the points and write this number in the blank space provided (i.e., “Raw score of ______”). To calculate the percentage of points received, divide the number of raw points by the total number of possible points and write this number in the blank space provided (i.e., “_____%”).</w:t>
      </w:r>
    </w:p>
    <w:p w:rsidR="0026315B" w:rsidRDefault="0026315B" w:rsidP="00DE01E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26315B" w:rsidRDefault="0026315B" w:rsidP="0026315B">
      <w:pPr>
        <w:pStyle w:val="BodyText"/>
        <w:kinsoku w:val="0"/>
        <w:overflowPunct w:val="0"/>
        <w:ind w:left="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summary of all raw scores and percentages can be </w:t>
      </w:r>
      <w:r w:rsidR="00502B0A">
        <w:rPr>
          <w:rFonts w:ascii="Times New Roman" w:hAnsi="Times New Roman" w:cs="Times New Roman"/>
          <w:sz w:val="24"/>
          <w:szCs w:val="24"/>
        </w:rPr>
        <w:t>transferred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02B0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table below.</w:t>
      </w:r>
      <w:r w:rsidR="008738A5">
        <w:rPr>
          <w:rFonts w:ascii="Times New Roman" w:hAnsi="Times New Roman" w:cs="Times New Roman"/>
          <w:sz w:val="24"/>
          <w:szCs w:val="24"/>
        </w:rPr>
        <w:t xml:space="preserve"> In the “Area to Focus” section, write the item numbers that are priorities </w:t>
      </w:r>
      <w:r w:rsidR="004B0015">
        <w:rPr>
          <w:rFonts w:ascii="Times New Roman" w:hAnsi="Times New Roman" w:cs="Times New Roman"/>
          <w:sz w:val="24"/>
          <w:szCs w:val="24"/>
        </w:rPr>
        <w:t xml:space="preserve">for </w:t>
      </w:r>
      <w:r w:rsidR="008738A5">
        <w:rPr>
          <w:rFonts w:ascii="Times New Roman" w:hAnsi="Times New Roman" w:cs="Times New Roman"/>
          <w:sz w:val="24"/>
          <w:szCs w:val="24"/>
        </w:rPr>
        <w:t xml:space="preserve">the BPC </w:t>
      </w:r>
      <w:r w:rsidR="004B0015">
        <w:rPr>
          <w:rFonts w:ascii="Times New Roman" w:hAnsi="Times New Roman" w:cs="Times New Roman"/>
          <w:sz w:val="24"/>
          <w:szCs w:val="24"/>
        </w:rPr>
        <w:t>until the next self-assessment is completed.</w:t>
      </w:r>
    </w:p>
    <w:tbl>
      <w:tblPr>
        <w:tblpPr w:leftFromText="180" w:rightFromText="180" w:vertAnchor="text" w:horzAnchor="margin" w:tblpY="109"/>
        <w:tblW w:w="13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2160"/>
        <w:gridCol w:w="2160"/>
        <w:gridCol w:w="2856"/>
      </w:tblGrid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1E0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26315B" w:rsidRDefault="000471E0" w:rsidP="000471E0">
            <w:pPr>
              <w:pStyle w:val="BodyText"/>
              <w:kinsoku w:val="0"/>
              <w:overflowPunct w:val="0"/>
              <w:ind w:left="119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Topic "/>
            <w:bookmarkStart w:id="3" w:name="Checklist Score "/>
            <w:bookmarkEnd w:id="2"/>
            <w:bookmarkEnd w:id="3"/>
            <w:r w:rsidRPr="0026315B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Default="000471E0" w:rsidP="000471E0">
            <w:pPr>
              <w:pStyle w:val="BodyText"/>
              <w:kinsoku w:val="0"/>
              <w:overflowPunct w:val="0"/>
              <w:ind w:left="119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B">
              <w:rPr>
                <w:rFonts w:ascii="Times New Roman" w:hAnsi="Times New Roman" w:cs="Times New Roman"/>
                <w:b/>
                <w:sz w:val="24"/>
                <w:szCs w:val="24"/>
              </w:rPr>
              <w:t>Raw Score</w:t>
            </w:r>
          </w:p>
          <w:p w:rsidR="000471E0" w:rsidRPr="0026315B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26315B" w:rsidRDefault="000471E0" w:rsidP="000471E0">
            <w:pPr>
              <w:pStyle w:val="BodyText"/>
              <w:kinsoku w:val="0"/>
              <w:overflowPunct w:val="0"/>
              <w:ind w:left="119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5B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26315B" w:rsidRDefault="000471E0" w:rsidP="000471E0">
            <w:pPr>
              <w:pStyle w:val="BodyText"/>
              <w:kinsoku w:val="0"/>
              <w:overflowPunct w:val="0"/>
              <w:ind w:left="119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to Focus</w:t>
            </w: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Bullying Prevention Committee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DE01EC" w:rsidRDefault="0044414B" w:rsidP="0044414B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Climate and Culture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DE01EC" w:rsidRDefault="0044414B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Bullying Prevention Curriculum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DE01EC" w:rsidRDefault="0044414B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Surveys and 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5A65EA">
              <w:rPr>
                <w:rFonts w:ascii="Times New Roman" w:hAnsi="Times New Roman" w:cs="Times New Roman"/>
                <w:sz w:val="24"/>
                <w:szCs w:val="24"/>
              </w:rPr>
              <w:t>, School,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Community Partnering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Voice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E0" w:rsidRPr="00DE01EC" w:rsidTr="000471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Bullying Prevention Policy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0" w:rsidRPr="00DE01EC" w:rsidRDefault="000471E0" w:rsidP="000471E0">
            <w:pPr>
              <w:pStyle w:val="BodyText"/>
              <w:kinsoku w:val="0"/>
              <w:overflowPunct w:val="0"/>
              <w:ind w:left="119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5B" w:rsidRDefault="0026315B" w:rsidP="0026315B">
      <w:pPr>
        <w:pStyle w:val="BodyText"/>
        <w:kinsoku w:val="0"/>
        <w:overflowPunct w:val="0"/>
        <w:ind w:left="0" w:right="140"/>
        <w:rPr>
          <w:rFonts w:ascii="Times New Roman" w:hAnsi="Times New Roman" w:cs="Times New Roman"/>
          <w:sz w:val="24"/>
          <w:szCs w:val="24"/>
        </w:rPr>
      </w:pPr>
    </w:p>
    <w:p w:rsidR="00333656" w:rsidRPr="00333656" w:rsidRDefault="00333656" w:rsidP="00333656">
      <w:pPr>
        <w:pStyle w:val="BodyText"/>
        <w:kinsoku w:val="0"/>
        <w:overflowPunct w:val="0"/>
        <w:ind w:left="0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5" w:rsidRDefault="004B0015" w:rsidP="00DE01EC">
      <w:pPr>
        <w:pStyle w:val="BodyText"/>
        <w:kinsoku w:val="0"/>
        <w:overflowPunct w:val="0"/>
        <w:spacing w:line="360" w:lineRule="auto"/>
        <w:ind w:left="119" w:right="140"/>
        <w:rPr>
          <w:rFonts w:ascii="Times New Roman" w:hAnsi="Times New Roman" w:cs="Times New Roman"/>
        </w:rPr>
      </w:pPr>
    </w:p>
    <w:p w:rsidR="00DE01EC" w:rsidRPr="004B0015" w:rsidRDefault="004B0015" w:rsidP="00DE01EC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*</w:t>
      </w:r>
      <w:r w:rsidR="00DE01EC" w:rsidRPr="004B0015">
        <w:rPr>
          <w:rFonts w:ascii="Times New Roman" w:hAnsi="Times New Roman" w:cs="Times New Roman"/>
          <w:i/>
          <w:sz w:val="18"/>
        </w:rPr>
        <w:t>Ad</w:t>
      </w:r>
      <w:r w:rsidR="00CD4B41">
        <w:rPr>
          <w:rFonts w:ascii="Times New Roman" w:hAnsi="Times New Roman" w:cs="Times New Roman"/>
          <w:i/>
          <w:sz w:val="18"/>
        </w:rPr>
        <w:t>a</w:t>
      </w:r>
      <w:r w:rsidR="00DE01EC" w:rsidRPr="004B0015">
        <w:rPr>
          <w:rFonts w:ascii="Times New Roman" w:hAnsi="Times New Roman" w:cs="Times New Roman"/>
          <w:i/>
          <w:sz w:val="18"/>
        </w:rPr>
        <w:t>pted from the Safe Communities Safe School Pre-Planning Assessment Handbook and the Colorado Department of Education’s MTSS Self-Assessment.</w:t>
      </w:r>
    </w:p>
    <w:p w:rsidR="008738A5" w:rsidRDefault="008738A5" w:rsidP="005F5E2D">
      <w:pPr>
        <w:pStyle w:val="BodyText"/>
        <w:kinsoku w:val="0"/>
        <w:overflowPunct w:val="0"/>
        <w:jc w:val="center"/>
        <w:rPr>
          <w:rFonts w:ascii="Times New Roman" w:hAnsi="Times New Roman" w:cs="Times New Roman"/>
          <w:b/>
        </w:rPr>
      </w:pPr>
      <w:bookmarkStart w:id="4" w:name="Parent/Community Involvement Checklist "/>
      <w:bookmarkEnd w:id="4"/>
    </w:p>
    <w:p w:rsidR="005F5E2D" w:rsidRDefault="005F5E2D" w:rsidP="00EF2488">
      <w:pPr>
        <w:pStyle w:val="BodyText"/>
        <w:kinsoku w:val="0"/>
        <w:overflowPunct w:val="0"/>
        <w:ind w:left="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Bullying Prevention Committee (BPC)</w:t>
      </w:r>
    </w:p>
    <w:p w:rsidR="0044414B" w:rsidRPr="00E351EE" w:rsidRDefault="0044414B" w:rsidP="00EF2488">
      <w:pPr>
        <w:pStyle w:val="BodyText"/>
        <w:kinsoku w:val="0"/>
        <w:overflowPunct w:val="0"/>
        <w:ind w:left="81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"/>
        <w:tblW w:w="11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6"/>
        <w:gridCol w:w="924"/>
        <w:gridCol w:w="990"/>
        <w:gridCol w:w="630"/>
        <w:gridCol w:w="3420"/>
      </w:tblGrid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44414B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44414B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Fully in 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44414B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Partially in Place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44414B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 in Place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44414B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Evidence and Notes</w:t>
            </w: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89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BPC has been created.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527FB3" w:rsidRDefault="0044414B" w:rsidP="004441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54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diverse range (e.g., grade level) of teachers on the BPC.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527FB3" w:rsidRDefault="0044414B" w:rsidP="00527F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3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school administrator is a member of the BPC.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527FB3" w:rsidRDefault="0044414B" w:rsidP="004441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29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have a voice in the work of the BPC that includes, but is not limited to, being a member of the team.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527FB3" w:rsidRDefault="0044414B" w:rsidP="004441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have a voice in the work of the BPC that includes, but is not limited to, being a member of the team.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 have a voice in the BPC that includes, but is not limited to, being a member of the team.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2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clearly defined, written goal for the BPC including measureable outcomes.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BPC consistently monitors the bullying prevention efforts in the school (e.g., administration of curriculum lessons, data analysis, resource/funding streams for sustainability).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BPC meets at least monthly and uses a consistent meeting process (e.g., agendas, meeting minutes).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 members have clearly defined roles and responsibilities (e.g., meeting facilitator, student group leader).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7560D1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BPC has a clear plan for communicating decisions, implementation, and outcomes to stakeholders (e.g., parents, students, teachers).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BPC has a formal problem-solving process that includes steps such as: </w:t>
            </w:r>
            <w:r>
              <w:rPr>
                <w:i/>
                <w:sz w:val="20"/>
                <w:szCs w:val="20"/>
              </w:rPr>
              <w:t>problem identification, problem analysis, plan implementation</w:t>
            </w:r>
            <w:r>
              <w:rPr>
                <w:sz w:val="20"/>
                <w:szCs w:val="20"/>
              </w:rPr>
              <w:t xml:space="preserve">, and </w:t>
            </w:r>
            <w:r>
              <w:rPr>
                <w:i/>
                <w:sz w:val="20"/>
                <w:szCs w:val="20"/>
              </w:rPr>
              <w:t>plan evaluation</w:t>
            </w:r>
            <w:r>
              <w:rPr>
                <w:sz w:val="20"/>
                <w:szCs w:val="20"/>
              </w:rPr>
              <w:t xml:space="preserve"> to inform decisions about supports and prevention efforts.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9C6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14B" w:rsidRDefault="0044414B" w:rsidP="0044414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"/>
              <w:ind w:left="360" w:right="648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PC members and the Implementation Coach have attended the mandatory CDE trainings.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14B" w:rsidRPr="00DD724A" w:rsidRDefault="0044414B" w:rsidP="0044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4B" w:rsidRPr="007560D1" w:rsidRDefault="0044414B" w:rsidP="0044414B">
            <w:pPr>
              <w:rPr>
                <w:sz w:val="20"/>
                <w:szCs w:val="20"/>
              </w:rPr>
            </w:pPr>
          </w:p>
        </w:tc>
      </w:tr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4B" w:rsidRPr="007560D1" w:rsidRDefault="0044414B" w:rsidP="0044414B">
            <w:pPr>
              <w:jc w:val="right"/>
              <w:rPr>
                <w:sz w:val="20"/>
                <w:szCs w:val="20"/>
              </w:rPr>
            </w:pPr>
            <w:r w:rsidRPr="00053B1F">
              <w:rPr>
                <w:b/>
                <w:sz w:val="20"/>
                <w:szCs w:val="20"/>
              </w:rPr>
              <w:t>Bullying Prevention Committee</w:t>
            </w:r>
            <w:r>
              <w:rPr>
                <w:b/>
                <w:sz w:val="20"/>
                <w:szCs w:val="20"/>
              </w:rPr>
              <w:t xml:space="preserve"> Percentage Score: (Raw score of _____/ 26) = ________%  </w:t>
            </w:r>
            <w:r>
              <w:t xml:space="preserve">  </w:t>
            </w:r>
          </w:p>
        </w:tc>
      </w:tr>
    </w:tbl>
    <w:p w:rsidR="005F5E2D" w:rsidRPr="007560D1" w:rsidRDefault="005F5E2D" w:rsidP="005F5E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5F5E2D" w:rsidRPr="007560D1" w:rsidRDefault="005F5E2D" w:rsidP="005F5E2D">
      <w:pPr>
        <w:rPr>
          <w:sz w:val="20"/>
          <w:szCs w:val="20"/>
        </w:rPr>
        <w:sectPr w:rsidR="005F5E2D" w:rsidRPr="007560D1" w:rsidSect="007560D1">
          <w:headerReference w:type="default" r:id="rId7"/>
          <w:pgSz w:w="15840" w:h="12240" w:orient="landscape"/>
          <w:pgMar w:top="1320" w:right="1720" w:bottom="280" w:left="1320" w:header="1527" w:footer="0" w:gutter="0"/>
          <w:pgNumType w:start="4"/>
          <w:cols w:space="720"/>
          <w:noEndnote/>
          <w:docGrid w:linePitch="326"/>
        </w:sectPr>
      </w:pPr>
    </w:p>
    <w:p w:rsidR="0044414B" w:rsidRPr="00285919" w:rsidRDefault="0044414B" w:rsidP="0044414B">
      <w:pPr>
        <w:pStyle w:val="BodyText"/>
        <w:kinsoku w:val="0"/>
        <w:overflowPunct w:val="0"/>
        <w:spacing w:before="25"/>
        <w:ind w:left="1800"/>
        <w:jc w:val="center"/>
        <w:rPr>
          <w:rFonts w:ascii="Times New Roman" w:hAnsi="Times New Roman" w:cs="Times New Roman"/>
          <w:b/>
        </w:rPr>
      </w:pPr>
      <w:bookmarkStart w:id="5" w:name="School Climate Checklist "/>
      <w:bookmarkEnd w:id="5"/>
      <w:r w:rsidRPr="00285919">
        <w:rPr>
          <w:rFonts w:ascii="Times New Roman" w:hAnsi="Times New Roman" w:cs="Times New Roman"/>
          <w:b/>
        </w:rPr>
        <w:lastRenderedPageBreak/>
        <w:t>School Climate</w:t>
      </w:r>
      <w:r w:rsidRPr="00285919">
        <w:rPr>
          <w:rFonts w:ascii="Times New Roman" w:hAnsi="Times New Roman" w:cs="Times New Roman"/>
          <w:b/>
          <w:spacing w:val="-5"/>
        </w:rPr>
        <w:t xml:space="preserve"> and Culture</w:t>
      </w:r>
    </w:p>
    <w:p w:rsidR="0044414B" w:rsidRPr="007560D1" w:rsidRDefault="0044414B" w:rsidP="0044414B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tbl>
      <w:tblPr>
        <w:tblW w:w="11610" w:type="dxa"/>
        <w:tblInd w:w="1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6"/>
        <w:gridCol w:w="868"/>
        <w:gridCol w:w="990"/>
        <w:gridCol w:w="686"/>
        <w:gridCol w:w="3420"/>
      </w:tblGrid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D87865">
            <w:pPr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Fully in 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Partially in Place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 in Place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Evidence and Notes</w:t>
            </w:r>
          </w:p>
        </w:tc>
      </w:tr>
      <w:tr w:rsidR="0044414B" w:rsidRPr="007560D1" w:rsidTr="00D8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FF6EEA" w:rsidRDefault="0044414B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right="3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to five school-wide behavior expectations have been defined (e.g., Be safe, respectful, responsible).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4B" w:rsidRPr="00DD724A" w:rsidRDefault="0044414B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4B" w:rsidRPr="007560D1" w:rsidRDefault="0044414B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D8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right="29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 expectations have been defined in positive terms for each school setting (e.g., what does being “safe, respectful, and responsible” look like in the gym, cafeteria, etc.)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right="29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are posted and/or visible in all school settings.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D8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7560D1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right="29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behaviors for each specific setting are taught in that setting at least twice a year.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D8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7560D1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behaviors are clearly defined and explained to all staff and on the office discipline referral form.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for problem behaviors are clearly defined and explained to all students.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members respond similarly when students report problem behaviors.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consistently implement office discipline referral and behavior consequences.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D8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adequate staff during unstructured free time and in other common areas to effectively supervise students.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system of positive reinforcement is in place in all common area settings.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area supervision staff have been trained in active supervision techniques and provide consistent behavioral reports.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D0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7560D1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</w:t>
            </w:r>
            <w:r w:rsidRPr="00756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offers</w:t>
            </w:r>
            <w:r w:rsidRPr="007560D1">
              <w:rPr>
                <w:sz w:val="20"/>
                <w:szCs w:val="20"/>
              </w:rPr>
              <w:t xml:space="preserve"> support and</w:t>
            </w:r>
            <w:r>
              <w:rPr>
                <w:sz w:val="20"/>
                <w:szCs w:val="20"/>
              </w:rPr>
              <w:t>/or</w:t>
            </w:r>
            <w:r w:rsidRPr="007560D1">
              <w:rPr>
                <w:sz w:val="20"/>
                <w:szCs w:val="20"/>
              </w:rPr>
              <w:t xml:space="preserve"> counseling for bullying </w:t>
            </w:r>
            <w:r>
              <w:rPr>
                <w:sz w:val="20"/>
                <w:szCs w:val="20"/>
              </w:rPr>
              <w:t>targets</w:t>
            </w:r>
            <w:r w:rsidRPr="007560D1">
              <w:rPr>
                <w:spacing w:val="-17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to assist them in coping with the effects of bullying and to help them</w:t>
            </w:r>
            <w:r w:rsidRPr="007560D1">
              <w:rPr>
                <w:spacing w:val="-13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learn techniques that will discourage further</w:t>
            </w:r>
            <w:r w:rsidRPr="007560D1"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bullying.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7560D1" w:rsidRDefault="00845849" w:rsidP="00D878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/>
              <w:ind w:left="360" w:right="2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</w:t>
            </w:r>
            <w:r w:rsidRPr="00756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</w:t>
            </w:r>
            <w:r w:rsidRPr="00756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clear response</w:t>
            </w:r>
            <w:r w:rsidRPr="007560D1">
              <w:rPr>
                <w:sz w:val="20"/>
                <w:szCs w:val="20"/>
              </w:rPr>
              <w:t xml:space="preserve"> measures for students</w:t>
            </w:r>
            <w:r w:rsidRPr="007560D1">
              <w:rPr>
                <w:spacing w:val="-15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 xml:space="preserve">engaged in bullying including training in </w:t>
            </w:r>
            <w:r>
              <w:rPr>
                <w:sz w:val="20"/>
                <w:szCs w:val="20"/>
              </w:rPr>
              <w:t>social-emotional skills</w:t>
            </w:r>
            <w:r w:rsidRPr="007560D1">
              <w:rPr>
                <w:sz w:val="20"/>
                <w:szCs w:val="20"/>
              </w:rPr>
              <w:t>, counseling</w:t>
            </w:r>
            <w:r>
              <w:rPr>
                <w:sz w:val="20"/>
                <w:szCs w:val="20"/>
              </w:rPr>
              <w:t>,</w:t>
            </w:r>
            <w:r w:rsidRPr="007560D1">
              <w:rPr>
                <w:spacing w:val="-5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and appropriate</w:t>
            </w:r>
            <w:r w:rsidRPr="007560D1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discipline.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DD724A" w:rsidRDefault="00845849" w:rsidP="00D8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49" w:rsidRPr="007560D1" w:rsidRDefault="00845849" w:rsidP="00D87865">
            <w:pPr>
              <w:rPr>
                <w:sz w:val="20"/>
                <w:szCs w:val="20"/>
              </w:rPr>
            </w:pPr>
          </w:p>
        </w:tc>
      </w:tr>
      <w:tr w:rsidR="00845849" w:rsidRPr="007560D1" w:rsidTr="00D87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849" w:rsidRPr="007560D1" w:rsidRDefault="00845849" w:rsidP="0084584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Climate and Culture Percentage Score: (Raw score of _____/ 26) = ________%  </w:t>
            </w:r>
            <w:r>
              <w:t xml:space="preserve">  </w:t>
            </w:r>
          </w:p>
        </w:tc>
      </w:tr>
    </w:tbl>
    <w:p w:rsidR="00845849" w:rsidRDefault="00845849" w:rsidP="00EF2488">
      <w:pPr>
        <w:pStyle w:val="BodyText"/>
        <w:kinsoku w:val="0"/>
        <w:overflowPunct w:val="0"/>
        <w:spacing w:before="25"/>
        <w:ind w:left="1890"/>
        <w:jc w:val="center"/>
        <w:rPr>
          <w:rFonts w:ascii="Times New Roman" w:hAnsi="Times New Roman" w:cs="Times New Roman"/>
          <w:b/>
        </w:rPr>
      </w:pPr>
    </w:p>
    <w:p w:rsidR="006870BD" w:rsidRDefault="006870BD" w:rsidP="00EF2488">
      <w:pPr>
        <w:pStyle w:val="BodyText"/>
        <w:kinsoku w:val="0"/>
        <w:overflowPunct w:val="0"/>
        <w:spacing w:before="25"/>
        <w:ind w:left="18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Bullying Prevention Curriculum</w:t>
      </w:r>
    </w:p>
    <w:p w:rsidR="006870BD" w:rsidRPr="00DC31C1" w:rsidRDefault="006870BD" w:rsidP="006870BD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tbl>
      <w:tblPr>
        <w:tblW w:w="11610" w:type="dxa"/>
        <w:tblInd w:w="1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6"/>
        <w:gridCol w:w="958"/>
        <w:gridCol w:w="990"/>
        <w:gridCol w:w="596"/>
        <w:gridCol w:w="3420"/>
      </w:tblGrid>
      <w:tr w:rsidR="00FF6EEA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7B4956">
            <w:pPr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Fully in 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Partially in Place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 in Place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7B4956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Evidence and Notes</w:t>
            </w:r>
          </w:p>
        </w:tc>
      </w:tr>
      <w:tr w:rsidR="008A48FD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selected bullying prevention curriculum has been reviewed and purchased by the BPC.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sufficient materials for staff and students such that the program can be implemented with fidelity.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right="54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has been scheduled so that all staff members will be ready to fully implement the program at the start of the school year.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CD4B41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right="3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schedule has been developed for the implementation of the </w:t>
            </w:r>
            <w:r w:rsidR="00CD4B41">
              <w:rPr>
                <w:sz w:val="20"/>
                <w:szCs w:val="20"/>
              </w:rPr>
              <w:t>selected bullying prevention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CD4B41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right="3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have received training on the bullying prevention </w:t>
            </w:r>
            <w:r w:rsidR="00CD4B41">
              <w:rPr>
                <w:sz w:val="20"/>
                <w:szCs w:val="20"/>
              </w:rPr>
              <w:t>program.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032A89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Default="00032A89" w:rsidP="006F48C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or more of school personnel have committed to reducing bullying and improving overall school safety.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A4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A4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A4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89" w:rsidRPr="007560D1" w:rsidRDefault="00032A89" w:rsidP="006F48C8">
            <w:pPr>
              <w:rPr>
                <w:sz w:val="20"/>
                <w:szCs w:val="20"/>
              </w:rPr>
            </w:pPr>
          </w:p>
        </w:tc>
      </w:tr>
      <w:tr w:rsidR="00032A89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7560D1" w:rsidRDefault="00032A89" w:rsidP="006F48C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lessons have been taught to all students.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89" w:rsidRPr="007560D1" w:rsidRDefault="00032A89" w:rsidP="006F48C8">
            <w:pPr>
              <w:rPr>
                <w:sz w:val="20"/>
                <w:szCs w:val="20"/>
              </w:rPr>
            </w:pPr>
          </w:p>
        </w:tc>
      </w:tr>
      <w:tr w:rsidR="00032A89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7560D1" w:rsidRDefault="00032A89" w:rsidP="00CD4B41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plan has been developed to orient new students and teachers who enter during the year to the program.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89" w:rsidRPr="007560D1" w:rsidRDefault="00032A89" w:rsidP="006F48C8">
            <w:pPr>
              <w:rPr>
                <w:sz w:val="20"/>
                <w:szCs w:val="20"/>
              </w:rPr>
            </w:pPr>
          </w:p>
        </w:tc>
      </w:tr>
      <w:tr w:rsidR="00032A89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Default="00032A89" w:rsidP="00CD4B41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plan for follow-up with students and staff has been developed.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89" w:rsidRPr="007560D1" w:rsidRDefault="00032A89" w:rsidP="006F48C8">
            <w:pPr>
              <w:rPr>
                <w:sz w:val="20"/>
                <w:szCs w:val="20"/>
              </w:rPr>
            </w:pPr>
          </w:p>
        </w:tc>
      </w:tr>
      <w:tr w:rsidR="00032A89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Default="00032A89" w:rsidP="008340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plan has been developed for two-way communication between school staff and the BPC about implementation.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DD724A" w:rsidRDefault="00032A89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89" w:rsidRPr="007560D1" w:rsidRDefault="00032A89" w:rsidP="006F48C8">
            <w:pPr>
              <w:rPr>
                <w:sz w:val="20"/>
                <w:szCs w:val="20"/>
              </w:rPr>
            </w:pPr>
          </w:p>
        </w:tc>
      </w:tr>
      <w:tr w:rsidR="00032A89" w:rsidRPr="007560D1" w:rsidTr="00C30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89" w:rsidRPr="007560D1" w:rsidRDefault="00032A89" w:rsidP="00032A8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Bullying Prevention Curriculum Percentage Score: (Raw score of _____/ 20) = ________%  </w:t>
            </w:r>
            <w:r>
              <w:t xml:space="preserve">  </w:t>
            </w:r>
          </w:p>
        </w:tc>
      </w:tr>
    </w:tbl>
    <w:p w:rsidR="006870BD" w:rsidRDefault="006870BD" w:rsidP="00EF2488">
      <w:pPr>
        <w:ind w:left="1890"/>
        <w:jc w:val="center"/>
        <w:rPr>
          <w:b/>
        </w:rPr>
      </w:pPr>
      <w:r w:rsidRPr="006870BD">
        <w:rPr>
          <w:b/>
          <w:sz w:val="20"/>
          <w:szCs w:val="20"/>
        </w:rPr>
        <w:lastRenderedPageBreak/>
        <w:t>Surveys and Data</w:t>
      </w: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2166" w:tblpY="127"/>
        <w:tblW w:w="11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  <w:gridCol w:w="900"/>
        <w:gridCol w:w="990"/>
        <w:gridCol w:w="720"/>
        <w:gridCol w:w="3590"/>
      </w:tblGrid>
      <w:tr w:rsidR="00FF6EEA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EF2488">
            <w:pPr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Fully in 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Partially in Place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 in Place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F6EEA" w:rsidRPr="004B0015" w:rsidRDefault="00FF6EEA" w:rsidP="00EF2488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Evidence and Notes</w:t>
            </w:r>
          </w:p>
        </w:tc>
      </w:tr>
      <w:tr w:rsidR="00C305CF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7560D1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self-report annual survey is budgeted for all three years of the grant.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7560D1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right="54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times, dates, and locations of the annual survey are scheduled.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7560D1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right="3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plan has been developed for 60% of parents to opt in their children to take the annual survey.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60% of students completed the survey.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confidentiality and survey implementation protocols were followed.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FF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7560D1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Pr="007560D1">
              <w:rPr>
                <w:sz w:val="20"/>
                <w:szCs w:val="20"/>
              </w:rPr>
              <w:t xml:space="preserve"> collected from student</w:t>
            </w:r>
            <w:r>
              <w:rPr>
                <w:sz w:val="20"/>
                <w:szCs w:val="20"/>
              </w:rPr>
              <w:t>, staff, and parent</w:t>
            </w:r>
            <w:r w:rsidRPr="007560D1">
              <w:rPr>
                <w:sz w:val="20"/>
                <w:szCs w:val="20"/>
              </w:rPr>
              <w:t xml:space="preserve"> surveys </w:t>
            </w:r>
            <w:r>
              <w:rPr>
                <w:sz w:val="20"/>
                <w:szCs w:val="20"/>
              </w:rPr>
              <w:t xml:space="preserve">are used </w:t>
            </w:r>
            <w:r>
              <w:rPr>
                <w:sz w:val="20"/>
                <w:szCs w:val="20"/>
              </w:rPr>
              <w:br/>
              <w:t>for goal setting.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5CF" w:rsidRPr="007560D1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incident data other than an annual survey are collected and regularly used to evaluate the effectiveness of the bullying prevention efforts.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032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CF" w:rsidRDefault="00C305CF" w:rsidP="00EF2488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from the annual survey are reported to stakeholders (e.g., families, community members, the district administration)</w:t>
            </w:r>
            <w:r w:rsidR="00A812A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CF" w:rsidRPr="00DD724A" w:rsidRDefault="00C305CF" w:rsidP="00EF2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F" w:rsidRPr="007560D1" w:rsidRDefault="00C305CF" w:rsidP="00EF2488">
            <w:pPr>
              <w:rPr>
                <w:sz w:val="20"/>
                <w:szCs w:val="20"/>
              </w:rPr>
            </w:pPr>
          </w:p>
        </w:tc>
      </w:tr>
      <w:tr w:rsidR="00C305CF" w:rsidRPr="007560D1" w:rsidTr="00845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CF" w:rsidRPr="007560D1" w:rsidRDefault="00C305CF" w:rsidP="00EF248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Surveys and Data Percentage Score: (Raw score of _____/ 16) = ________%  </w:t>
            </w:r>
            <w:r>
              <w:t xml:space="preserve">  </w:t>
            </w:r>
          </w:p>
        </w:tc>
      </w:tr>
    </w:tbl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C706B9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305CF" w:rsidRDefault="00C305CF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305CF" w:rsidRDefault="00C305CF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305CF" w:rsidRDefault="00C305CF" w:rsidP="00285919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6870BD" w:rsidRDefault="006870BD" w:rsidP="00EF2488">
      <w:pPr>
        <w:pStyle w:val="BodyText"/>
        <w:kinsoku w:val="0"/>
        <w:overflowPunct w:val="0"/>
        <w:ind w:left="1890"/>
        <w:jc w:val="center"/>
        <w:rPr>
          <w:rFonts w:ascii="Times New Roman" w:hAnsi="Times New Roman" w:cs="Times New Roman"/>
          <w:b/>
        </w:rPr>
      </w:pPr>
      <w:bookmarkStart w:id="6" w:name="Crisis Management Checklist "/>
      <w:bookmarkStart w:id="7" w:name=" Safe Communities ~ Safe Schools"/>
      <w:bookmarkStart w:id="8" w:name="At-Risk Student Assessment and Referral "/>
      <w:bookmarkEnd w:id="6"/>
      <w:bookmarkEnd w:id="7"/>
      <w:bookmarkEnd w:id="8"/>
      <w:r>
        <w:rPr>
          <w:rFonts w:ascii="Times New Roman" w:hAnsi="Times New Roman" w:cs="Times New Roman"/>
          <w:b/>
        </w:rPr>
        <w:lastRenderedPageBreak/>
        <w:t>Family</w:t>
      </w:r>
      <w:r w:rsidR="00B33495">
        <w:rPr>
          <w:rFonts w:ascii="Times New Roman" w:hAnsi="Times New Roman" w:cs="Times New Roman"/>
          <w:b/>
        </w:rPr>
        <w:t>, School,</w:t>
      </w:r>
      <w:r>
        <w:rPr>
          <w:rFonts w:ascii="Times New Roman" w:hAnsi="Times New Roman" w:cs="Times New Roman"/>
          <w:b/>
        </w:rPr>
        <w:t xml:space="preserve"> and </w:t>
      </w:r>
      <w:r w:rsidRPr="00E351EE">
        <w:rPr>
          <w:rFonts w:ascii="Times New Roman" w:hAnsi="Times New Roman" w:cs="Times New Roman"/>
          <w:b/>
        </w:rPr>
        <w:t xml:space="preserve">Community </w:t>
      </w:r>
      <w:r>
        <w:rPr>
          <w:rFonts w:ascii="Times New Roman" w:hAnsi="Times New Roman" w:cs="Times New Roman"/>
          <w:b/>
        </w:rPr>
        <w:t>Partnering</w:t>
      </w:r>
    </w:p>
    <w:p w:rsidR="006870BD" w:rsidRDefault="006870BD" w:rsidP="006870BD">
      <w:pPr>
        <w:pStyle w:val="BodyText"/>
        <w:kinsoku w:val="0"/>
        <w:overflowPunct w:val="0"/>
        <w:jc w:val="center"/>
        <w:rPr>
          <w:rFonts w:ascii="Times New Roman" w:hAnsi="Times New Roman" w:cs="Times New Roman"/>
          <w:b/>
        </w:rPr>
      </w:pPr>
    </w:p>
    <w:tbl>
      <w:tblPr>
        <w:tblW w:w="11610" w:type="dxa"/>
        <w:tblInd w:w="1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6"/>
        <w:gridCol w:w="868"/>
        <w:gridCol w:w="990"/>
        <w:gridCol w:w="686"/>
        <w:gridCol w:w="3420"/>
      </w:tblGrid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7B4956">
            <w:pPr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Fully in 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Partially in Place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 in Place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7B4956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Evidence and Notes</w:t>
            </w: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7560D1">
              <w:rPr>
                <w:sz w:val="20"/>
                <w:szCs w:val="20"/>
              </w:rPr>
              <w:t xml:space="preserve"> parents </w:t>
            </w:r>
            <w:r>
              <w:rPr>
                <w:sz w:val="20"/>
                <w:szCs w:val="20"/>
              </w:rPr>
              <w:t xml:space="preserve">are </w:t>
            </w:r>
            <w:r w:rsidRPr="007560D1">
              <w:rPr>
                <w:sz w:val="20"/>
                <w:szCs w:val="20"/>
              </w:rPr>
              <w:t>asked to volunteer in some way during the</w:t>
            </w:r>
            <w:r w:rsidRPr="007560D1">
              <w:rPr>
                <w:spacing w:val="-20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school</w:t>
            </w:r>
            <w:r w:rsidRPr="007560D1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right="54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</w:t>
            </w:r>
            <w:r w:rsidRPr="007560D1">
              <w:rPr>
                <w:sz w:val="20"/>
                <w:szCs w:val="20"/>
              </w:rPr>
              <w:t xml:space="preserve"> a variety of jobs available for volunteers including</w:t>
            </w:r>
            <w:r w:rsidRPr="007560D1">
              <w:rPr>
                <w:spacing w:val="-32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ones that could be done at home or on weekends to provide</w:t>
            </w:r>
            <w:r w:rsidRPr="007560D1">
              <w:rPr>
                <w:spacing w:val="-12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for</w:t>
            </w:r>
            <w:r w:rsidRPr="007560D1">
              <w:rPr>
                <w:spacing w:val="-1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parents/community members who want to help but work during</w:t>
            </w:r>
            <w:r w:rsidRPr="007560D1">
              <w:rPr>
                <w:spacing w:val="-10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school</w:t>
            </w:r>
            <w:r w:rsidRPr="007560D1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right="3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560D1">
              <w:rPr>
                <w:sz w:val="20"/>
                <w:szCs w:val="20"/>
              </w:rPr>
              <w:t xml:space="preserve">olunteers </w:t>
            </w:r>
            <w:r>
              <w:rPr>
                <w:sz w:val="20"/>
                <w:szCs w:val="20"/>
              </w:rPr>
              <w:t xml:space="preserve">are </w:t>
            </w:r>
            <w:r w:rsidRPr="007560D1">
              <w:rPr>
                <w:sz w:val="20"/>
                <w:szCs w:val="20"/>
              </w:rPr>
              <w:t>recognized for their effort and</w:t>
            </w:r>
            <w:r w:rsidRPr="007560D1"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commitment.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right="3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and </w:t>
            </w:r>
            <w:r w:rsidRPr="007560D1">
              <w:rPr>
                <w:sz w:val="20"/>
                <w:szCs w:val="20"/>
              </w:rPr>
              <w:t xml:space="preserve">community members </w:t>
            </w:r>
            <w:r>
              <w:rPr>
                <w:sz w:val="20"/>
                <w:szCs w:val="20"/>
              </w:rPr>
              <w:t xml:space="preserve">are </w:t>
            </w:r>
            <w:r w:rsidRPr="007560D1">
              <w:rPr>
                <w:sz w:val="20"/>
                <w:szCs w:val="20"/>
              </w:rPr>
              <w:t>included on committees</w:t>
            </w:r>
            <w:r>
              <w:rPr>
                <w:sz w:val="20"/>
                <w:szCs w:val="20"/>
              </w:rPr>
              <w:t xml:space="preserve">, when </w:t>
            </w:r>
            <w:r w:rsidRPr="007560D1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>ing</w:t>
            </w:r>
            <w:r w:rsidRPr="007560D1">
              <w:rPr>
                <w:spacing w:val="-1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building policies</w:t>
            </w:r>
            <w:r>
              <w:rPr>
                <w:sz w:val="20"/>
                <w:szCs w:val="20"/>
              </w:rPr>
              <w:t>, and in bullying prevention</w:t>
            </w:r>
            <w:r w:rsidRPr="007560D1">
              <w:rPr>
                <w:sz w:val="20"/>
                <w:szCs w:val="20"/>
              </w:rPr>
              <w:t xml:space="preserve"> program</w:t>
            </w:r>
            <w:r w:rsidRPr="007560D1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activities.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targeted students are informed of incidents within 24 hours and the school enlists the help of parents as necessary.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6F48C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560D1">
              <w:rPr>
                <w:sz w:val="20"/>
                <w:szCs w:val="20"/>
              </w:rPr>
              <w:t xml:space="preserve">here </w:t>
            </w:r>
            <w:r>
              <w:rPr>
                <w:sz w:val="20"/>
                <w:szCs w:val="20"/>
              </w:rPr>
              <w:t xml:space="preserve">are </w:t>
            </w:r>
            <w:r w:rsidRPr="007560D1">
              <w:rPr>
                <w:sz w:val="20"/>
                <w:szCs w:val="20"/>
              </w:rPr>
              <w:t xml:space="preserve">established procedures for </w:t>
            </w:r>
            <w:r>
              <w:rPr>
                <w:sz w:val="20"/>
                <w:szCs w:val="20"/>
              </w:rPr>
              <w:t xml:space="preserve">reviewing and responding to </w:t>
            </w:r>
            <w:r w:rsidRPr="007560D1">
              <w:rPr>
                <w:sz w:val="20"/>
                <w:szCs w:val="20"/>
              </w:rPr>
              <w:t>parents’</w:t>
            </w:r>
            <w:r>
              <w:rPr>
                <w:sz w:val="20"/>
                <w:szCs w:val="20"/>
              </w:rPr>
              <w:t xml:space="preserve"> and </w:t>
            </w:r>
            <w:r w:rsidRPr="007560D1">
              <w:rPr>
                <w:sz w:val="20"/>
                <w:szCs w:val="20"/>
              </w:rPr>
              <w:t>community members’ demands, especially those of a</w:t>
            </w:r>
            <w:r w:rsidRPr="007560D1">
              <w:rPr>
                <w:spacing w:val="-12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vocal</w:t>
            </w:r>
            <w:r w:rsidRPr="007560D1">
              <w:rPr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minority.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18000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right="2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560D1">
              <w:rPr>
                <w:sz w:val="20"/>
                <w:szCs w:val="20"/>
              </w:rPr>
              <w:t>he school provide</w:t>
            </w:r>
            <w:r>
              <w:rPr>
                <w:sz w:val="20"/>
                <w:szCs w:val="20"/>
              </w:rPr>
              <w:t>s</w:t>
            </w:r>
            <w:r w:rsidRPr="007560D1">
              <w:rPr>
                <w:sz w:val="20"/>
                <w:szCs w:val="20"/>
              </w:rPr>
              <w:t xml:space="preserve"> families the opportunity to learn about</w:t>
            </w:r>
            <w:r w:rsidRPr="007560D1">
              <w:rPr>
                <w:spacing w:val="-19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>all</w:t>
            </w:r>
            <w:r w:rsidR="00A812A8">
              <w:rPr>
                <w:sz w:val="20"/>
                <w:szCs w:val="20"/>
              </w:rPr>
              <w:t xml:space="preserve"> of</w:t>
            </w:r>
            <w:r w:rsidRPr="007560D1">
              <w:rPr>
                <w:w w:val="99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bullying prevention efforts offered.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18000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"/>
              <w:ind w:left="360" w:right="22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560D1">
              <w:rPr>
                <w:sz w:val="20"/>
                <w:szCs w:val="20"/>
              </w:rPr>
              <w:t xml:space="preserve">he school </w:t>
            </w:r>
            <w:r>
              <w:rPr>
                <w:sz w:val="20"/>
                <w:szCs w:val="20"/>
              </w:rPr>
              <w:t>has</w:t>
            </w:r>
            <w:r w:rsidRPr="007560D1">
              <w:rPr>
                <w:sz w:val="20"/>
                <w:szCs w:val="20"/>
              </w:rPr>
              <w:t xml:space="preserve"> a parent education program that</w:t>
            </w:r>
            <w:r w:rsidRPr="007560D1">
              <w:rPr>
                <w:spacing w:val="-11"/>
                <w:sz w:val="20"/>
                <w:szCs w:val="20"/>
              </w:rPr>
              <w:t xml:space="preserve"> </w:t>
            </w:r>
            <w:r w:rsidRPr="007560D1">
              <w:rPr>
                <w:sz w:val="20"/>
                <w:szCs w:val="20"/>
              </w:rPr>
              <w:t xml:space="preserve">addresses </w:t>
            </w:r>
            <w:r>
              <w:rPr>
                <w:sz w:val="20"/>
                <w:szCs w:val="20"/>
              </w:rPr>
              <w:t>bullying prevention best practices and how to support their children if they’re involved in bullying.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EF2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0449B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Family and Community Partnering Percentage Score: (Raw score of _____/ </w:t>
            </w:r>
            <w:r w:rsidR="000471E0">
              <w:rPr>
                <w:b/>
                <w:sz w:val="20"/>
                <w:szCs w:val="20"/>
              </w:rPr>
              <w:t>1</w:t>
            </w:r>
            <w:r w:rsidR="000449B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) = ________%  </w:t>
            </w:r>
            <w:r>
              <w:t xml:space="preserve">  </w:t>
            </w:r>
          </w:p>
        </w:tc>
      </w:tr>
    </w:tbl>
    <w:p w:rsidR="006870BD" w:rsidRDefault="006870BD" w:rsidP="006870BD">
      <w:pPr>
        <w:pStyle w:val="BodyText"/>
        <w:kinsoku w:val="0"/>
        <w:overflowPunct w:val="0"/>
        <w:rPr>
          <w:rFonts w:ascii="Times New Roman" w:hAnsi="Times New Roman" w:cs="Times New Roman"/>
          <w:b/>
        </w:rPr>
      </w:pPr>
    </w:p>
    <w:p w:rsidR="006870BD" w:rsidRDefault="006870BD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6870BD" w:rsidRDefault="006870BD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44414B" w:rsidRDefault="0044414B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C706B9" w:rsidRDefault="000449BC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C706B9" w:rsidRDefault="00C706B9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180001" w:rsidRDefault="00180001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180001" w:rsidRDefault="00180001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p w:rsidR="00216E74" w:rsidRDefault="00216E74" w:rsidP="00EF2488">
      <w:pPr>
        <w:pStyle w:val="BodyText"/>
        <w:kinsoku w:val="0"/>
        <w:overflowPunct w:val="0"/>
        <w:spacing w:before="25"/>
        <w:ind w:left="18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Student Voice</w:t>
      </w:r>
    </w:p>
    <w:p w:rsidR="00216E74" w:rsidRPr="00DC31C1" w:rsidRDefault="00216E74" w:rsidP="00216E74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tbl>
      <w:tblPr>
        <w:tblW w:w="11610" w:type="dxa"/>
        <w:tblInd w:w="1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6"/>
        <w:gridCol w:w="868"/>
        <w:gridCol w:w="990"/>
        <w:gridCol w:w="686"/>
        <w:gridCol w:w="3420"/>
      </w:tblGrid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7B4956">
            <w:pPr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Fully in 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Partially in Place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 in Place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7B4956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Evidence and Notes</w:t>
            </w: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EE6657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voice is included in the decision making of the BPC.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EE6657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DE0D07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student leadership team </w:t>
            </w:r>
            <w:r w:rsidR="00DE0D07">
              <w:rPr>
                <w:sz w:val="20"/>
                <w:szCs w:val="20"/>
              </w:rPr>
              <w:t xml:space="preserve">has been developed or adapted to inform and actively participate in bullying prevention efforts.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EE6657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A84357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left="360" w:right="54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 leadership team, with the assistance of staff, analyze</w:t>
            </w:r>
            <w:r w:rsidR="001800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results from the annual survey and help</w:t>
            </w:r>
            <w:r w:rsidR="001800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BPC action plan and set goals.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EE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EE6657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Default="008A48FD" w:rsidP="001F7C6D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left="360" w:right="54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partner with staff to deliver content and information about bullying to staff, families, the district, and the community.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Default="008A48FD" w:rsidP="001F7C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Default="008A48FD" w:rsidP="001F7C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Default="008A48FD" w:rsidP="001F7C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1F7C6D">
            <w:pPr>
              <w:rPr>
                <w:sz w:val="20"/>
                <w:szCs w:val="20"/>
              </w:rPr>
            </w:pPr>
          </w:p>
        </w:tc>
      </w:tr>
      <w:tr w:rsidR="008A48FD" w:rsidRPr="007560D1" w:rsidTr="00EF2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8A48F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Voice Percentage Score: (Raw score of _____/ 8) = ________%  </w:t>
            </w:r>
            <w:r>
              <w:t xml:space="preserve">  </w:t>
            </w:r>
          </w:p>
        </w:tc>
      </w:tr>
    </w:tbl>
    <w:p w:rsidR="00DC31C1" w:rsidRDefault="00DC31C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DC31C1" w:rsidRDefault="00DC31C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DC31C1" w:rsidRDefault="00DC31C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DC31C1" w:rsidRDefault="00DC31C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6870BD" w:rsidRDefault="006870B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6870BD" w:rsidRDefault="006870B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6870BD" w:rsidRDefault="006870B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6870BD" w:rsidRDefault="006870B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6870BD" w:rsidRDefault="006870B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E06704" w:rsidRDefault="00E0670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2F3FA7" w:rsidRDefault="002F3FA7" w:rsidP="00EF2488">
      <w:pPr>
        <w:pStyle w:val="BodyText"/>
        <w:kinsoku w:val="0"/>
        <w:overflowPunct w:val="0"/>
        <w:spacing w:before="25"/>
        <w:ind w:left="18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Bullying Prevention Policy</w:t>
      </w:r>
    </w:p>
    <w:p w:rsidR="002F3FA7" w:rsidRPr="00DC31C1" w:rsidRDefault="002F3FA7" w:rsidP="002F3FA7">
      <w:pPr>
        <w:pStyle w:val="BodyText"/>
        <w:kinsoku w:val="0"/>
        <w:overflowPunct w:val="0"/>
        <w:spacing w:before="25"/>
        <w:jc w:val="center"/>
        <w:rPr>
          <w:rFonts w:ascii="Times New Roman" w:hAnsi="Times New Roman" w:cs="Times New Roman"/>
          <w:b/>
        </w:rPr>
      </w:pPr>
    </w:p>
    <w:tbl>
      <w:tblPr>
        <w:tblW w:w="11610" w:type="dxa"/>
        <w:tblInd w:w="1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6"/>
        <w:gridCol w:w="868"/>
        <w:gridCol w:w="990"/>
        <w:gridCol w:w="686"/>
        <w:gridCol w:w="3420"/>
      </w:tblGrid>
      <w:tr w:rsidR="0044414B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7B4956">
            <w:pPr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Fully in 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Partially in Place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D87865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 in Place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4414B" w:rsidRPr="004B0015" w:rsidRDefault="0044414B" w:rsidP="007B4956">
            <w:pPr>
              <w:pStyle w:val="TableParagraph"/>
              <w:kinsoku w:val="0"/>
              <w:overflowPunct w:val="0"/>
              <w:jc w:val="center"/>
              <w:rPr>
                <w:b/>
                <w:sz w:val="18"/>
                <w:szCs w:val="20"/>
              </w:rPr>
            </w:pPr>
            <w:r w:rsidRPr="004B0015">
              <w:rPr>
                <w:b/>
                <w:sz w:val="18"/>
                <w:szCs w:val="20"/>
              </w:rPr>
              <w:t>Evidence and Notes</w:t>
            </w: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2F3FA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are aware of the bullying prevention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2F3FA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right="34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and students have access to the school’s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2F3FA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right="54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have input into the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DA1CEB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right="3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definition of bullying is included and the prohibition of bullying behavior is clearly stated in the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854A1C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right="38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prevention efforts conducted by the school are included in the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2F3FA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investigative process including when parents are notified, safeguards for those accused, and documentation related to accusations of bullying are in the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Default="008A48FD" w:rsidP="002F3FA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potential consequences, dependent on several factors (e.g., age, previous incidents, severity) is included in the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7560D1" w:rsidRDefault="008A48FD" w:rsidP="00954C9F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ways that students, parents, and staff can report bullying incidents to the school are listed in the policy (e.g., Safe2Tell, Bullying Incident Form, telling a teacher).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8A48FD" w:rsidRPr="007560D1" w:rsidTr="00444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Default="008A48FD" w:rsidP="000471E0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"/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for students and parents to learn more about bullying prevention and intervention </w:t>
            </w:r>
            <w:r w:rsidR="000471E0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included in the policy.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FD" w:rsidRPr="00DD724A" w:rsidRDefault="008A48FD" w:rsidP="006F4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FD" w:rsidRPr="007560D1" w:rsidRDefault="008A48FD" w:rsidP="006F48C8">
            <w:pPr>
              <w:rPr>
                <w:sz w:val="20"/>
                <w:szCs w:val="20"/>
              </w:rPr>
            </w:pPr>
          </w:p>
        </w:tc>
      </w:tr>
      <w:tr w:rsidR="002B1CCC" w:rsidRPr="007560D1" w:rsidTr="00EF2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1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CC" w:rsidRPr="007560D1" w:rsidRDefault="002B1CCC" w:rsidP="002B1CC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Bullying Prevention Policy Percentage Score: (Raw score of _____/ 18) = ________%  </w:t>
            </w:r>
            <w:r>
              <w:t xml:space="preserve">  </w:t>
            </w:r>
          </w:p>
        </w:tc>
      </w:tr>
    </w:tbl>
    <w:p w:rsidR="007B4956" w:rsidRPr="00DE01EC" w:rsidRDefault="007B4956" w:rsidP="000D2219">
      <w:pPr>
        <w:tabs>
          <w:tab w:val="left" w:pos="6453"/>
        </w:tabs>
      </w:pPr>
    </w:p>
    <w:sectPr w:rsidR="007B4956" w:rsidRPr="00DE01EC" w:rsidSect="00C706B9">
      <w:headerReference w:type="default" r:id="rId8"/>
      <w:pgSz w:w="15840" w:h="12240" w:orient="landscape"/>
      <w:pgMar w:top="1325" w:right="1440" w:bottom="274" w:left="27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6C" w:rsidRDefault="006A4F6C">
      <w:r>
        <w:separator/>
      </w:r>
    </w:p>
  </w:endnote>
  <w:endnote w:type="continuationSeparator" w:id="0">
    <w:p w:rsidR="006A4F6C" w:rsidRDefault="006A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6C" w:rsidRDefault="006A4F6C">
      <w:r>
        <w:separator/>
      </w:r>
    </w:p>
  </w:footnote>
  <w:footnote w:type="continuationSeparator" w:id="0">
    <w:p w:rsidR="006A4F6C" w:rsidRDefault="006A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7" w:rsidRDefault="00EE665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7" w:rsidRDefault="00EE665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5C2"/>
    <w:multiLevelType w:val="hybridMultilevel"/>
    <w:tmpl w:val="B48CF1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2F6C05"/>
    <w:multiLevelType w:val="hybridMultilevel"/>
    <w:tmpl w:val="B48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B1114"/>
    <w:multiLevelType w:val="hybridMultilevel"/>
    <w:tmpl w:val="A884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96DB3"/>
    <w:multiLevelType w:val="hybridMultilevel"/>
    <w:tmpl w:val="B48CF1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7A4C16"/>
    <w:multiLevelType w:val="hybridMultilevel"/>
    <w:tmpl w:val="B48CF1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C86758"/>
    <w:multiLevelType w:val="hybridMultilevel"/>
    <w:tmpl w:val="B48CF1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591D56"/>
    <w:multiLevelType w:val="hybridMultilevel"/>
    <w:tmpl w:val="B48CF1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0E5332"/>
    <w:multiLevelType w:val="hybridMultilevel"/>
    <w:tmpl w:val="B48CF10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A"/>
    <w:rsid w:val="00015676"/>
    <w:rsid w:val="00032A89"/>
    <w:rsid w:val="000449BC"/>
    <w:rsid w:val="000471E0"/>
    <w:rsid w:val="00053B1F"/>
    <w:rsid w:val="00064B52"/>
    <w:rsid w:val="000B059A"/>
    <w:rsid w:val="000B2C7F"/>
    <w:rsid w:val="000D2219"/>
    <w:rsid w:val="000E43F6"/>
    <w:rsid w:val="00180001"/>
    <w:rsid w:val="001D227D"/>
    <w:rsid w:val="001F7C6D"/>
    <w:rsid w:val="00216E74"/>
    <w:rsid w:val="002253A7"/>
    <w:rsid w:val="00250563"/>
    <w:rsid w:val="0026315B"/>
    <w:rsid w:val="00285919"/>
    <w:rsid w:val="002B1CCC"/>
    <w:rsid w:val="002C17B9"/>
    <w:rsid w:val="002C44E3"/>
    <w:rsid w:val="002E6B99"/>
    <w:rsid w:val="002F3FA7"/>
    <w:rsid w:val="00316716"/>
    <w:rsid w:val="0032130E"/>
    <w:rsid w:val="00333656"/>
    <w:rsid w:val="00340061"/>
    <w:rsid w:val="00367559"/>
    <w:rsid w:val="0037292C"/>
    <w:rsid w:val="003B4646"/>
    <w:rsid w:val="003F2FAC"/>
    <w:rsid w:val="003F387F"/>
    <w:rsid w:val="0044414B"/>
    <w:rsid w:val="004B0015"/>
    <w:rsid w:val="004E1155"/>
    <w:rsid w:val="00502B0A"/>
    <w:rsid w:val="0051063D"/>
    <w:rsid w:val="00510C7C"/>
    <w:rsid w:val="005155C1"/>
    <w:rsid w:val="005222DE"/>
    <w:rsid w:val="00527FB3"/>
    <w:rsid w:val="00537F3E"/>
    <w:rsid w:val="005462FA"/>
    <w:rsid w:val="0056139F"/>
    <w:rsid w:val="00592BDD"/>
    <w:rsid w:val="005A65EA"/>
    <w:rsid w:val="005B09DD"/>
    <w:rsid w:val="005F5E2D"/>
    <w:rsid w:val="00600B58"/>
    <w:rsid w:val="006725EF"/>
    <w:rsid w:val="00676DBB"/>
    <w:rsid w:val="006870BD"/>
    <w:rsid w:val="006A4937"/>
    <w:rsid w:val="006A4F6C"/>
    <w:rsid w:val="006C6864"/>
    <w:rsid w:val="006F48C8"/>
    <w:rsid w:val="007560D1"/>
    <w:rsid w:val="00776B62"/>
    <w:rsid w:val="007814F1"/>
    <w:rsid w:val="007A169F"/>
    <w:rsid w:val="007B4956"/>
    <w:rsid w:val="008300DC"/>
    <w:rsid w:val="008340D5"/>
    <w:rsid w:val="008443F9"/>
    <w:rsid w:val="00845849"/>
    <w:rsid w:val="00854A1C"/>
    <w:rsid w:val="00861395"/>
    <w:rsid w:val="008738A5"/>
    <w:rsid w:val="008A48FD"/>
    <w:rsid w:val="008F033C"/>
    <w:rsid w:val="00954C9F"/>
    <w:rsid w:val="009C6A54"/>
    <w:rsid w:val="009F1D4B"/>
    <w:rsid w:val="00A10EFE"/>
    <w:rsid w:val="00A1309A"/>
    <w:rsid w:val="00A812A8"/>
    <w:rsid w:val="00A84357"/>
    <w:rsid w:val="00AA470A"/>
    <w:rsid w:val="00AF0576"/>
    <w:rsid w:val="00B14B8D"/>
    <w:rsid w:val="00B20F3C"/>
    <w:rsid w:val="00B33495"/>
    <w:rsid w:val="00BB6316"/>
    <w:rsid w:val="00BE174B"/>
    <w:rsid w:val="00BF3E1F"/>
    <w:rsid w:val="00C12DDE"/>
    <w:rsid w:val="00C305CF"/>
    <w:rsid w:val="00C45A6B"/>
    <w:rsid w:val="00C706B9"/>
    <w:rsid w:val="00C84807"/>
    <w:rsid w:val="00CD4B41"/>
    <w:rsid w:val="00CE7331"/>
    <w:rsid w:val="00D3054A"/>
    <w:rsid w:val="00D7232A"/>
    <w:rsid w:val="00D87865"/>
    <w:rsid w:val="00DA1CEB"/>
    <w:rsid w:val="00DC31C1"/>
    <w:rsid w:val="00DD0F84"/>
    <w:rsid w:val="00DD724A"/>
    <w:rsid w:val="00DE01EC"/>
    <w:rsid w:val="00DE0D07"/>
    <w:rsid w:val="00E06704"/>
    <w:rsid w:val="00E153C6"/>
    <w:rsid w:val="00E351EE"/>
    <w:rsid w:val="00EC0783"/>
    <w:rsid w:val="00EE6657"/>
    <w:rsid w:val="00EF2488"/>
    <w:rsid w:val="00F04699"/>
    <w:rsid w:val="00F100E4"/>
    <w:rsid w:val="00F5312F"/>
    <w:rsid w:val="00F84E78"/>
    <w:rsid w:val="00F8751C"/>
    <w:rsid w:val="00F93250"/>
    <w:rsid w:val="00F97B76"/>
    <w:rsid w:val="00FD408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220DD1-B59E-4B99-AFF6-45E8F9C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91"/>
      <w:outlineLvl w:val="1"/>
    </w:pPr>
    <w:rPr>
      <w:rFonts w:ascii="Comic Sans MS" w:hAnsi="Comic Sans MS" w:cs="Comic Sans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6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0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0D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0D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4E1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1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E11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15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E11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Communities ~ Safe Schools</vt:lpstr>
    </vt:vector>
  </TitlesOfParts>
  <Company>CDE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Communities ~ Safe Schools</dc:title>
  <dc:subject/>
  <dc:creator>Gretta Stmartin</dc:creator>
  <cp:keywords/>
  <dc:description/>
  <cp:lastModifiedBy>Collins, Adam</cp:lastModifiedBy>
  <cp:revision>2</cp:revision>
  <cp:lastPrinted>2017-02-17T14:12:00Z</cp:lastPrinted>
  <dcterms:created xsi:type="dcterms:W3CDTF">2017-06-13T21:24:00Z</dcterms:created>
  <dcterms:modified xsi:type="dcterms:W3CDTF">2017-06-13T21:24:00Z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for Word</vt:lpwstr>
  </property>
</Properties>
</file>