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BA" w:rsidRDefault="005173BA">
      <w:bookmarkStart w:id="0" w:name="_GoBack"/>
      <w:bookmarkEnd w:id="0"/>
    </w:p>
    <w:p w:rsidR="00F44F2D" w:rsidRDefault="002C42EF" w:rsidP="00F44F2D">
      <w:pPr>
        <w:pStyle w:val="HeadingMuseo"/>
      </w:pPr>
      <w:r>
        <w:rPr>
          <w:noProof/>
        </w:rPr>
        <mc:AlternateContent>
          <mc:Choice Requires="wps">
            <w:drawing>
              <wp:anchor distT="0" distB="0" distL="114300" distR="114300" simplePos="0" relativeHeight="251661312" behindDoc="0" locked="1" layoutInCell="1" allowOverlap="1" wp14:anchorId="21069420" wp14:editId="146D510A">
                <wp:simplePos x="0" y="0"/>
                <wp:positionH relativeFrom="page">
                  <wp:posOffset>457200</wp:posOffset>
                </wp:positionH>
                <wp:positionV relativeFrom="page">
                  <wp:posOffset>457200</wp:posOffset>
                </wp:positionV>
                <wp:extent cx="37719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68DD" w:rsidRDefault="00CE68DD">
                            <w:pPr>
                              <w:rPr>
                                <w:sz w:val="36"/>
                                <w:szCs w:val="36"/>
                              </w:rPr>
                            </w:pPr>
                            <w:r>
                              <w:rPr>
                                <w:rFonts w:ascii="Museo Slab 500" w:hAnsi="Museo Slab 500"/>
                                <w:color w:val="FFFFFF" w:themeColor="background1"/>
                                <w:sz w:val="36"/>
                                <w:szCs w:val="36"/>
                              </w:rPr>
                              <w:t xml:space="preserve">Title I, Part </w:t>
                            </w:r>
                            <w:proofErr w:type="gramStart"/>
                            <w:r>
                              <w:rPr>
                                <w:rFonts w:ascii="Museo Slab 500" w:hAnsi="Museo Slab 500"/>
                                <w:color w:val="FFFFFF" w:themeColor="background1"/>
                                <w:sz w:val="36"/>
                                <w:szCs w:val="36"/>
                              </w:rPr>
                              <w:t>A</w:t>
                            </w:r>
                            <w:proofErr w:type="gramEnd"/>
                            <w:r>
                              <w:rPr>
                                <w:rFonts w:ascii="Museo Slab 500" w:hAnsi="Museo Slab 500"/>
                                <w:color w:val="FFFFFF" w:themeColor="background1"/>
                                <w:sz w:val="36"/>
                                <w:szCs w:val="36"/>
                              </w:rPr>
                              <w:t xml:space="preserve"> </w:t>
                            </w:r>
                            <w:proofErr w:type="spellStart"/>
                            <w:r>
                              <w:rPr>
                                <w:rFonts w:ascii="Museo Slab 500" w:hAnsi="Museo Slab 500"/>
                                <w:color w:val="FFFFFF" w:themeColor="background1"/>
                                <w:sz w:val="36"/>
                                <w:szCs w:val="36"/>
                              </w:rPr>
                              <w:t>Schoolwide</w:t>
                            </w:r>
                            <w:proofErr w:type="spellEnd"/>
                          </w:p>
                          <w:p w:rsidR="00CE68DD" w:rsidRPr="00205184" w:rsidRDefault="00CE68DD"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Program Plan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36pt;width:297pt;height:6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QkqwIAAKM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" filled="f" stroked="f">
                <v:textbox>
                  <w:txbxContent>
                    <w:p w:rsidR="00CE68DD" w:rsidRDefault="00CE68DD">
                      <w:pPr>
                        <w:rPr>
                          <w:sz w:val="36"/>
                          <w:szCs w:val="36"/>
                        </w:rPr>
                      </w:pPr>
                      <w:r>
                        <w:rPr>
                          <w:rFonts w:ascii="Museo Slab 500" w:hAnsi="Museo Slab 500"/>
                          <w:color w:val="FFFFFF" w:themeColor="background1"/>
                          <w:sz w:val="36"/>
                          <w:szCs w:val="36"/>
                        </w:rPr>
                        <w:t xml:space="preserve">Title I, Part </w:t>
                      </w:r>
                      <w:proofErr w:type="gramStart"/>
                      <w:r>
                        <w:rPr>
                          <w:rFonts w:ascii="Museo Slab 500" w:hAnsi="Museo Slab 500"/>
                          <w:color w:val="FFFFFF" w:themeColor="background1"/>
                          <w:sz w:val="36"/>
                          <w:szCs w:val="36"/>
                        </w:rPr>
                        <w:t>A</w:t>
                      </w:r>
                      <w:proofErr w:type="gramEnd"/>
                      <w:r>
                        <w:rPr>
                          <w:rFonts w:ascii="Museo Slab 500" w:hAnsi="Museo Slab 500"/>
                          <w:color w:val="FFFFFF" w:themeColor="background1"/>
                          <w:sz w:val="36"/>
                          <w:szCs w:val="36"/>
                        </w:rPr>
                        <w:t xml:space="preserve"> </w:t>
                      </w:r>
                      <w:proofErr w:type="spellStart"/>
                      <w:r>
                        <w:rPr>
                          <w:rFonts w:ascii="Museo Slab 500" w:hAnsi="Museo Slab 500"/>
                          <w:color w:val="FFFFFF" w:themeColor="background1"/>
                          <w:sz w:val="36"/>
                          <w:szCs w:val="36"/>
                        </w:rPr>
                        <w:t>Schoolwide</w:t>
                      </w:r>
                      <w:proofErr w:type="spellEnd"/>
                    </w:p>
                    <w:p w:rsidR="00CE68DD" w:rsidRPr="00205184" w:rsidRDefault="00CE68DD"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Program Plan Requ</w:t>
                      </w:r>
                      <w:bookmarkStart w:id="1" w:name="_GoBack"/>
                      <w:bookmarkEnd w:id="1"/>
                      <w:r>
                        <w:rPr>
                          <w:rFonts w:ascii="Trebuchet MS" w:hAnsi="Trebuchet MS"/>
                          <w:color w:val="DAE7F4" w:themeColor="accent1" w:themeTint="33"/>
                          <w:sz w:val="28"/>
                          <w:szCs w:val="28"/>
                        </w:rPr>
                        <w:t>irements</w:t>
                      </w:r>
                    </w:p>
                  </w:txbxContent>
                </v:textbox>
                <w10:wrap type="square" anchorx="page" anchory="page"/>
                <w10:anchorlock/>
              </v:shape>
            </w:pict>
          </mc:Fallback>
        </mc:AlternateContent>
      </w:r>
      <w:r>
        <w:rPr>
          <w:noProof/>
        </w:rPr>
        <w:drawing>
          <wp:anchor distT="0" distB="0" distL="114300" distR="114300" simplePos="0" relativeHeight="251660288" behindDoc="0" locked="1" layoutInCell="1" allowOverlap="1" wp14:anchorId="40CAB610" wp14:editId="3BB75DF4">
            <wp:simplePos x="0" y="0"/>
            <wp:positionH relativeFrom="column">
              <wp:posOffset>6001385</wp:posOffset>
            </wp:positionH>
            <wp:positionV relativeFrom="page">
              <wp:posOffset>459105</wp:posOffset>
            </wp:positionV>
            <wp:extent cx="2841625" cy="516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049C20D4" wp14:editId="74A4078E">
                <wp:simplePos x="0" y="0"/>
                <wp:positionH relativeFrom="page">
                  <wp:posOffset>0</wp:posOffset>
                </wp:positionH>
                <wp:positionV relativeFrom="page">
                  <wp:posOffset>0</wp:posOffset>
                </wp:positionV>
                <wp:extent cx="10083800" cy="1600200"/>
                <wp:effectExtent l="0" t="0" r="0" b="0"/>
                <wp:wrapThrough wrapText="bothSides">
                  <wp:wrapPolygon edited="0">
                    <wp:start x="0" y="0"/>
                    <wp:lineTo x="0" y="21343"/>
                    <wp:lineTo x="21546" y="21343"/>
                    <wp:lineTo x="21546"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0083800" cy="16002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794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" fillcolor="#488bc9 [3204]" stroked="f" strokeweight=".27778mm">
                <w10:wrap type="through" anchorx="page" anchory="page"/>
                <w10:anchorlock/>
              </v:rect>
            </w:pict>
          </mc:Fallback>
        </mc:AlternateContent>
      </w:r>
      <w:r w:rsidR="00971CB9">
        <w:t>About This Document</w:t>
      </w:r>
    </w:p>
    <w:p w:rsidR="001E53D7" w:rsidRDefault="001E53D7" w:rsidP="00267CB9">
      <w:pPr>
        <w:rPr>
          <w:b/>
        </w:rPr>
      </w:pPr>
      <w:r>
        <w:t xml:space="preserve">The Title I </w:t>
      </w:r>
      <w:proofErr w:type="spellStart"/>
      <w:r>
        <w:t>Schoolwide</w:t>
      </w:r>
      <w:proofErr w:type="spellEnd"/>
      <w:r>
        <w:t xml:space="preserve"> t</w:t>
      </w:r>
      <w:r w:rsidRPr="001E53D7">
        <w:t xml:space="preserve">emplate is designed to ensure a </w:t>
      </w:r>
      <w:proofErr w:type="spellStart"/>
      <w:r w:rsidRPr="001E53D7">
        <w:t>schoolwide</w:t>
      </w:r>
      <w:proofErr w:type="spellEnd"/>
      <w:r w:rsidRPr="001E53D7">
        <w:t xml:space="preserve"> plan meets the 10 requirements in section 1114 of </w:t>
      </w:r>
      <w:proofErr w:type="spellStart"/>
      <w:r w:rsidRPr="001E53D7">
        <w:t>Title</w:t>
      </w:r>
      <w:r w:rsidR="000E3193">
        <w:t>I</w:t>
      </w:r>
      <w:proofErr w:type="spellEnd"/>
      <w:r w:rsidRPr="001E53D7">
        <w:t xml:space="preserve">, Part A of the Elementary and Secondary Education Act. </w:t>
      </w:r>
    </w:p>
    <w:p w:rsidR="008D2289" w:rsidRDefault="008D2289" w:rsidP="001E53D7">
      <w:pPr>
        <w:rPr>
          <w:b/>
        </w:rPr>
      </w:pPr>
    </w:p>
    <w:p w:rsidR="008D2289" w:rsidRDefault="008D2289" w:rsidP="001E53D7">
      <w:pPr>
        <w:rPr>
          <w:b/>
        </w:rPr>
      </w:pPr>
      <w:r w:rsidRPr="00971CB9">
        <w:rPr>
          <w:b/>
        </w:rPr>
        <w:t>TITLE I-A SCHOOLWIDE PROGRAM PLAN REQUIREMENTS</w:t>
      </w:r>
    </w:p>
    <w:tbl>
      <w:tblPr>
        <w:tblStyle w:val="TableGrid"/>
        <w:tblW w:w="0" w:type="auto"/>
        <w:tblLook w:val="04A0" w:firstRow="1" w:lastRow="0" w:firstColumn="1" w:lastColumn="0" w:noHBand="0" w:noVBand="1"/>
      </w:tblPr>
      <w:tblGrid>
        <w:gridCol w:w="8838"/>
        <w:gridCol w:w="5778"/>
      </w:tblGrid>
      <w:tr w:rsidR="008D2289" w:rsidTr="008D2289">
        <w:tc>
          <w:tcPr>
            <w:tcW w:w="14616" w:type="dxa"/>
            <w:gridSpan w:val="2"/>
            <w:shd w:val="clear" w:color="auto" w:fill="D9D9D9" w:themeFill="background1" w:themeFillShade="D9"/>
          </w:tcPr>
          <w:p w:rsidR="008D2289" w:rsidRDefault="008D2289" w:rsidP="006A6801">
            <w:pPr>
              <w:rPr>
                <w:b/>
              </w:rPr>
            </w:pPr>
            <w:r w:rsidRPr="00971CB9">
              <w:rPr>
                <w:b/>
              </w:rPr>
              <w:t>1.</w:t>
            </w:r>
            <w:r>
              <w:rPr>
                <w:b/>
              </w:rPr>
              <w:t xml:space="preserve"> Comprehensive Needs Assessment</w:t>
            </w:r>
          </w:p>
        </w:tc>
      </w:tr>
      <w:tr w:rsidR="008D2289" w:rsidTr="008D2289">
        <w:tc>
          <w:tcPr>
            <w:tcW w:w="14616" w:type="dxa"/>
            <w:gridSpan w:val="2"/>
          </w:tcPr>
          <w:p w:rsidR="008D2289" w:rsidRPr="008D2289" w:rsidRDefault="008D2289" w:rsidP="008D2289">
            <w:pPr>
              <w:autoSpaceDE w:val="0"/>
              <w:autoSpaceDN w:val="0"/>
              <w:adjustRightInd w:val="0"/>
              <w:rPr>
                <w:rFonts w:asciiTheme="minorHAnsi" w:hAnsiTheme="minorHAnsi" w:cs="NewCenturySchlbk-Roman"/>
              </w:rPr>
            </w:pPr>
            <w:r w:rsidRPr="00FF4611">
              <w:rPr>
                <w:rFonts w:asciiTheme="minorHAnsi" w:hAnsiTheme="minorHAnsi" w:cs="NewCenturySchlbk-Roman"/>
              </w:rPr>
              <w:t>A comprehensive needs assessment of the entire school (including taking into account the needs of migratory children as defined in section 1309(2)) that is based on information which includes the achievement of children in relation to the State academic content standards and the State student academic achievement standards described in section 1111(b)(1).</w:t>
            </w:r>
          </w:p>
        </w:tc>
      </w:tr>
      <w:tr w:rsidR="008D2289" w:rsidTr="008D2289">
        <w:tc>
          <w:tcPr>
            <w:tcW w:w="14616" w:type="dxa"/>
            <w:gridSpan w:val="2"/>
          </w:tcPr>
          <w:p w:rsidR="008D2289" w:rsidRDefault="008D2289" w:rsidP="001E53D7">
            <w:pPr>
              <w:rPr>
                <w:b/>
              </w:rPr>
            </w:pPr>
          </w:p>
          <w:p w:rsidR="008D2289" w:rsidRDefault="008D2289" w:rsidP="001E53D7">
            <w:pPr>
              <w:rPr>
                <w:b/>
              </w:rPr>
            </w:pPr>
          </w:p>
          <w:p w:rsidR="008D2289" w:rsidRDefault="008D2289" w:rsidP="001E53D7">
            <w:pPr>
              <w:rPr>
                <w:b/>
              </w:rPr>
            </w:pPr>
          </w:p>
          <w:p w:rsidR="008D2289" w:rsidRDefault="008D2289" w:rsidP="001E53D7">
            <w:pPr>
              <w:rPr>
                <w:b/>
              </w:rPr>
            </w:pPr>
          </w:p>
          <w:p w:rsidR="008D2289" w:rsidRDefault="008D2289" w:rsidP="001E53D7">
            <w:pPr>
              <w:rPr>
                <w:b/>
              </w:rPr>
            </w:pPr>
          </w:p>
          <w:p w:rsidR="008D2289" w:rsidRDefault="008D2289" w:rsidP="001E53D7">
            <w:pPr>
              <w:rPr>
                <w:b/>
              </w:rPr>
            </w:pPr>
          </w:p>
          <w:p w:rsidR="008D2289" w:rsidRDefault="008D2289" w:rsidP="001E53D7">
            <w:pPr>
              <w:rPr>
                <w:b/>
              </w:rPr>
            </w:pPr>
          </w:p>
        </w:tc>
      </w:tr>
      <w:tr w:rsidR="008D2289" w:rsidTr="008D2289">
        <w:tc>
          <w:tcPr>
            <w:tcW w:w="8838" w:type="dxa"/>
          </w:tcPr>
          <w:p w:rsidR="008D2289" w:rsidRDefault="008D2289" w:rsidP="001E53D7">
            <w:r w:rsidRPr="001E53D7">
              <w:t>Provide the outcomes of the school’s comprehensive needs assessment, as well as a descripti</w:t>
            </w:r>
            <w:r w:rsidR="000E3193">
              <w:t xml:space="preserve">on of the data sources used, and </w:t>
            </w:r>
            <w:r w:rsidRPr="001E53D7">
              <w:t xml:space="preserve">the </w:t>
            </w:r>
            <w:r w:rsidR="000E3193">
              <w:t>school,</w:t>
            </w:r>
            <w:r w:rsidRPr="001E53D7">
              <w:t xml:space="preserve"> district staff and external stakeholders, such as families and community members</w:t>
            </w:r>
            <w:r w:rsidR="000E3193">
              <w:t>,</w:t>
            </w:r>
            <w:r w:rsidRPr="001E53D7">
              <w:t xml:space="preserve"> involved in the process. The results of the comprehensive needs assessment will serve as a rationale for the activities described in</w:t>
            </w:r>
            <w:r>
              <w:t xml:space="preserve"> many of the other nine </w:t>
            </w:r>
            <w:proofErr w:type="spellStart"/>
            <w:r>
              <w:t>s</w:t>
            </w:r>
            <w:r w:rsidRPr="001E53D7">
              <w:t>choolwide</w:t>
            </w:r>
            <w:proofErr w:type="spellEnd"/>
            <w:r w:rsidRPr="001E53D7">
              <w:t xml:space="preserve"> requirements.</w:t>
            </w:r>
          </w:p>
          <w:p w:rsidR="008D2289" w:rsidRDefault="008D2289" w:rsidP="001E53D7"/>
          <w:p w:rsidR="008D2289" w:rsidRDefault="008D2289" w:rsidP="001E53D7"/>
          <w:p w:rsidR="008D2289" w:rsidRDefault="008D2289" w:rsidP="001E53D7"/>
          <w:p w:rsidR="008D2289" w:rsidRPr="008D2289" w:rsidRDefault="008D2289" w:rsidP="001E53D7"/>
        </w:tc>
        <w:tc>
          <w:tcPr>
            <w:tcW w:w="5778" w:type="dxa"/>
          </w:tcPr>
          <w:p w:rsidR="008D2289" w:rsidRPr="001777BA" w:rsidRDefault="008D2289" w:rsidP="008D2289">
            <w:r w:rsidRPr="001777BA">
              <w:t>Funding Sources (if applicable)</w:t>
            </w:r>
          </w:p>
          <w:p w:rsidR="008D2289" w:rsidRDefault="008D2289" w:rsidP="001E53D7">
            <w:pPr>
              <w:rPr>
                <w:b/>
              </w:rPr>
            </w:pPr>
          </w:p>
        </w:tc>
      </w:tr>
    </w:tbl>
    <w:p w:rsidR="008D2289" w:rsidRDefault="008D2289" w:rsidP="001E53D7">
      <w:pPr>
        <w:rPr>
          <w:b/>
        </w:rPr>
      </w:pPr>
    </w:p>
    <w:p w:rsidR="00267CB9" w:rsidRDefault="00267CB9" w:rsidP="001E53D7">
      <w:pPr>
        <w:rPr>
          <w:b/>
        </w:rPr>
      </w:pPr>
    </w:p>
    <w:p w:rsidR="00267CB9" w:rsidRDefault="00267CB9" w:rsidP="001E53D7">
      <w:pPr>
        <w:rPr>
          <w:b/>
        </w:rPr>
      </w:pPr>
    </w:p>
    <w:p w:rsidR="00267CB9" w:rsidRDefault="00267CB9" w:rsidP="001E53D7">
      <w:pPr>
        <w:rPr>
          <w:b/>
        </w:rPr>
      </w:pPr>
    </w:p>
    <w:p w:rsidR="00267CB9" w:rsidRDefault="00267CB9" w:rsidP="001E53D7">
      <w:pPr>
        <w:rPr>
          <w:b/>
        </w:rPr>
      </w:pPr>
    </w:p>
    <w:tbl>
      <w:tblPr>
        <w:tblStyle w:val="TableGrid"/>
        <w:tblW w:w="0" w:type="auto"/>
        <w:tblLook w:val="04A0" w:firstRow="1" w:lastRow="0" w:firstColumn="1" w:lastColumn="0" w:noHBand="0" w:noVBand="1"/>
      </w:tblPr>
      <w:tblGrid>
        <w:gridCol w:w="8838"/>
        <w:gridCol w:w="5778"/>
      </w:tblGrid>
      <w:tr w:rsidR="008D2289" w:rsidTr="006A6801">
        <w:tc>
          <w:tcPr>
            <w:tcW w:w="14616" w:type="dxa"/>
            <w:gridSpan w:val="2"/>
            <w:shd w:val="clear" w:color="auto" w:fill="D9D9D9" w:themeFill="background1" w:themeFillShade="D9"/>
          </w:tcPr>
          <w:p w:rsidR="008D2289" w:rsidRDefault="008D2289" w:rsidP="006A6801">
            <w:pPr>
              <w:rPr>
                <w:b/>
              </w:rPr>
            </w:pPr>
            <w:r w:rsidRPr="00971CB9">
              <w:rPr>
                <w:b/>
              </w:rPr>
              <w:lastRenderedPageBreak/>
              <w:t xml:space="preserve">2. </w:t>
            </w:r>
            <w:proofErr w:type="spellStart"/>
            <w:r w:rsidRPr="00971CB9">
              <w:rPr>
                <w:b/>
              </w:rPr>
              <w:t>Schoolwide</w:t>
            </w:r>
            <w:proofErr w:type="spellEnd"/>
            <w:r w:rsidRPr="00971CB9">
              <w:rPr>
                <w:b/>
              </w:rPr>
              <w:t xml:space="preserve"> reform strategies</w:t>
            </w:r>
          </w:p>
        </w:tc>
      </w:tr>
      <w:tr w:rsidR="008D2289" w:rsidTr="006A6801">
        <w:tc>
          <w:tcPr>
            <w:tcW w:w="14616" w:type="dxa"/>
            <w:gridSpan w:val="2"/>
          </w:tcPr>
          <w:p w:rsidR="008D2289" w:rsidRPr="00971CB9" w:rsidRDefault="008D2289" w:rsidP="008D2289">
            <w:r>
              <w:t xml:space="preserve">The </w:t>
            </w:r>
            <w:proofErr w:type="spellStart"/>
            <w:r>
              <w:t>Schoolwide</w:t>
            </w:r>
            <w:proofErr w:type="spellEnd"/>
            <w:r>
              <w:t xml:space="preserve"> plan must include </w:t>
            </w:r>
            <w:r w:rsidRPr="00971CB9">
              <w:t xml:space="preserve"> </w:t>
            </w:r>
            <w:proofErr w:type="spellStart"/>
            <w:r w:rsidRPr="00971CB9">
              <w:t>schoolwide</w:t>
            </w:r>
            <w:proofErr w:type="spellEnd"/>
            <w:r w:rsidRPr="00971CB9">
              <w:t xml:space="preserve"> reform strategies that:</w:t>
            </w:r>
          </w:p>
          <w:p w:rsidR="008D2289" w:rsidRPr="00971CB9" w:rsidRDefault="008D2289" w:rsidP="008D2289">
            <w:r w:rsidRPr="00971CB9">
              <w:t>(i) provide opportunities for all children to meet the State's proficient and advanced levels of student academic achievement described in section 1111(b)(1)(D);</w:t>
            </w:r>
          </w:p>
          <w:p w:rsidR="008D2289" w:rsidRPr="00971CB9" w:rsidRDefault="008D2289" w:rsidP="008D2289">
            <w:r w:rsidRPr="00971CB9">
              <w:t xml:space="preserve">(ii) use effective methods and instructional strategies that are based on scientifically based research that — </w:t>
            </w:r>
          </w:p>
          <w:p w:rsidR="008D2289" w:rsidRPr="00971CB9" w:rsidRDefault="008D2289" w:rsidP="008D2289">
            <w:r w:rsidRPr="00971CB9">
              <w:t>(I) strengthen the core academic program in the school;</w:t>
            </w:r>
          </w:p>
          <w:p w:rsidR="008D2289" w:rsidRPr="00971CB9" w:rsidRDefault="008D2289" w:rsidP="008D2289">
            <w:r w:rsidRPr="00971CB9">
              <w:t>(II) increase the amount and quality of learning time, such as providing an extended school year and before- and after-school and summer programs and opportunities, and help provide an enriched and accelerated curriculum; and</w:t>
            </w:r>
          </w:p>
          <w:p w:rsidR="008D2289" w:rsidRPr="00971CB9" w:rsidRDefault="008D2289" w:rsidP="008D2289">
            <w:r w:rsidRPr="00971CB9">
              <w:t>(III) include strategies for meeting the educational needs of historically underserved populations;</w:t>
            </w:r>
          </w:p>
          <w:p w:rsidR="008D2289" w:rsidRPr="00971CB9" w:rsidRDefault="008D2289" w:rsidP="008D2289">
            <w:r w:rsidRPr="00971CB9">
              <w:t xml:space="preserve">(iii)(I) include strategies to address the needs of all children in the school, but particularly the needs of low-achieving children and those at risk of not meeting the State student academic achievement standards who are members of the target population of any program that is included in the </w:t>
            </w:r>
            <w:proofErr w:type="spellStart"/>
            <w:r w:rsidRPr="00971CB9">
              <w:t>schoolwide</w:t>
            </w:r>
            <w:proofErr w:type="spellEnd"/>
            <w:r w:rsidRPr="00971CB9">
              <w:t xml:space="preserve"> program.</w:t>
            </w:r>
            <w:r w:rsidRPr="00971CB9" w:rsidDel="00BF7B7A">
              <w:t xml:space="preserve"> </w:t>
            </w:r>
          </w:p>
          <w:p w:rsidR="008D2289" w:rsidRPr="008D2289" w:rsidRDefault="008D2289" w:rsidP="008D2289">
            <w:pPr>
              <w:autoSpaceDE w:val="0"/>
              <w:autoSpaceDN w:val="0"/>
              <w:adjustRightInd w:val="0"/>
              <w:rPr>
                <w:rFonts w:asciiTheme="minorHAnsi" w:hAnsiTheme="minorHAnsi" w:cs="NewCenturySchlbk-Roman"/>
              </w:rPr>
            </w:pPr>
            <w:r w:rsidRPr="00971CB9">
              <w:t>[1114(b)(1)(A),(B),(I)]</w:t>
            </w:r>
          </w:p>
        </w:tc>
      </w:tr>
      <w:tr w:rsidR="008D2289" w:rsidTr="006A6801">
        <w:tc>
          <w:tcPr>
            <w:tcW w:w="14616" w:type="dxa"/>
            <w:gridSpan w:val="2"/>
          </w:tcPr>
          <w:p w:rsidR="008D2289" w:rsidRDefault="008D2289" w:rsidP="006A6801">
            <w:pPr>
              <w:rPr>
                <w:b/>
              </w:rPr>
            </w:pPr>
          </w:p>
          <w:p w:rsidR="008D2289" w:rsidRDefault="008D2289" w:rsidP="006A6801">
            <w:pPr>
              <w:rPr>
                <w:b/>
              </w:rPr>
            </w:pPr>
          </w:p>
          <w:p w:rsidR="008D2289" w:rsidRDefault="008D2289" w:rsidP="006A6801">
            <w:pPr>
              <w:rPr>
                <w:b/>
              </w:rPr>
            </w:pPr>
          </w:p>
          <w:p w:rsidR="008D2289" w:rsidRDefault="008D2289" w:rsidP="006A6801">
            <w:pPr>
              <w:rPr>
                <w:b/>
              </w:rPr>
            </w:pPr>
          </w:p>
          <w:p w:rsidR="008D2289" w:rsidRDefault="008D2289" w:rsidP="006A6801">
            <w:pPr>
              <w:rPr>
                <w:b/>
              </w:rPr>
            </w:pPr>
          </w:p>
          <w:p w:rsidR="008D2289" w:rsidRDefault="008D2289" w:rsidP="006A6801">
            <w:pPr>
              <w:rPr>
                <w:b/>
              </w:rPr>
            </w:pPr>
          </w:p>
          <w:p w:rsidR="008D2289" w:rsidRDefault="008D2289" w:rsidP="006A6801">
            <w:pPr>
              <w:rPr>
                <w:b/>
              </w:rPr>
            </w:pPr>
          </w:p>
        </w:tc>
      </w:tr>
      <w:tr w:rsidR="008D2289" w:rsidTr="008D2289">
        <w:tc>
          <w:tcPr>
            <w:tcW w:w="8838" w:type="dxa"/>
          </w:tcPr>
          <w:p w:rsidR="008D2289" w:rsidRPr="00971CB9" w:rsidRDefault="008D2289" w:rsidP="008D2289">
            <w:r>
              <w:t>Provide a description of how and when the reform strategies will be implemented. Be sure that these are linked back to identified needs in the comprehensive needs assessment.</w:t>
            </w:r>
          </w:p>
          <w:p w:rsidR="008D2289" w:rsidRDefault="008D2289" w:rsidP="006A6801"/>
          <w:p w:rsidR="008D2289" w:rsidRDefault="008D2289" w:rsidP="006A6801"/>
          <w:p w:rsidR="008D2289" w:rsidRDefault="008D2289" w:rsidP="006A6801"/>
          <w:p w:rsidR="008D2289" w:rsidRPr="008D2289" w:rsidRDefault="008D2289" w:rsidP="006A6801"/>
        </w:tc>
        <w:tc>
          <w:tcPr>
            <w:tcW w:w="5778" w:type="dxa"/>
          </w:tcPr>
          <w:p w:rsidR="008D2289" w:rsidRPr="001777BA" w:rsidRDefault="008D2289" w:rsidP="006A6801">
            <w:r w:rsidRPr="001777BA">
              <w:t>Funding Sources (if applicable)</w:t>
            </w:r>
          </w:p>
          <w:p w:rsidR="008D2289" w:rsidRDefault="008D2289" w:rsidP="006A6801">
            <w:pPr>
              <w:rPr>
                <w:b/>
              </w:rPr>
            </w:pPr>
          </w:p>
        </w:tc>
      </w:tr>
    </w:tbl>
    <w:p w:rsidR="008D2289" w:rsidRDefault="008D2289" w:rsidP="001E53D7">
      <w:pPr>
        <w:rPr>
          <w:b/>
        </w:rPr>
      </w:pPr>
    </w:p>
    <w:p w:rsidR="008D2289" w:rsidRDefault="008D2289" w:rsidP="001E53D7">
      <w:pPr>
        <w:rPr>
          <w:b/>
        </w:rPr>
      </w:pPr>
    </w:p>
    <w:p w:rsidR="008D2289" w:rsidRDefault="008D2289" w:rsidP="001E53D7">
      <w:pPr>
        <w:rPr>
          <w:b/>
        </w:rPr>
      </w:pPr>
    </w:p>
    <w:p w:rsidR="008D2289" w:rsidRDefault="008D2289" w:rsidP="001E53D7">
      <w:pPr>
        <w:rPr>
          <w:b/>
        </w:rPr>
      </w:pPr>
    </w:p>
    <w:p w:rsidR="008D2289" w:rsidRDefault="008D2289" w:rsidP="001E53D7">
      <w:pPr>
        <w:rPr>
          <w:b/>
        </w:rPr>
      </w:pPr>
    </w:p>
    <w:p w:rsidR="00082761" w:rsidRPr="008F6DA6" w:rsidRDefault="00082761" w:rsidP="00F44F2D"/>
    <w:p w:rsidR="00ED0C32" w:rsidRDefault="00ED0C32"/>
    <w:p w:rsidR="008D2289" w:rsidRDefault="008D2289"/>
    <w:p w:rsidR="008D2289" w:rsidRDefault="008D2289"/>
    <w:p w:rsidR="008D2289" w:rsidRDefault="008D2289"/>
    <w:tbl>
      <w:tblPr>
        <w:tblStyle w:val="TableGrid"/>
        <w:tblW w:w="0" w:type="auto"/>
        <w:tblLook w:val="04A0" w:firstRow="1" w:lastRow="0" w:firstColumn="1" w:lastColumn="0" w:noHBand="0" w:noVBand="1"/>
      </w:tblPr>
      <w:tblGrid>
        <w:gridCol w:w="8838"/>
        <w:gridCol w:w="5778"/>
      </w:tblGrid>
      <w:tr w:rsidR="008D2289" w:rsidTr="006A6801">
        <w:tc>
          <w:tcPr>
            <w:tcW w:w="14616" w:type="dxa"/>
            <w:gridSpan w:val="2"/>
            <w:shd w:val="clear" w:color="auto" w:fill="D9D9D9" w:themeFill="background1" w:themeFillShade="D9"/>
          </w:tcPr>
          <w:p w:rsidR="008D2289" w:rsidRDefault="008D2289" w:rsidP="006A6801">
            <w:pPr>
              <w:rPr>
                <w:b/>
              </w:rPr>
            </w:pPr>
            <w:r>
              <w:rPr>
                <w:b/>
              </w:rPr>
              <w:lastRenderedPageBreak/>
              <w:t>3</w:t>
            </w:r>
            <w:r w:rsidRPr="00971CB9">
              <w:rPr>
                <w:b/>
              </w:rPr>
              <w:t xml:space="preserve">. </w:t>
            </w:r>
            <w:r>
              <w:rPr>
                <w:b/>
              </w:rPr>
              <w:t>Instruction by Highly Qualified Teachers</w:t>
            </w:r>
          </w:p>
        </w:tc>
      </w:tr>
      <w:tr w:rsidR="008D2289" w:rsidTr="006A6801">
        <w:tc>
          <w:tcPr>
            <w:tcW w:w="14616" w:type="dxa"/>
            <w:gridSpan w:val="2"/>
          </w:tcPr>
          <w:p w:rsidR="008D2289" w:rsidRPr="008D2289" w:rsidRDefault="008D2289" w:rsidP="008D2289">
            <w:r>
              <w:t>All core content teachers must be</w:t>
            </w:r>
            <w:r w:rsidRPr="00971CB9">
              <w:t xml:space="preserve"> highly qualitied. [1114(b)(1)(C)]</w:t>
            </w:r>
          </w:p>
        </w:tc>
      </w:tr>
      <w:tr w:rsidR="008D2289" w:rsidTr="006A6801">
        <w:tc>
          <w:tcPr>
            <w:tcW w:w="14616" w:type="dxa"/>
            <w:gridSpan w:val="2"/>
          </w:tcPr>
          <w:p w:rsidR="008D2289" w:rsidRDefault="008D2289" w:rsidP="006A6801">
            <w:pPr>
              <w:rPr>
                <w:b/>
              </w:rPr>
            </w:pPr>
          </w:p>
          <w:p w:rsidR="008D2289" w:rsidRDefault="008D2289" w:rsidP="006A6801">
            <w:pPr>
              <w:rPr>
                <w:b/>
              </w:rPr>
            </w:pPr>
          </w:p>
          <w:p w:rsidR="008D2289" w:rsidRDefault="008D2289" w:rsidP="006A6801">
            <w:pPr>
              <w:rPr>
                <w:b/>
              </w:rPr>
            </w:pPr>
          </w:p>
          <w:p w:rsidR="008D2289" w:rsidRDefault="008D2289" w:rsidP="006A6801">
            <w:pPr>
              <w:rPr>
                <w:b/>
              </w:rPr>
            </w:pPr>
          </w:p>
          <w:p w:rsidR="008D2289" w:rsidRDefault="008D2289" w:rsidP="006A6801">
            <w:pPr>
              <w:rPr>
                <w:b/>
              </w:rPr>
            </w:pPr>
          </w:p>
          <w:p w:rsidR="008D2289" w:rsidRDefault="008D2289" w:rsidP="006A6801">
            <w:pPr>
              <w:rPr>
                <w:b/>
              </w:rPr>
            </w:pPr>
          </w:p>
          <w:p w:rsidR="008D2289" w:rsidRDefault="008D2289" w:rsidP="006A6801">
            <w:pPr>
              <w:rPr>
                <w:b/>
              </w:rPr>
            </w:pPr>
          </w:p>
        </w:tc>
      </w:tr>
      <w:tr w:rsidR="008D2289" w:rsidTr="006A6801">
        <w:tc>
          <w:tcPr>
            <w:tcW w:w="8838" w:type="dxa"/>
          </w:tcPr>
          <w:p w:rsidR="00C17CAA" w:rsidRPr="00971CB9" w:rsidRDefault="00C17CAA" w:rsidP="00C17CAA">
            <w:r>
              <w:t>Describe the process used to ensure that only highly qualified staff are hired for core content areas. Paraprofessionals must also meet the highly qualified requirements.</w:t>
            </w:r>
          </w:p>
          <w:p w:rsidR="008D2289" w:rsidRDefault="008D2289" w:rsidP="006A6801"/>
          <w:p w:rsidR="008D2289" w:rsidRDefault="008D2289" w:rsidP="006A6801"/>
          <w:p w:rsidR="008D2289" w:rsidRDefault="008D2289" w:rsidP="006A6801"/>
          <w:p w:rsidR="008D2289" w:rsidRPr="008D2289" w:rsidRDefault="008D2289" w:rsidP="006A6801"/>
        </w:tc>
        <w:tc>
          <w:tcPr>
            <w:tcW w:w="5778" w:type="dxa"/>
          </w:tcPr>
          <w:p w:rsidR="008D2289" w:rsidRPr="001777BA" w:rsidRDefault="008D2289" w:rsidP="006A6801">
            <w:r w:rsidRPr="001777BA">
              <w:t>Funding Sources (if applicable)</w:t>
            </w:r>
          </w:p>
          <w:p w:rsidR="008D2289" w:rsidRDefault="008D2289" w:rsidP="006A6801">
            <w:pPr>
              <w:rPr>
                <w:b/>
              </w:rPr>
            </w:pPr>
          </w:p>
        </w:tc>
      </w:tr>
    </w:tbl>
    <w:p w:rsidR="008D2289" w:rsidRDefault="008D2289"/>
    <w:tbl>
      <w:tblPr>
        <w:tblStyle w:val="TableGrid"/>
        <w:tblW w:w="0" w:type="auto"/>
        <w:tblLook w:val="04A0" w:firstRow="1" w:lastRow="0" w:firstColumn="1" w:lastColumn="0" w:noHBand="0" w:noVBand="1"/>
      </w:tblPr>
      <w:tblGrid>
        <w:gridCol w:w="8838"/>
        <w:gridCol w:w="5778"/>
      </w:tblGrid>
      <w:tr w:rsidR="00C17CAA" w:rsidTr="006A6801">
        <w:tc>
          <w:tcPr>
            <w:tcW w:w="14616" w:type="dxa"/>
            <w:gridSpan w:val="2"/>
            <w:shd w:val="clear" w:color="auto" w:fill="D9D9D9" w:themeFill="background1" w:themeFillShade="D9"/>
          </w:tcPr>
          <w:p w:rsidR="00C17CAA" w:rsidRDefault="00C17CAA" w:rsidP="006A6801">
            <w:pPr>
              <w:rPr>
                <w:b/>
              </w:rPr>
            </w:pPr>
            <w:r>
              <w:rPr>
                <w:b/>
              </w:rPr>
              <w:t>4. High-Quality, Ongoing Professional Development</w:t>
            </w:r>
          </w:p>
        </w:tc>
      </w:tr>
      <w:tr w:rsidR="00C17CAA" w:rsidTr="006A6801">
        <w:tc>
          <w:tcPr>
            <w:tcW w:w="14616" w:type="dxa"/>
            <w:gridSpan w:val="2"/>
          </w:tcPr>
          <w:p w:rsidR="00C17CAA" w:rsidRPr="008D2289" w:rsidRDefault="00C17CAA" w:rsidP="006A6801">
            <w:r w:rsidRPr="00971CB9">
              <w:t xml:space="preserve">In accordance with section 1119 and subsection (a)(4), </w:t>
            </w:r>
            <w:r>
              <w:t>identify the high-</w:t>
            </w:r>
            <w:r w:rsidRPr="00971CB9">
              <w:t>quality and ongoing professional development for teachers, principals, and paraprofessionals and if, appropriate, pupil services personnel, parents, and other staff to enable all children in the school to meet the State’s student academic achievement standards. (Section 1114(b)(1)(D)</w:t>
            </w:r>
          </w:p>
        </w:tc>
      </w:tr>
      <w:tr w:rsidR="00C17CAA" w:rsidTr="006A6801">
        <w:tc>
          <w:tcPr>
            <w:tcW w:w="14616" w:type="dxa"/>
            <w:gridSpan w:val="2"/>
          </w:tcPr>
          <w:p w:rsidR="00C17CAA" w:rsidRDefault="00C17CAA" w:rsidP="006A6801">
            <w:pPr>
              <w:rPr>
                <w:b/>
              </w:rPr>
            </w:pPr>
          </w:p>
          <w:p w:rsidR="00C17CAA" w:rsidRDefault="00C17CAA" w:rsidP="006A6801">
            <w:pPr>
              <w:rPr>
                <w:b/>
              </w:rPr>
            </w:pPr>
          </w:p>
          <w:p w:rsidR="00C17CAA" w:rsidRDefault="00C17CAA" w:rsidP="006A6801">
            <w:pPr>
              <w:rPr>
                <w:b/>
              </w:rPr>
            </w:pPr>
          </w:p>
          <w:p w:rsidR="00C17CAA" w:rsidRDefault="00C17CAA" w:rsidP="006A6801">
            <w:pPr>
              <w:rPr>
                <w:b/>
              </w:rPr>
            </w:pPr>
          </w:p>
          <w:p w:rsidR="00C17CAA" w:rsidRDefault="00C17CAA" w:rsidP="006A6801">
            <w:pPr>
              <w:rPr>
                <w:b/>
              </w:rPr>
            </w:pPr>
          </w:p>
          <w:p w:rsidR="00C17CAA" w:rsidRDefault="00C17CAA" w:rsidP="006A6801">
            <w:pPr>
              <w:rPr>
                <w:b/>
              </w:rPr>
            </w:pPr>
          </w:p>
          <w:p w:rsidR="00C17CAA" w:rsidRDefault="00C17CAA" w:rsidP="006A6801">
            <w:pPr>
              <w:rPr>
                <w:b/>
              </w:rPr>
            </w:pPr>
          </w:p>
        </w:tc>
      </w:tr>
      <w:tr w:rsidR="00C17CAA" w:rsidTr="006A6801">
        <w:tc>
          <w:tcPr>
            <w:tcW w:w="8838" w:type="dxa"/>
          </w:tcPr>
          <w:p w:rsidR="00C17CAA" w:rsidRPr="00971CB9" w:rsidRDefault="00C17CAA" w:rsidP="00C17CAA">
            <w:r>
              <w:t>Describe the professional development needed and link this back to identified needs in the comprehensive needs assessment.</w:t>
            </w:r>
          </w:p>
          <w:p w:rsidR="00C17CAA" w:rsidRDefault="00C17CAA" w:rsidP="006A6801"/>
          <w:p w:rsidR="00C17CAA" w:rsidRDefault="00C17CAA" w:rsidP="006A6801"/>
          <w:p w:rsidR="00C17CAA" w:rsidRDefault="00C17CAA" w:rsidP="006A6801"/>
          <w:p w:rsidR="0021426E" w:rsidRPr="008D2289" w:rsidRDefault="0021426E" w:rsidP="006A6801"/>
        </w:tc>
        <w:tc>
          <w:tcPr>
            <w:tcW w:w="5778" w:type="dxa"/>
          </w:tcPr>
          <w:p w:rsidR="00C17CAA" w:rsidRPr="001777BA" w:rsidRDefault="00C17CAA" w:rsidP="006A6801">
            <w:r w:rsidRPr="001777BA">
              <w:t>Funding Sources (if applicable)</w:t>
            </w:r>
          </w:p>
          <w:p w:rsidR="00C17CAA" w:rsidRDefault="00C17CAA" w:rsidP="006A6801">
            <w:pPr>
              <w:rPr>
                <w:b/>
              </w:rPr>
            </w:pPr>
          </w:p>
        </w:tc>
      </w:tr>
      <w:tr w:rsidR="0021426E" w:rsidTr="006A6801">
        <w:tc>
          <w:tcPr>
            <w:tcW w:w="14616" w:type="dxa"/>
            <w:gridSpan w:val="2"/>
            <w:shd w:val="clear" w:color="auto" w:fill="D9D9D9" w:themeFill="background1" w:themeFillShade="D9"/>
          </w:tcPr>
          <w:p w:rsidR="0021426E" w:rsidRDefault="0021426E" w:rsidP="006A6801">
            <w:pPr>
              <w:rPr>
                <w:b/>
              </w:rPr>
            </w:pPr>
            <w:r>
              <w:rPr>
                <w:b/>
              </w:rPr>
              <w:lastRenderedPageBreak/>
              <w:t xml:space="preserve">5. </w:t>
            </w:r>
            <w:r w:rsidRPr="00971CB9">
              <w:rPr>
                <w:b/>
              </w:rPr>
              <w:t>Recruitment and Retenti</w:t>
            </w:r>
            <w:r>
              <w:rPr>
                <w:b/>
              </w:rPr>
              <w:t>on of Highly Qualified Teachers</w:t>
            </w:r>
          </w:p>
        </w:tc>
      </w:tr>
      <w:tr w:rsidR="0021426E" w:rsidTr="006A6801">
        <w:tc>
          <w:tcPr>
            <w:tcW w:w="14616" w:type="dxa"/>
            <w:gridSpan w:val="2"/>
          </w:tcPr>
          <w:p w:rsidR="0021426E" w:rsidRPr="00971CB9" w:rsidRDefault="0021426E" w:rsidP="0021426E">
            <w:r>
              <w:t xml:space="preserve">Identify </w:t>
            </w:r>
            <w:r w:rsidRPr="00971CB9">
              <w:t>the school’s strategies to attract and retain effective, highly qualified teachers in the Instructional program and in the school as a whole. [1114(b)(1)(E)]</w:t>
            </w:r>
          </w:p>
          <w:p w:rsidR="0021426E" w:rsidRPr="008D2289" w:rsidRDefault="0021426E" w:rsidP="0021426E">
            <w:r>
              <w:t xml:space="preserve">Identify </w:t>
            </w:r>
            <w:r w:rsidRPr="00971CB9">
              <w:t xml:space="preserve">the practice the district maintains to assist schools in effectively recruiting and retaining highly qualified </w:t>
            </w:r>
            <w:r>
              <w:t>educators</w:t>
            </w:r>
            <w:r w:rsidRPr="00971CB9">
              <w:t>, including specialists in core academic subjects, principals, and pupil services personnel</w:t>
            </w:r>
            <w:r>
              <w:t>;</w:t>
            </w:r>
            <w:r w:rsidRPr="00971CB9">
              <w:t xml:space="preserve"> </w:t>
            </w:r>
            <w:r>
              <w:t xml:space="preserve">for example: </w:t>
            </w:r>
            <w:r w:rsidRPr="00971CB9">
              <w:t>providing scholarships, signing bonuses, or other financial incentives, such as differential pay, for teachers to teach in academic subjects and schools in which there exists a shortage of highly qualified teachers.</w:t>
            </w:r>
          </w:p>
        </w:tc>
      </w:tr>
      <w:tr w:rsidR="0021426E" w:rsidTr="006A6801">
        <w:tc>
          <w:tcPr>
            <w:tcW w:w="14616" w:type="dxa"/>
            <w:gridSpan w:val="2"/>
          </w:tcPr>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tc>
      </w:tr>
      <w:tr w:rsidR="0021426E" w:rsidTr="006A6801">
        <w:tc>
          <w:tcPr>
            <w:tcW w:w="8838" w:type="dxa"/>
          </w:tcPr>
          <w:p w:rsidR="0021426E" w:rsidRPr="00971CB9" w:rsidRDefault="0021426E" w:rsidP="0021426E">
            <w:r>
              <w:t>Describe the strategies used to attract and retain effective, highly qualified teachers. If this was identified in the comprehensive needs assessment, be sure to reference this need.</w:t>
            </w:r>
          </w:p>
          <w:p w:rsidR="0021426E" w:rsidRDefault="0021426E" w:rsidP="006A6801"/>
          <w:p w:rsidR="0021426E" w:rsidRDefault="0021426E" w:rsidP="006A6801"/>
          <w:p w:rsidR="0021426E" w:rsidRDefault="0021426E" w:rsidP="006A6801"/>
          <w:p w:rsidR="0021426E" w:rsidRPr="008D2289" w:rsidRDefault="0021426E" w:rsidP="006A6801"/>
        </w:tc>
        <w:tc>
          <w:tcPr>
            <w:tcW w:w="5778" w:type="dxa"/>
          </w:tcPr>
          <w:p w:rsidR="0021426E" w:rsidRPr="001777BA" w:rsidRDefault="0021426E" w:rsidP="006A6801">
            <w:r w:rsidRPr="001777BA">
              <w:t>Funding Sources (if applicable)</w:t>
            </w:r>
          </w:p>
          <w:p w:rsidR="0021426E" w:rsidRDefault="0021426E" w:rsidP="006A6801">
            <w:pPr>
              <w:rPr>
                <w:b/>
              </w:rPr>
            </w:pPr>
          </w:p>
        </w:tc>
      </w:tr>
    </w:tbl>
    <w:p w:rsidR="00ED0C32" w:rsidRDefault="00ED0C32"/>
    <w:tbl>
      <w:tblPr>
        <w:tblStyle w:val="TableGrid"/>
        <w:tblW w:w="0" w:type="auto"/>
        <w:tblLook w:val="04A0" w:firstRow="1" w:lastRow="0" w:firstColumn="1" w:lastColumn="0" w:noHBand="0" w:noVBand="1"/>
      </w:tblPr>
      <w:tblGrid>
        <w:gridCol w:w="8838"/>
        <w:gridCol w:w="5778"/>
      </w:tblGrid>
      <w:tr w:rsidR="0021426E" w:rsidTr="006A6801">
        <w:tc>
          <w:tcPr>
            <w:tcW w:w="14616" w:type="dxa"/>
            <w:gridSpan w:val="2"/>
            <w:shd w:val="clear" w:color="auto" w:fill="D9D9D9" w:themeFill="background1" w:themeFillShade="D9"/>
          </w:tcPr>
          <w:p w:rsidR="0021426E" w:rsidRDefault="0021426E" w:rsidP="006A6801">
            <w:pPr>
              <w:rPr>
                <w:b/>
              </w:rPr>
            </w:pPr>
            <w:r>
              <w:rPr>
                <w:b/>
              </w:rPr>
              <w:t>6</w:t>
            </w:r>
            <w:r w:rsidRPr="00971CB9">
              <w:rPr>
                <w:b/>
              </w:rPr>
              <w:t xml:space="preserve">. </w:t>
            </w:r>
            <w:r>
              <w:rPr>
                <w:b/>
              </w:rPr>
              <w:t>Parent Involvement</w:t>
            </w:r>
          </w:p>
        </w:tc>
      </w:tr>
      <w:tr w:rsidR="0021426E" w:rsidTr="006A6801">
        <w:tc>
          <w:tcPr>
            <w:tcW w:w="14616" w:type="dxa"/>
            <w:gridSpan w:val="2"/>
          </w:tcPr>
          <w:p w:rsidR="0021426E" w:rsidRDefault="0021426E" w:rsidP="0021426E">
            <w:pPr>
              <w:autoSpaceDE w:val="0"/>
              <w:autoSpaceDN w:val="0"/>
              <w:adjustRightInd w:val="0"/>
              <w:rPr>
                <w:rFonts w:asciiTheme="minorHAnsi" w:hAnsiTheme="minorHAnsi" w:cs="NewCenturySchlbk-Roman"/>
              </w:rPr>
            </w:pPr>
            <w:r w:rsidRPr="009F1EA7">
              <w:rPr>
                <w:rFonts w:asciiTheme="minorHAnsi" w:hAnsiTheme="minorHAnsi" w:cs="NewCenturySchlbk-Roman"/>
              </w:rPr>
              <w:t>Strategies to increase parental involvement in accordance with section 1118, such as family literary services. 1114(b)(1)(F)</w:t>
            </w:r>
          </w:p>
          <w:p w:rsidR="0021426E" w:rsidRPr="001F75D9" w:rsidRDefault="0021426E" w:rsidP="0021426E">
            <w:pPr>
              <w:pStyle w:val="ListParagraph"/>
              <w:numPr>
                <w:ilvl w:val="0"/>
                <w:numId w:val="17"/>
              </w:numPr>
              <w:autoSpaceDE w:val="0"/>
              <w:autoSpaceDN w:val="0"/>
              <w:adjustRightInd w:val="0"/>
              <w:rPr>
                <w:rFonts w:asciiTheme="minorHAnsi" w:hAnsiTheme="minorHAnsi" w:cs="NewCenturySchlbk-Roman"/>
              </w:rPr>
            </w:pPr>
            <w:r w:rsidRPr="001F75D9">
              <w:rPr>
                <w:rFonts w:asciiTheme="minorHAnsi" w:hAnsiTheme="minorHAnsi" w:cs="Arial"/>
              </w:rPr>
              <w:t xml:space="preserve">A </w:t>
            </w:r>
            <w:proofErr w:type="spellStart"/>
            <w:r w:rsidRPr="001F75D9">
              <w:rPr>
                <w:rFonts w:asciiTheme="minorHAnsi" w:hAnsiTheme="minorHAnsi" w:cs="Arial"/>
              </w:rPr>
              <w:t>schoolwide</w:t>
            </w:r>
            <w:proofErr w:type="spellEnd"/>
            <w:r w:rsidRPr="001F75D9">
              <w:rPr>
                <w:rFonts w:asciiTheme="minorHAnsi" w:hAnsiTheme="minorHAnsi" w:cs="Arial"/>
              </w:rPr>
              <w:t xml:space="preserve"> program must involve parents in the planning, review, and improvement of the </w:t>
            </w:r>
            <w:proofErr w:type="spellStart"/>
            <w:r w:rsidRPr="001F75D9">
              <w:rPr>
                <w:rFonts w:asciiTheme="minorHAnsi" w:hAnsiTheme="minorHAnsi" w:cs="Arial"/>
              </w:rPr>
              <w:t>schoolwide</w:t>
            </w:r>
            <w:proofErr w:type="spellEnd"/>
            <w:r w:rsidRPr="001F75D9">
              <w:rPr>
                <w:rFonts w:asciiTheme="minorHAnsi" w:hAnsiTheme="minorHAnsi" w:cs="Arial"/>
              </w:rPr>
              <w:t xml:space="preserve"> program plan.</w:t>
            </w:r>
          </w:p>
          <w:p w:rsidR="0021426E" w:rsidRPr="001F75D9" w:rsidRDefault="0021426E" w:rsidP="0021426E">
            <w:pPr>
              <w:pStyle w:val="ListParagraph"/>
              <w:numPr>
                <w:ilvl w:val="0"/>
                <w:numId w:val="17"/>
              </w:numPr>
              <w:autoSpaceDE w:val="0"/>
              <w:autoSpaceDN w:val="0"/>
              <w:adjustRightInd w:val="0"/>
              <w:rPr>
                <w:rFonts w:asciiTheme="minorHAnsi" w:hAnsiTheme="minorHAnsi" w:cs="NewCenturySchlbk-Roman"/>
              </w:rPr>
            </w:pPr>
            <w:r w:rsidRPr="001F75D9">
              <w:rPr>
                <w:rFonts w:asciiTheme="minorHAnsi" w:hAnsiTheme="minorHAnsi" w:cs="Arial"/>
              </w:rPr>
              <w:t xml:space="preserve">A </w:t>
            </w:r>
            <w:proofErr w:type="spellStart"/>
            <w:r w:rsidRPr="001F75D9">
              <w:rPr>
                <w:rFonts w:asciiTheme="minorHAnsi" w:hAnsiTheme="minorHAnsi" w:cs="Arial"/>
              </w:rPr>
              <w:t>schoolwide</w:t>
            </w:r>
            <w:proofErr w:type="spellEnd"/>
            <w:r w:rsidRPr="001F75D9">
              <w:rPr>
                <w:rFonts w:asciiTheme="minorHAnsi" w:hAnsiTheme="minorHAnsi" w:cs="Arial"/>
              </w:rPr>
              <w:t xml:space="preserve"> program must have a parental involvement policy, consistent with section 1118(b) of the ESEA, that—</w:t>
            </w:r>
          </w:p>
          <w:p w:rsidR="0021426E" w:rsidRPr="001F75D9" w:rsidRDefault="0021426E" w:rsidP="0021426E">
            <w:pPr>
              <w:pStyle w:val="ListParagraph"/>
              <w:numPr>
                <w:ilvl w:val="1"/>
                <w:numId w:val="17"/>
              </w:numPr>
              <w:autoSpaceDE w:val="0"/>
              <w:autoSpaceDN w:val="0"/>
              <w:adjustRightInd w:val="0"/>
              <w:rPr>
                <w:rFonts w:asciiTheme="minorHAnsi" w:hAnsiTheme="minorHAnsi" w:cs="NewCenturySchlbk-Roman"/>
              </w:rPr>
            </w:pPr>
            <w:r w:rsidRPr="001F75D9">
              <w:rPr>
                <w:rFonts w:asciiTheme="minorHAnsi" w:hAnsiTheme="minorHAnsi" w:cs="Arial"/>
              </w:rPr>
              <w:t>Includes strategies, such as family literacy services, to increase parental involvement in accordance with sections 1118(c) through (f) and 9101(32) of the ESEA; and</w:t>
            </w:r>
          </w:p>
          <w:p w:rsidR="0021426E" w:rsidRPr="008D2289" w:rsidRDefault="0021426E" w:rsidP="0021426E">
            <w:r w:rsidRPr="001F75D9">
              <w:rPr>
                <w:rFonts w:asciiTheme="minorHAnsi" w:hAnsiTheme="minorHAnsi" w:cs="Arial"/>
              </w:rPr>
              <w:t>Describes how the school will provide individual student academic assessment results, including an interpretation of those results, to the parents of students who participate in the academic assessments required by §200.2.</w:t>
            </w:r>
          </w:p>
        </w:tc>
      </w:tr>
      <w:tr w:rsidR="0021426E" w:rsidTr="006A6801">
        <w:tc>
          <w:tcPr>
            <w:tcW w:w="14616" w:type="dxa"/>
            <w:gridSpan w:val="2"/>
          </w:tcPr>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67CB9" w:rsidRDefault="00267CB9" w:rsidP="006A6801">
            <w:pPr>
              <w:rPr>
                <w:b/>
              </w:rPr>
            </w:pPr>
          </w:p>
          <w:p w:rsidR="00267CB9" w:rsidRDefault="00267CB9" w:rsidP="006A6801">
            <w:pPr>
              <w:rPr>
                <w:b/>
              </w:rPr>
            </w:pPr>
          </w:p>
          <w:p w:rsidR="00267CB9" w:rsidRDefault="00267CB9" w:rsidP="006A6801">
            <w:pPr>
              <w:rPr>
                <w:b/>
              </w:rPr>
            </w:pPr>
          </w:p>
        </w:tc>
      </w:tr>
      <w:tr w:rsidR="0021426E" w:rsidTr="006A6801">
        <w:tc>
          <w:tcPr>
            <w:tcW w:w="8838" w:type="dxa"/>
          </w:tcPr>
          <w:p w:rsidR="0021426E" w:rsidRPr="00971CB9" w:rsidRDefault="0021426E" w:rsidP="0021426E">
            <w:r>
              <w:lastRenderedPageBreak/>
              <w:t xml:space="preserve">Describe how, when, and where this requirement is met. </w:t>
            </w:r>
          </w:p>
          <w:p w:rsidR="0021426E" w:rsidRDefault="0021426E" w:rsidP="006A6801"/>
          <w:p w:rsidR="0021426E" w:rsidRDefault="0021426E" w:rsidP="006A6801"/>
          <w:p w:rsidR="0021426E" w:rsidRDefault="0021426E" w:rsidP="006A6801"/>
          <w:p w:rsidR="0021426E" w:rsidRPr="008D2289" w:rsidRDefault="0021426E" w:rsidP="006A6801"/>
        </w:tc>
        <w:tc>
          <w:tcPr>
            <w:tcW w:w="5778" w:type="dxa"/>
          </w:tcPr>
          <w:p w:rsidR="0021426E" w:rsidRPr="001777BA" w:rsidRDefault="0021426E" w:rsidP="006A6801">
            <w:r w:rsidRPr="001777BA">
              <w:t>Funding Sources (if applicable)</w:t>
            </w:r>
          </w:p>
          <w:p w:rsidR="0021426E" w:rsidRDefault="0021426E" w:rsidP="006A6801">
            <w:pPr>
              <w:rPr>
                <w:b/>
              </w:rPr>
            </w:pPr>
          </w:p>
        </w:tc>
      </w:tr>
    </w:tbl>
    <w:p w:rsidR="00397FFC" w:rsidRDefault="00397FFC"/>
    <w:tbl>
      <w:tblPr>
        <w:tblStyle w:val="TableGrid"/>
        <w:tblW w:w="0" w:type="auto"/>
        <w:tblLook w:val="04A0" w:firstRow="1" w:lastRow="0" w:firstColumn="1" w:lastColumn="0" w:noHBand="0" w:noVBand="1"/>
      </w:tblPr>
      <w:tblGrid>
        <w:gridCol w:w="8838"/>
        <w:gridCol w:w="5778"/>
      </w:tblGrid>
      <w:tr w:rsidR="0021426E" w:rsidTr="006A6801">
        <w:tc>
          <w:tcPr>
            <w:tcW w:w="14616" w:type="dxa"/>
            <w:gridSpan w:val="2"/>
            <w:shd w:val="clear" w:color="auto" w:fill="D9D9D9" w:themeFill="background1" w:themeFillShade="D9"/>
          </w:tcPr>
          <w:p w:rsidR="0021426E" w:rsidRDefault="0021426E" w:rsidP="006A6801">
            <w:pPr>
              <w:rPr>
                <w:b/>
              </w:rPr>
            </w:pPr>
            <w:r>
              <w:rPr>
                <w:b/>
              </w:rPr>
              <w:t>7. Coordination with Early Childhood Programs</w:t>
            </w:r>
          </w:p>
        </w:tc>
      </w:tr>
      <w:tr w:rsidR="0021426E" w:rsidTr="006A6801">
        <w:tc>
          <w:tcPr>
            <w:tcW w:w="14616" w:type="dxa"/>
            <w:gridSpan w:val="2"/>
          </w:tcPr>
          <w:p w:rsidR="0021426E" w:rsidRPr="00971CB9" w:rsidRDefault="0021426E" w:rsidP="0021426E">
            <w:r>
              <w:t>Identify</w:t>
            </w:r>
            <w:r w:rsidRPr="00971CB9">
              <w:t xml:space="preserve"> how the program is coordinated with early childhood programs (Head Start, Even Start, Colorado Preschool Program), with an emphasis on the transition between early childhood programs and elementary school programs. [1114(b)(1)(G)</w:t>
            </w:r>
          </w:p>
          <w:p w:rsidR="0021426E" w:rsidRPr="008D2289" w:rsidRDefault="0021426E" w:rsidP="0021426E">
            <w:r>
              <w:t>A</w:t>
            </w:r>
            <w:r w:rsidRPr="00971CB9">
              <w:t>ssessment data (Teaching Strategies GOLD, High Scope COR)</w:t>
            </w:r>
            <w:r>
              <w:t xml:space="preserve"> should</w:t>
            </w:r>
            <w:r w:rsidRPr="00971CB9">
              <w:t xml:space="preserve"> facilitate the transition between early childhood programs and elementary school programs.</w:t>
            </w:r>
            <w:r w:rsidR="00262491">
              <w:t xml:space="preserve"> </w:t>
            </w:r>
            <w:r>
              <w:t>T</w:t>
            </w:r>
            <w:r w:rsidRPr="00971CB9">
              <w:t xml:space="preserve">he transfer of data and knowledge (Result Matter System) </w:t>
            </w:r>
            <w:r>
              <w:t>could be</w:t>
            </w:r>
            <w:r w:rsidRPr="00971CB9">
              <w:t xml:space="preserve"> accessed and utilized by staff in designing an effective instructional program.</w:t>
            </w:r>
          </w:p>
        </w:tc>
      </w:tr>
      <w:tr w:rsidR="0021426E" w:rsidTr="006A6801">
        <w:tc>
          <w:tcPr>
            <w:tcW w:w="14616" w:type="dxa"/>
            <w:gridSpan w:val="2"/>
          </w:tcPr>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tc>
      </w:tr>
      <w:tr w:rsidR="0021426E" w:rsidTr="006A6801">
        <w:tc>
          <w:tcPr>
            <w:tcW w:w="8838" w:type="dxa"/>
          </w:tcPr>
          <w:p w:rsidR="0021426E" w:rsidRDefault="0021426E" w:rsidP="006A6801">
            <w:r>
              <w:t>Describe the coordination that occurs between the elementary school and early childhood programs.</w:t>
            </w:r>
          </w:p>
          <w:p w:rsidR="0021426E" w:rsidRDefault="0021426E" w:rsidP="006A6801"/>
          <w:p w:rsidR="0021426E" w:rsidRDefault="0021426E" w:rsidP="006A6801"/>
          <w:p w:rsidR="0021426E" w:rsidRPr="008D2289" w:rsidRDefault="0021426E" w:rsidP="006A6801"/>
        </w:tc>
        <w:tc>
          <w:tcPr>
            <w:tcW w:w="5778" w:type="dxa"/>
          </w:tcPr>
          <w:p w:rsidR="0021426E" w:rsidRPr="001777BA" w:rsidRDefault="0021426E" w:rsidP="006A6801">
            <w:r w:rsidRPr="001777BA">
              <w:t>Funding Sources (if applicable)</w:t>
            </w:r>
          </w:p>
          <w:p w:rsidR="0021426E" w:rsidRDefault="0021426E" w:rsidP="006A6801">
            <w:pPr>
              <w:rPr>
                <w:b/>
              </w:rPr>
            </w:pPr>
          </w:p>
        </w:tc>
      </w:tr>
    </w:tbl>
    <w:p w:rsidR="00A12289" w:rsidRDefault="00A12289"/>
    <w:p w:rsidR="0021426E" w:rsidRDefault="0021426E"/>
    <w:p w:rsidR="0021426E" w:rsidRDefault="0021426E"/>
    <w:p w:rsidR="0021426E" w:rsidRDefault="0021426E"/>
    <w:p w:rsidR="0021426E" w:rsidRDefault="0021426E"/>
    <w:p w:rsidR="0021426E" w:rsidRDefault="0021426E"/>
    <w:tbl>
      <w:tblPr>
        <w:tblStyle w:val="TableGrid"/>
        <w:tblW w:w="0" w:type="auto"/>
        <w:tblLook w:val="04A0" w:firstRow="1" w:lastRow="0" w:firstColumn="1" w:lastColumn="0" w:noHBand="0" w:noVBand="1"/>
      </w:tblPr>
      <w:tblGrid>
        <w:gridCol w:w="8838"/>
        <w:gridCol w:w="5778"/>
      </w:tblGrid>
      <w:tr w:rsidR="0021426E" w:rsidTr="006A6801">
        <w:tc>
          <w:tcPr>
            <w:tcW w:w="14616" w:type="dxa"/>
            <w:gridSpan w:val="2"/>
            <w:shd w:val="clear" w:color="auto" w:fill="D9D9D9" w:themeFill="background1" w:themeFillShade="D9"/>
          </w:tcPr>
          <w:p w:rsidR="0021426E" w:rsidRDefault="0021426E" w:rsidP="0021426E">
            <w:pPr>
              <w:rPr>
                <w:b/>
              </w:rPr>
            </w:pPr>
            <w:r>
              <w:rPr>
                <w:b/>
              </w:rPr>
              <w:lastRenderedPageBreak/>
              <w:t xml:space="preserve">8. </w:t>
            </w:r>
            <w:r w:rsidRPr="00971CB9">
              <w:rPr>
                <w:b/>
              </w:rPr>
              <w:t>Teacher involvement in assessments</w:t>
            </w:r>
            <w:r>
              <w:rPr>
                <w:b/>
              </w:rPr>
              <w:t xml:space="preserve"> decisions</w:t>
            </w:r>
          </w:p>
        </w:tc>
      </w:tr>
      <w:tr w:rsidR="0021426E" w:rsidTr="006A6801">
        <w:tc>
          <w:tcPr>
            <w:tcW w:w="14616" w:type="dxa"/>
            <w:gridSpan w:val="2"/>
          </w:tcPr>
          <w:p w:rsidR="00262491" w:rsidRDefault="00262491" w:rsidP="00262491">
            <w:r>
              <w:t>Identify</w:t>
            </w:r>
            <w:r w:rsidRPr="00971CB9">
              <w:t xml:space="preserve"> the measures the school has in place to include teachers in the decisions regarding the use of academic assessments described in section 1111(b)(3)</w:t>
            </w:r>
            <w:r>
              <w:t>,</w:t>
            </w:r>
            <w:r w:rsidRPr="00971CB9">
              <w:t xml:space="preserve"> in order to provide information on, and to improve, the achievement of individual students and the overall instructional program. [(1114(b)(1)(E)]</w:t>
            </w:r>
          </w:p>
          <w:p w:rsidR="00262491" w:rsidRPr="001E53D7" w:rsidRDefault="00262491" w:rsidP="00262491">
            <w:pPr>
              <w:rPr>
                <w:rFonts w:asciiTheme="minorHAnsi" w:hAnsiTheme="minorHAnsi" w:cs="Arial"/>
                <w:shd w:val="clear" w:color="auto" w:fill="FFFFFF"/>
              </w:rPr>
            </w:pPr>
            <w:r w:rsidRPr="001E53D7">
              <w:rPr>
                <w:rFonts w:asciiTheme="minorHAnsi" w:hAnsiTheme="minorHAnsi" w:cs="Arial"/>
                <w:shd w:val="clear" w:color="auto" w:fill="FFFFFF"/>
              </w:rPr>
              <w:t xml:space="preserve">Include teachers in professional development activities regarding the use of academic assessments described in §200.2 to enable them to provide information on, and to improve, the achievement of individual students and the overall instructional program. </w:t>
            </w:r>
          </w:p>
          <w:p w:rsidR="0021426E" w:rsidRPr="00262491" w:rsidRDefault="00262491" w:rsidP="006A6801">
            <w:pPr>
              <w:rPr>
                <w:rFonts w:asciiTheme="minorHAnsi" w:hAnsiTheme="minorHAnsi"/>
              </w:rPr>
            </w:pPr>
            <w:r w:rsidRPr="001E53D7">
              <w:rPr>
                <w:rFonts w:asciiTheme="minorHAnsi" w:hAnsiTheme="minorHAnsi" w:cs="Arial"/>
                <w:shd w:val="clear" w:color="auto" w:fill="FFFFFF"/>
              </w:rPr>
              <w:t>CFR 200.28</w:t>
            </w:r>
          </w:p>
        </w:tc>
      </w:tr>
      <w:tr w:rsidR="0021426E" w:rsidTr="006A6801">
        <w:tc>
          <w:tcPr>
            <w:tcW w:w="14616" w:type="dxa"/>
            <w:gridSpan w:val="2"/>
          </w:tcPr>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tc>
      </w:tr>
      <w:tr w:rsidR="0021426E" w:rsidTr="006A6801">
        <w:tc>
          <w:tcPr>
            <w:tcW w:w="8838" w:type="dxa"/>
          </w:tcPr>
          <w:p w:rsidR="00262491" w:rsidRDefault="00262491" w:rsidP="00262491">
            <w:r>
              <w:t>Describe how teachers are involved in decisions about the academic assessments used to inform and improve the instructional program.</w:t>
            </w:r>
          </w:p>
          <w:p w:rsidR="0021426E" w:rsidRDefault="0021426E" w:rsidP="006A6801"/>
          <w:p w:rsidR="0021426E" w:rsidRDefault="0021426E" w:rsidP="006A6801"/>
          <w:p w:rsidR="0021426E" w:rsidRPr="008D2289" w:rsidRDefault="0021426E" w:rsidP="006A6801"/>
        </w:tc>
        <w:tc>
          <w:tcPr>
            <w:tcW w:w="5778" w:type="dxa"/>
          </w:tcPr>
          <w:p w:rsidR="0021426E" w:rsidRPr="001777BA" w:rsidRDefault="0021426E" w:rsidP="006A6801">
            <w:r w:rsidRPr="001777BA">
              <w:t>Funding Sources (if applicable)</w:t>
            </w:r>
          </w:p>
          <w:p w:rsidR="0021426E" w:rsidRDefault="0021426E" w:rsidP="006A6801">
            <w:pPr>
              <w:rPr>
                <w:b/>
              </w:rPr>
            </w:pPr>
          </w:p>
        </w:tc>
      </w:tr>
    </w:tbl>
    <w:p w:rsidR="00267CB9" w:rsidRDefault="00267CB9"/>
    <w:tbl>
      <w:tblPr>
        <w:tblStyle w:val="TableGrid"/>
        <w:tblW w:w="0" w:type="auto"/>
        <w:tblLook w:val="04A0" w:firstRow="1" w:lastRow="0" w:firstColumn="1" w:lastColumn="0" w:noHBand="0" w:noVBand="1"/>
      </w:tblPr>
      <w:tblGrid>
        <w:gridCol w:w="8838"/>
        <w:gridCol w:w="5778"/>
      </w:tblGrid>
      <w:tr w:rsidR="0021426E" w:rsidTr="006A6801">
        <w:tc>
          <w:tcPr>
            <w:tcW w:w="14616" w:type="dxa"/>
            <w:gridSpan w:val="2"/>
            <w:shd w:val="clear" w:color="auto" w:fill="D9D9D9" w:themeFill="background1" w:themeFillShade="D9"/>
          </w:tcPr>
          <w:p w:rsidR="0021426E" w:rsidRDefault="00267CB9" w:rsidP="006A6801">
            <w:pPr>
              <w:rPr>
                <w:b/>
              </w:rPr>
            </w:pPr>
            <w:r>
              <w:rPr>
                <w:b/>
              </w:rPr>
              <w:t>9. Additional Timely Assistance</w:t>
            </w:r>
          </w:p>
        </w:tc>
      </w:tr>
      <w:tr w:rsidR="0021426E" w:rsidTr="006A6801">
        <w:tc>
          <w:tcPr>
            <w:tcW w:w="14616" w:type="dxa"/>
            <w:gridSpan w:val="2"/>
          </w:tcPr>
          <w:p w:rsidR="00267CB9" w:rsidRPr="00971CB9" w:rsidRDefault="00267CB9" w:rsidP="00267CB9">
            <w:r w:rsidRPr="00971CB9">
              <w:t xml:space="preserve">A </w:t>
            </w:r>
            <w:proofErr w:type="spellStart"/>
            <w:r w:rsidRPr="00971CB9">
              <w:t>schoolwide</w:t>
            </w:r>
            <w:proofErr w:type="spellEnd"/>
            <w:r w:rsidRPr="00971CB9">
              <w:t xml:space="preserve"> program must include activities to ensure that students who experience difficulty attaining the proficient or advanced levels of academic achievement standards will be provided with effective, timely additional support,  including measures to--</w:t>
            </w:r>
          </w:p>
          <w:p w:rsidR="00267CB9" w:rsidRPr="00971CB9" w:rsidRDefault="00267CB9" w:rsidP="00267CB9">
            <w:r w:rsidRPr="00971CB9">
              <w:tab/>
              <w:t>(1)  Ensure that those students’ difficulties are identified on a timely basis; and</w:t>
            </w:r>
          </w:p>
          <w:p w:rsidR="0021426E" w:rsidRPr="008D2289" w:rsidRDefault="00267CB9" w:rsidP="006A6801">
            <w:r w:rsidRPr="00971CB9">
              <w:tab/>
              <w:t>(2)  Provide sufficient information on which to base effective assistance to those students.</w:t>
            </w:r>
          </w:p>
        </w:tc>
      </w:tr>
      <w:tr w:rsidR="0021426E" w:rsidTr="006A6801">
        <w:tc>
          <w:tcPr>
            <w:tcW w:w="14616" w:type="dxa"/>
            <w:gridSpan w:val="2"/>
          </w:tcPr>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p w:rsidR="0021426E" w:rsidRDefault="0021426E" w:rsidP="006A6801">
            <w:pPr>
              <w:rPr>
                <w:b/>
              </w:rPr>
            </w:pPr>
          </w:p>
        </w:tc>
      </w:tr>
      <w:tr w:rsidR="0021426E" w:rsidTr="006A6801">
        <w:tc>
          <w:tcPr>
            <w:tcW w:w="8838" w:type="dxa"/>
          </w:tcPr>
          <w:p w:rsidR="00267CB9" w:rsidRPr="00971CB9" w:rsidRDefault="00267CB9" w:rsidP="00267CB9">
            <w:r>
              <w:t xml:space="preserve">Describe the additional timely assistance for students not yet proficient, being sure to link this back to </w:t>
            </w:r>
            <w:proofErr w:type="gramStart"/>
            <w:r>
              <w:t>identified</w:t>
            </w:r>
            <w:proofErr w:type="gramEnd"/>
            <w:r>
              <w:t xml:space="preserve"> needs in the comprehensive needs assessment. For example, if the needs </w:t>
            </w:r>
            <w:r>
              <w:lastRenderedPageBreak/>
              <w:t>assessment identified a particular subgroup of students that continue to struggle, one would expect to see them identified here, along with the supports to be provided.</w:t>
            </w:r>
          </w:p>
          <w:p w:rsidR="0021426E" w:rsidRDefault="0021426E" w:rsidP="006A6801"/>
          <w:p w:rsidR="0021426E" w:rsidRDefault="0021426E" w:rsidP="006A6801"/>
          <w:p w:rsidR="00267CB9" w:rsidRDefault="00267CB9" w:rsidP="006A6801"/>
          <w:p w:rsidR="00267CB9" w:rsidRDefault="00267CB9" w:rsidP="006A6801"/>
          <w:p w:rsidR="0021426E" w:rsidRPr="008D2289" w:rsidRDefault="0021426E" w:rsidP="006A6801"/>
        </w:tc>
        <w:tc>
          <w:tcPr>
            <w:tcW w:w="5778" w:type="dxa"/>
          </w:tcPr>
          <w:p w:rsidR="0021426E" w:rsidRPr="001777BA" w:rsidRDefault="0021426E" w:rsidP="006A6801">
            <w:r w:rsidRPr="001777BA">
              <w:lastRenderedPageBreak/>
              <w:t>Funding Sources (if applicable)</w:t>
            </w:r>
          </w:p>
          <w:p w:rsidR="0021426E" w:rsidRDefault="0021426E" w:rsidP="006A6801">
            <w:pPr>
              <w:rPr>
                <w:b/>
              </w:rPr>
            </w:pPr>
          </w:p>
        </w:tc>
      </w:tr>
    </w:tbl>
    <w:p w:rsidR="00A12289" w:rsidRDefault="00A12289"/>
    <w:tbl>
      <w:tblPr>
        <w:tblStyle w:val="TableGrid"/>
        <w:tblW w:w="0" w:type="auto"/>
        <w:tblLook w:val="04A0" w:firstRow="1" w:lastRow="0" w:firstColumn="1" w:lastColumn="0" w:noHBand="0" w:noVBand="1"/>
      </w:tblPr>
      <w:tblGrid>
        <w:gridCol w:w="8838"/>
        <w:gridCol w:w="5778"/>
      </w:tblGrid>
      <w:tr w:rsidR="00267CB9" w:rsidTr="006A6801">
        <w:tc>
          <w:tcPr>
            <w:tcW w:w="14616" w:type="dxa"/>
            <w:gridSpan w:val="2"/>
            <w:shd w:val="clear" w:color="auto" w:fill="D9D9D9" w:themeFill="background1" w:themeFillShade="D9"/>
          </w:tcPr>
          <w:p w:rsidR="00267CB9" w:rsidRDefault="00267CB9" w:rsidP="006A6801">
            <w:pPr>
              <w:rPr>
                <w:b/>
              </w:rPr>
            </w:pPr>
            <w:r>
              <w:rPr>
                <w:b/>
              </w:rPr>
              <w:t xml:space="preserve">10. </w:t>
            </w:r>
            <w:r w:rsidRPr="00971CB9">
              <w:rPr>
                <w:b/>
              </w:rPr>
              <w:t>Coordination with Federal, State and Local Services</w:t>
            </w:r>
          </w:p>
        </w:tc>
      </w:tr>
      <w:tr w:rsidR="00267CB9" w:rsidTr="006A6801">
        <w:tc>
          <w:tcPr>
            <w:tcW w:w="14616" w:type="dxa"/>
            <w:gridSpan w:val="2"/>
          </w:tcPr>
          <w:p w:rsidR="00267CB9" w:rsidRPr="008D2289" w:rsidRDefault="00267CB9" w:rsidP="006A6801">
            <w:r w:rsidRPr="00971CB9">
              <w:t xml:space="preserve">Describe how the program is coordinated and aligned with federal, state and other local services and programs, with particular focus on other NCLB Title programs (e.g. Title </w:t>
            </w:r>
            <w:proofErr w:type="gramStart"/>
            <w:r w:rsidRPr="00971CB9">
              <w:t>I-</w:t>
            </w:r>
            <w:proofErr w:type="gramEnd"/>
            <w:r w:rsidRPr="00971CB9">
              <w:t>A, Title I-C, Title II, Title III, and other competitive grant programs).  [1114(b)(1)(J)]</w:t>
            </w:r>
          </w:p>
        </w:tc>
      </w:tr>
      <w:tr w:rsidR="00267CB9" w:rsidTr="006A6801">
        <w:tc>
          <w:tcPr>
            <w:tcW w:w="14616" w:type="dxa"/>
            <w:gridSpan w:val="2"/>
          </w:tcPr>
          <w:p w:rsidR="00267CB9" w:rsidRDefault="00267CB9" w:rsidP="006A6801">
            <w:pPr>
              <w:rPr>
                <w:b/>
              </w:rPr>
            </w:pPr>
          </w:p>
          <w:p w:rsidR="00267CB9" w:rsidRDefault="00267CB9" w:rsidP="006A6801">
            <w:pPr>
              <w:rPr>
                <w:b/>
              </w:rPr>
            </w:pPr>
          </w:p>
          <w:p w:rsidR="00267CB9" w:rsidRDefault="00267CB9" w:rsidP="006A6801">
            <w:pPr>
              <w:rPr>
                <w:b/>
              </w:rPr>
            </w:pPr>
          </w:p>
          <w:p w:rsidR="00267CB9" w:rsidRDefault="00267CB9" w:rsidP="006A6801">
            <w:pPr>
              <w:rPr>
                <w:b/>
              </w:rPr>
            </w:pPr>
          </w:p>
          <w:p w:rsidR="00267CB9" w:rsidRDefault="00267CB9" w:rsidP="006A6801">
            <w:pPr>
              <w:rPr>
                <w:b/>
              </w:rPr>
            </w:pPr>
          </w:p>
          <w:p w:rsidR="00267CB9" w:rsidRDefault="00267CB9" w:rsidP="006A6801">
            <w:pPr>
              <w:rPr>
                <w:b/>
              </w:rPr>
            </w:pPr>
          </w:p>
          <w:p w:rsidR="00267CB9" w:rsidRDefault="00267CB9" w:rsidP="006A6801">
            <w:pPr>
              <w:rPr>
                <w:b/>
              </w:rPr>
            </w:pPr>
          </w:p>
        </w:tc>
      </w:tr>
      <w:tr w:rsidR="00267CB9" w:rsidTr="006A6801">
        <w:tc>
          <w:tcPr>
            <w:tcW w:w="8838" w:type="dxa"/>
          </w:tcPr>
          <w:p w:rsidR="00267CB9" w:rsidRPr="00971CB9" w:rsidRDefault="00267CB9" w:rsidP="006A6801">
            <w:r>
              <w:t>Describe how this happens</w:t>
            </w:r>
          </w:p>
          <w:p w:rsidR="00267CB9" w:rsidRDefault="00267CB9" w:rsidP="006A6801"/>
          <w:p w:rsidR="00267CB9" w:rsidRDefault="00267CB9" w:rsidP="006A6801"/>
          <w:p w:rsidR="00267CB9" w:rsidRPr="008D2289" w:rsidRDefault="00267CB9" w:rsidP="006A6801"/>
        </w:tc>
        <w:tc>
          <w:tcPr>
            <w:tcW w:w="5778" w:type="dxa"/>
          </w:tcPr>
          <w:p w:rsidR="00267CB9" w:rsidRPr="001777BA" w:rsidRDefault="00267CB9" w:rsidP="006A6801">
            <w:r w:rsidRPr="001777BA">
              <w:t>Funding Sources (if applicable)</w:t>
            </w:r>
          </w:p>
          <w:p w:rsidR="00267CB9" w:rsidRDefault="00267CB9" w:rsidP="006A6801">
            <w:pPr>
              <w:rPr>
                <w:b/>
              </w:rPr>
            </w:pPr>
          </w:p>
        </w:tc>
      </w:tr>
    </w:tbl>
    <w:p w:rsidR="00262491" w:rsidRDefault="00262491"/>
    <w:p w:rsidR="00BF1E61" w:rsidRDefault="00BF1E61" w:rsidP="00267CB9">
      <w:pPr>
        <w:rPr>
          <w:b/>
        </w:rPr>
      </w:pPr>
    </w:p>
    <w:p w:rsidR="00267CB9" w:rsidRDefault="00267CB9" w:rsidP="00267CB9">
      <w:pPr>
        <w:rPr>
          <w:b/>
        </w:rPr>
      </w:pPr>
      <w:r w:rsidRPr="00AB02F9">
        <w:rPr>
          <w:b/>
        </w:rPr>
        <w:t xml:space="preserve">This next section describes how the Title I </w:t>
      </w:r>
      <w:proofErr w:type="spellStart"/>
      <w:r w:rsidRPr="00AB02F9">
        <w:rPr>
          <w:b/>
        </w:rPr>
        <w:t>Schoolwide</w:t>
      </w:r>
      <w:proofErr w:type="spellEnd"/>
      <w:r w:rsidRPr="00AB02F9">
        <w:rPr>
          <w:b/>
        </w:rPr>
        <w:t xml:space="preserve"> Plan </w:t>
      </w:r>
      <w:r>
        <w:rPr>
          <w:b/>
        </w:rPr>
        <w:t>must</w:t>
      </w:r>
      <w:r w:rsidRPr="00AB02F9">
        <w:rPr>
          <w:b/>
        </w:rPr>
        <w:t xml:space="preserve"> be developed. The manner in which this </w:t>
      </w:r>
      <w:r>
        <w:rPr>
          <w:b/>
        </w:rPr>
        <w:t>must happen</w:t>
      </w:r>
      <w:r w:rsidRPr="00AB02F9">
        <w:rPr>
          <w:b/>
        </w:rPr>
        <w:t xml:space="preserve"> is covered both in statute and in regulations but is not required to be in the school’s</w:t>
      </w:r>
      <w:r>
        <w:rPr>
          <w:b/>
        </w:rPr>
        <w:t xml:space="preserve"> Title I </w:t>
      </w:r>
      <w:proofErr w:type="spellStart"/>
      <w:r>
        <w:rPr>
          <w:b/>
        </w:rPr>
        <w:t>Schoolwide</w:t>
      </w:r>
      <w:proofErr w:type="spellEnd"/>
      <w:r w:rsidRPr="00AB02F9">
        <w:rPr>
          <w:b/>
        </w:rPr>
        <w:t xml:space="preserve"> plan.</w:t>
      </w:r>
      <w:r>
        <w:rPr>
          <w:b/>
        </w:rPr>
        <w:t xml:space="preserve"> Rather, the school must maintain documentation that these occurred, and the matrix below is one way to do it.</w:t>
      </w:r>
    </w:p>
    <w:p w:rsidR="00BF1E61" w:rsidRDefault="00BF1E61"/>
    <w:p w:rsidR="00BF1E61" w:rsidRDefault="00BF1E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2"/>
        <w:gridCol w:w="5814"/>
      </w:tblGrid>
      <w:tr w:rsidR="00267CB9" w:rsidRPr="00AB02F9" w:rsidTr="00BF1E61">
        <w:tc>
          <w:tcPr>
            <w:tcW w:w="5000" w:type="pct"/>
            <w:gridSpan w:val="2"/>
            <w:shd w:val="clear" w:color="auto" w:fill="D9D9D9" w:themeFill="background1" w:themeFillShade="D9"/>
          </w:tcPr>
          <w:p w:rsidR="00267CB9" w:rsidRPr="00AB02F9" w:rsidRDefault="00267CB9" w:rsidP="006A6801">
            <w:pPr>
              <w:rPr>
                <w:b/>
              </w:rPr>
            </w:pPr>
            <w:r w:rsidRPr="00971CB9">
              <w:rPr>
                <w:b/>
              </w:rPr>
              <w:t xml:space="preserve">Title I-A </w:t>
            </w:r>
            <w:proofErr w:type="spellStart"/>
            <w:r w:rsidRPr="00971CB9">
              <w:rPr>
                <w:b/>
              </w:rPr>
              <w:t>Schoolwide</w:t>
            </w:r>
            <w:proofErr w:type="spellEnd"/>
            <w:r w:rsidRPr="00971CB9">
              <w:rPr>
                <w:b/>
              </w:rPr>
              <w:t xml:space="preserve"> Program Plan Development (Optional to include this section in the </w:t>
            </w:r>
            <w:proofErr w:type="spellStart"/>
            <w:r w:rsidRPr="00971CB9">
              <w:rPr>
                <w:b/>
              </w:rPr>
              <w:t>schoolwide</w:t>
            </w:r>
            <w:proofErr w:type="spellEnd"/>
            <w:r w:rsidRPr="00971CB9">
              <w:rPr>
                <w:b/>
              </w:rPr>
              <w:t xml:space="preserve"> plan, but activities are required.)</w:t>
            </w:r>
          </w:p>
        </w:tc>
      </w:tr>
      <w:tr w:rsidR="00267CB9" w:rsidRPr="00971CB9" w:rsidTr="006A6801">
        <w:tc>
          <w:tcPr>
            <w:tcW w:w="5000" w:type="pct"/>
            <w:gridSpan w:val="2"/>
          </w:tcPr>
          <w:p w:rsidR="00267CB9" w:rsidRPr="00267CB9" w:rsidRDefault="00267CB9" w:rsidP="006A6801">
            <w:r w:rsidRPr="00971CB9">
              <w:t>1. Describe how the plan is developed with the involvement of parents and other members of the community to be served and individuals who will carry out such plan, including teachers, principals, and administrators (including administrators of programs described in other parts of this title), and, if appropriate, pupil services personnel, technical assistance providers, school staff, and, if the plan relates to a secondary school, students from such school. [1114(b)(2)(B)(ii)]</w:t>
            </w:r>
          </w:p>
        </w:tc>
      </w:tr>
      <w:tr w:rsidR="00267CB9" w:rsidRPr="001777BA" w:rsidTr="006A6801">
        <w:tc>
          <w:tcPr>
            <w:tcW w:w="3011" w:type="pct"/>
            <w:tcBorders>
              <w:bottom w:val="single" w:sz="4" w:space="0" w:color="auto"/>
            </w:tcBorders>
          </w:tcPr>
          <w:p w:rsidR="00267CB9" w:rsidRPr="00971CB9" w:rsidRDefault="00267CB9" w:rsidP="006A6801"/>
          <w:p w:rsidR="00267CB9" w:rsidRPr="00971CB9" w:rsidRDefault="00267CB9" w:rsidP="006A6801"/>
          <w:p w:rsidR="00267CB9" w:rsidRPr="00971CB9" w:rsidRDefault="00267CB9" w:rsidP="006A6801"/>
          <w:p w:rsidR="00267CB9" w:rsidRDefault="00267CB9" w:rsidP="006A6801"/>
          <w:p w:rsidR="00267CB9" w:rsidRPr="00971CB9" w:rsidRDefault="00267CB9" w:rsidP="006A6801"/>
        </w:tc>
        <w:tc>
          <w:tcPr>
            <w:tcW w:w="1989" w:type="pct"/>
            <w:tcBorders>
              <w:bottom w:val="single" w:sz="4" w:space="0" w:color="auto"/>
            </w:tcBorders>
          </w:tcPr>
          <w:p w:rsidR="00267CB9" w:rsidRPr="001777BA" w:rsidRDefault="00267CB9" w:rsidP="006A6801">
            <w:r w:rsidRPr="001777BA">
              <w:t>Funding Sources (if applicable)</w:t>
            </w:r>
          </w:p>
          <w:p w:rsidR="00267CB9" w:rsidRPr="001777BA" w:rsidRDefault="00267CB9" w:rsidP="006A6801"/>
        </w:tc>
      </w:tr>
      <w:tr w:rsidR="00267CB9" w:rsidRPr="00971CB9" w:rsidTr="006A6801">
        <w:tc>
          <w:tcPr>
            <w:tcW w:w="5000" w:type="pct"/>
            <w:gridSpan w:val="2"/>
          </w:tcPr>
          <w:p w:rsidR="00267CB9" w:rsidRPr="00971CB9" w:rsidRDefault="00267CB9" w:rsidP="006A6801">
            <w:r w:rsidRPr="00971CB9">
              <w:t xml:space="preserve">2. Describe how the </w:t>
            </w:r>
            <w:proofErr w:type="gramStart"/>
            <w:r w:rsidRPr="00971CB9">
              <w:t>school, with assistance from the LEA, will annually evaluate</w:t>
            </w:r>
            <w:proofErr w:type="gramEnd"/>
            <w:r w:rsidRPr="00971CB9">
              <w:t xml:space="preserve"> the implementation of, and results achieved by, the </w:t>
            </w:r>
            <w:proofErr w:type="spellStart"/>
            <w:r w:rsidRPr="00971CB9">
              <w:t>schoolwide</w:t>
            </w:r>
            <w:proofErr w:type="spellEnd"/>
            <w:r w:rsidRPr="00971CB9">
              <w:t xml:space="preserve"> program, using data from the State’s annual assessments and other indicators of academic achievement.</w:t>
            </w:r>
          </w:p>
          <w:p w:rsidR="00267CB9" w:rsidRPr="00971CB9" w:rsidRDefault="00267CB9" w:rsidP="006A6801"/>
          <w:p w:rsidR="00267CB9" w:rsidRPr="00971CB9" w:rsidRDefault="00267CB9" w:rsidP="006A6801">
            <w:r w:rsidRPr="00971CB9">
              <w:t xml:space="preserve">This evaluation will  determine whether the </w:t>
            </w:r>
            <w:proofErr w:type="spellStart"/>
            <w:r w:rsidRPr="00971CB9">
              <w:t>schoolwide</w:t>
            </w:r>
            <w:proofErr w:type="spellEnd"/>
            <w:r w:rsidRPr="00971CB9">
              <w:t xml:space="preserve"> program has been effective in increasing the achievement of students in meeting the State’s academic standards, particularly for those students who had been furthest from achieving the standards; and</w:t>
            </w:r>
          </w:p>
          <w:p w:rsidR="00267CB9" w:rsidRPr="00267CB9" w:rsidRDefault="00267CB9" w:rsidP="006A6801">
            <w:proofErr w:type="gramStart"/>
            <w:r w:rsidRPr="00971CB9">
              <w:t>the</w:t>
            </w:r>
            <w:proofErr w:type="gramEnd"/>
            <w:r w:rsidRPr="00971CB9">
              <w:t xml:space="preserve"> school should revise the plan, as necessary, based on the results of the evaluation, to ensure continuous improvement of students in the </w:t>
            </w:r>
            <w:proofErr w:type="spellStart"/>
            <w:r w:rsidRPr="00971CB9">
              <w:t>schoolwide</w:t>
            </w:r>
            <w:proofErr w:type="spellEnd"/>
            <w:r w:rsidRPr="00971CB9">
              <w:t xml:space="preserve"> program.</w:t>
            </w:r>
            <w:r>
              <w:t xml:space="preserve"> [34 CRF 200.26]</w:t>
            </w:r>
          </w:p>
        </w:tc>
      </w:tr>
      <w:tr w:rsidR="00267CB9" w:rsidRPr="001777BA" w:rsidTr="006A6801">
        <w:tc>
          <w:tcPr>
            <w:tcW w:w="3011" w:type="pct"/>
            <w:tcBorders>
              <w:bottom w:val="single" w:sz="4" w:space="0" w:color="auto"/>
            </w:tcBorders>
          </w:tcPr>
          <w:p w:rsidR="00267CB9" w:rsidRPr="00971CB9" w:rsidRDefault="00267CB9" w:rsidP="006A6801"/>
          <w:p w:rsidR="00267CB9" w:rsidRPr="00971CB9" w:rsidRDefault="00267CB9" w:rsidP="006A6801"/>
          <w:p w:rsidR="00267CB9" w:rsidRPr="00971CB9" w:rsidRDefault="00267CB9" w:rsidP="006A6801"/>
          <w:p w:rsidR="00267CB9" w:rsidRDefault="00267CB9" w:rsidP="006A6801">
            <w:r>
              <w:t xml:space="preserve">   </w:t>
            </w:r>
          </w:p>
          <w:p w:rsidR="00267CB9" w:rsidRDefault="00267CB9" w:rsidP="006A6801"/>
          <w:p w:rsidR="00267CB9" w:rsidRPr="00971CB9" w:rsidRDefault="00267CB9" w:rsidP="006A6801"/>
        </w:tc>
        <w:tc>
          <w:tcPr>
            <w:tcW w:w="1989" w:type="pct"/>
            <w:tcBorders>
              <w:bottom w:val="single" w:sz="4" w:space="0" w:color="auto"/>
            </w:tcBorders>
          </w:tcPr>
          <w:p w:rsidR="00267CB9" w:rsidRPr="001777BA" w:rsidRDefault="00267CB9" w:rsidP="006A6801">
            <w:r w:rsidRPr="001777BA">
              <w:t>Funding Sources (if applicable)</w:t>
            </w:r>
          </w:p>
          <w:p w:rsidR="00267CB9" w:rsidRPr="001777BA" w:rsidRDefault="00267CB9" w:rsidP="006A6801"/>
        </w:tc>
      </w:tr>
    </w:tbl>
    <w:p w:rsidR="00A12289" w:rsidRDefault="00A12289"/>
    <w:p w:rsidR="00A12289" w:rsidRDefault="00A12289"/>
    <w:p w:rsidR="00E42406" w:rsidRDefault="00E42406"/>
    <w:p w:rsidR="009D4B39" w:rsidRDefault="009D4B39" w:rsidP="00BF5460"/>
    <w:sectPr w:rsidR="009D4B39" w:rsidSect="005173BA">
      <w:headerReference w:type="default" r:id="rId9"/>
      <w:footerReference w:type="defaul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0B" w:rsidRDefault="000C420B" w:rsidP="001B3D81">
      <w:r>
        <w:separator/>
      </w:r>
    </w:p>
  </w:endnote>
  <w:endnote w:type="continuationSeparator" w:id="0">
    <w:p w:rsidR="000C420B" w:rsidRDefault="000C420B"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DD" w:rsidRDefault="00A12289">
    <w:pPr>
      <w:pStyle w:val="Footer"/>
    </w:pPr>
    <w:r>
      <w:t>October 2015</w:t>
    </w:r>
  </w:p>
  <w:p w:rsidR="00CE68DD" w:rsidRDefault="00CE6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0B" w:rsidRDefault="000C420B" w:rsidP="001B3D81">
      <w:r>
        <w:separator/>
      </w:r>
    </w:p>
  </w:footnote>
  <w:footnote w:type="continuationSeparator" w:id="0">
    <w:p w:rsidR="000C420B" w:rsidRDefault="000C420B"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DD" w:rsidRDefault="00CE68DD"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02924E04" wp14:editId="41C7B3A3">
          <wp:simplePos x="0" y="0"/>
          <wp:positionH relativeFrom="column">
            <wp:align>left</wp:align>
          </wp:positionH>
          <wp:positionV relativeFrom="page">
            <wp:posOffset>457200</wp:posOffset>
          </wp:positionV>
          <wp:extent cx="876300" cy="4572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4085"/>
      <w:gridCol w:w="893"/>
    </w:tblGrid>
    <w:tr w:rsidR="00CE68DD" w:rsidRPr="0025191F" w:rsidTr="005C2DE1">
      <w:tc>
        <w:tcPr>
          <w:tcW w:w="4702" w:type="pct"/>
          <w:tcBorders>
            <w:bottom w:val="nil"/>
            <w:right w:val="single" w:sz="4" w:space="0" w:color="BFBFBF"/>
          </w:tcBorders>
        </w:tcPr>
        <w:p w:rsidR="00CE68DD" w:rsidRPr="0030192B" w:rsidRDefault="000C420B" w:rsidP="00971CB9">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CE68DD">
                <w:rPr>
                  <w:rFonts w:ascii="Museo Slab 500" w:hAnsi="Museo Slab 500"/>
                  <w:b/>
                  <w:bCs/>
                  <w:color w:val="919BA5" w:themeColor="text1" w:themeTint="A6"/>
                  <w:sz w:val="18"/>
                  <w:szCs w:val="18"/>
                </w:rPr>
                <w:t xml:space="preserve">Title I-A </w:t>
              </w:r>
              <w:proofErr w:type="spellStart"/>
              <w:r w:rsidR="00CE68DD">
                <w:rPr>
                  <w:rFonts w:ascii="Museo Slab 500" w:hAnsi="Museo Slab 500"/>
                  <w:b/>
                  <w:bCs/>
                  <w:color w:val="919BA5" w:themeColor="text1" w:themeTint="A6"/>
                  <w:sz w:val="18"/>
                  <w:szCs w:val="18"/>
                </w:rPr>
                <w:t>Schoolwide</w:t>
              </w:r>
              <w:proofErr w:type="spellEnd"/>
              <w:r w:rsidR="00CE68DD">
                <w:rPr>
                  <w:rFonts w:ascii="Museo Slab 500" w:hAnsi="Museo Slab 500"/>
                  <w:b/>
                  <w:bCs/>
                  <w:color w:val="919BA5" w:themeColor="text1" w:themeTint="A6"/>
                  <w:sz w:val="18"/>
                  <w:szCs w:val="18"/>
                </w:rPr>
                <w:t xml:space="preserve"> Plan Template</w:t>
              </w:r>
            </w:sdtContent>
          </w:sdt>
        </w:p>
      </w:tc>
      <w:tc>
        <w:tcPr>
          <w:tcW w:w="298" w:type="pct"/>
          <w:tcBorders>
            <w:left w:val="single" w:sz="4" w:space="0" w:color="BFBFBF"/>
            <w:bottom w:val="nil"/>
          </w:tcBorders>
        </w:tcPr>
        <w:p w:rsidR="00CE68DD" w:rsidRPr="0030192B" w:rsidRDefault="00CE68DD"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5C290A">
            <w:rPr>
              <w:b/>
              <w:noProof/>
              <w:color w:val="919BA5" w:themeColor="text1" w:themeTint="A6"/>
              <w:szCs w:val="20"/>
            </w:rPr>
            <w:t>8</w:t>
          </w:r>
          <w:r w:rsidRPr="00CF122E">
            <w:rPr>
              <w:b/>
              <w:color w:val="919BA5" w:themeColor="text1" w:themeTint="A6"/>
              <w:szCs w:val="20"/>
            </w:rPr>
            <w:fldChar w:fldCharType="end"/>
          </w:r>
        </w:p>
      </w:tc>
    </w:tr>
  </w:tbl>
  <w:p w:rsidR="00CE68DD" w:rsidRDefault="00CE68DD" w:rsidP="001B3D81">
    <w:pPr>
      <w:pStyle w:val="Header"/>
      <w:tabs>
        <w:tab w:val="clear" w:pos="4320"/>
        <w:tab w:val="clear" w:pos="8640"/>
        <w:tab w:val="left" w:pos="4373"/>
      </w:tabs>
    </w:pPr>
  </w:p>
  <w:p w:rsidR="00CE68DD" w:rsidRDefault="000C420B"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26135E3E"/>
    <w:multiLevelType w:val="hybridMultilevel"/>
    <w:tmpl w:val="8AD0E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12"/>
  </w:num>
  <w:num w:numId="3">
    <w:abstractNumId w:val="13"/>
  </w:num>
  <w:num w:numId="4">
    <w:abstractNumId w:val="12"/>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47511"/>
    <w:rsid w:val="00081A3A"/>
    <w:rsid w:val="00082761"/>
    <w:rsid w:val="0008325E"/>
    <w:rsid w:val="000C420B"/>
    <w:rsid w:val="000E23EE"/>
    <w:rsid w:val="000E3193"/>
    <w:rsid w:val="001777BA"/>
    <w:rsid w:val="001B3D81"/>
    <w:rsid w:val="001D6E3B"/>
    <w:rsid w:val="001E53D7"/>
    <w:rsid w:val="001F75D9"/>
    <w:rsid w:val="00205184"/>
    <w:rsid w:val="0021426E"/>
    <w:rsid w:val="0023153E"/>
    <w:rsid w:val="00231855"/>
    <w:rsid w:val="00262491"/>
    <w:rsid w:val="00267CB9"/>
    <w:rsid w:val="00275EDF"/>
    <w:rsid w:val="00294F34"/>
    <w:rsid w:val="002B7E9B"/>
    <w:rsid w:val="002C42EF"/>
    <w:rsid w:val="002E3D72"/>
    <w:rsid w:val="002F57CF"/>
    <w:rsid w:val="003360CE"/>
    <w:rsid w:val="00363B66"/>
    <w:rsid w:val="00365217"/>
    <w:rsid w:val="003715E0"/>
    <w:rsid w:val="00397FFC"/>
    <w:rsid w:val="003B56C6"/>
    <w:rsid w:val="003B7892"/>
    <w:rsid w:val="004349D2"/>
    <w:rsid w:val="00453FA0"/>
    <w:rsid w:val="004724D6"/>
    <w:rsid w:val="004E00B8"/>
    <w:rsid w:val="005173BA"/>
    <w:rsid w:val="00532F91"/>
    <w:rsid w:val="00570D27"/>
    <w:rsid w:val="005C290A"/>
    <w:rsid w:val="005C2DE1"/>
    <w:rsid w:val="005F420C"/>
    <w:rsid w:val="00624562"/>
    <w:rsid w:val="006532A4"/>
    <w:rsid w:val="006B1990"/>
    <w:rsid w:val="006C2E56"/>
    <w:rsid w:val="00767B11"/>
    <w:rsid w:val="00776325"/>
    <w:rsid w:val="007934F9"/>
    <w:rsid w:val="007A5983"/>
    <w:rsid w:val="007B24AF"/>
    <w:rsid w:val="008428F4"/>
    <w:rsid w:val="00846456"/>
    <w:rsid w:val="008D2289"/>
    <w:rsid w:val="008F3BE5"/>
    <w:rsid w:val="008F6DA6"/>
    <w:rsid w:val="00971CB9"/>
    <w:rsid w:val="00987E89"/>
    <w:rsid w:val="009D4B39"/>
    <w:rsid w:val="009E0D09"/>
    <w:rsid w:val="009F1EA7"/>
    <w:rsid w:val="00A12289"/>
    <w:rsid w:val="00A14770"/>
    <w:rsid w:val="00A647E5"/>
    <w:rsid w:val="00AB02F9"/>
    <w:rsid w:val="00B37B0B"/>
    <w:rsid w:val="00B43646"/>
    <w:rsid w:val="00B66611"/>
    <w:rsid w:val="00B75D0F"/>
    <w:rsid w:val="00BF1E61"/>
    <w:rsid w:val="00BF5460"/>
    <w:rsid w:val="00C17CAA"/>
    <w:rsid w:val="00C45BF2"/>
    <w:rsid w:val="00CB25D5"/>
    <w:rsid w:val="00CE50F5"/>
    <w:rsid w:val="00CE68DD"/>
    <w:rsid w:val="00D267B1"/>
    <w:rsid w:val="00D44DB1"/>
    <w:rsid w:val="00D53982"/>
    <w:rsid w:val="00DC5071"/>
    <w:rsid w:val="00DE5FA2"/>
    <w:rsid w:val="00DF440E"/>
    <w:rsid w:val="00E218C6"/>
    <w:rsid w:val="00E42406"/>
    <w:rsid w:val="00EB2A24"/>
    <w:rsid w:val="00ED0C32"/>
    <w:rsid w:val="00F069A6"/>
    <w:rsid w:val="00F44F2D"/>
    <w:rsid w:val="00FC2A4C"/>
    <w:rsid w:val="00FF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CommentReference">
    <w:name w:val="annotation reference"/>
    <w:basedOn w:val="DefaultParagraphFont"/>
    <w:uiPriority w:val="99"/>
    <w:semiHidden/>
    <w:unhideWhenUsed/>
    <w:rsid w:val="006532A4"/>
    <w:rPr>
      <w:sz w:val="16"/>
      <w:szCs w:val="16"/>
    </w:rPr>
  </w:style>
  <w:style w:type="paragraph" w:styleId="CommentText">
    <w:name w:val="annotation text"/>
    <w:basedOn w:val="Normal"/>
    <w:link w:val="CommentTextChar"/>
    <w:uiPriority w:val="99"/>
    <w:semiHidden/>
    <w:unhideWhenUsed/>
    <w:rsid w:val="006532A4"/>
    <w:rPr>
      <w:sz w:val="20"/>
      <w:szCs w:val="20"/>
    </w:rPr>
  </w:style>
  <w:style w:type="character" w:customStyle="1" w:styleId="CommentTextChar">
    <w:name w:val="Comment Text Char"/>
    <w:basedOn w:val="DefaultParagraphFont"/>
    <w:link w:val="CommentText"/>
    <w:uiPriority w:val="99"/>
    <w:semiHidden/>
    <w:rsid w:val="006532A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32A4"/>
    <w:rPr>
      <w:b/>
      <w:bCs/>
    </w:rPr>
  </w:style>
  <w:style w:type="character" w:customStyle="1" w:styleId="CommentSubjectChar">
    <w:name w:val="Comment Subject Char"/>
    <w:basedOn w:val="CommentTextChar"/>
    <w:link w:val="CommentSubject"/>
    <w:uiPriority w:val="99"/>
    <w:semiHidden/>
    <w:rsid w:val="006532A4"/>
    <w:rPr>
      <w:rFonts w:ascii="Calibri" w:hAnsi="Calibri"/>
      <w:b/>
      <w:bCs/>
      <w:sz w:val="20"/>
      <w:szCs w:val="20"/>
    </w:rPr>
  </w:style>
  <w:style w:type="paragraph" w:styleId="NormalWeb">
    <w:name w:val="Normal (Web)"/>
    <w:basedOn w:val="Normal"/>
    <w:uiPriority w:val="99"/>
    <w:unhideWhenUsed/>
    <w:rsid w:val="001E53D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F1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CommentReference">
    <w:name w:val="annotation reference"/>
    <w:basedOn w:val="DefaultParagraphFont"/>
    <w:uiPriority w:val="99"/>
    <w:semiHidden/>
    <w:unhideWhenUsed/>
    <w:rsid w:val="006532A4"/>
    <w:rPr>
      <w:sz w:val="16"/>
      <w:szCs w:val="16"/>
    </w:rPr>
  </w:style>
  <w:style w:type="paragraph" w:styleId="CommentText">
    <w:name w:val="annotation text"/>
    <w:basedOn w:val="Normal"/>
    <w:link w:val="CommentTextChar"/>
    <w:uiPriority w:val="99"/>
    <w:semiHidden/>
    <w:unhideWhenUsed/>
    <w:rsid w:val="006532A4"/>
    <w:rPr>
      <w:sz w:val="20"/>
      <w:szCs w:val="20"/>
    </w:rPr>
  </w:style>
  <w:style w:type="character" w:customStyle="1" w:styleId="CommentTextChar">
    <w:name w:val="Comment Text Char"/>
    <w:basedOn w:val="DefaultParagraphFont"/>
    <w:link w:val="CommentText"/>
    <w:uiPriority w:val="99"/>
    <w:semiHidden/>
    <w:rsid w:val="006532A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32A4"/>
    <w:rPr>
      <w:b/>
      <w:bCs/>
    </w:rPr>
  </w:style>
  <w:style w:type="character" w:customStyle="1" w:styleId="CommentSubjectChar">
    <w:name w:val="Comment Subject Char"/>
    <w:basedOn w:val="CommentTextChar"/>
    <w:link w:val="CommentSubject"/>
    <w:uiPriority w:val="99"/>
    <w:semiHidden/>
    <w:rsid w:val="006532A4"/>
    <w:rPr>
      <w:rFonts w:ascii="Calibri" w:hAnsi="Calibri"/>
      <w:b/>
      <w:bCs/>
      <w:sz w:val="20"/>
      <w:szCs w:val="20"/>
    </w:rPr>
  </w:style>
  <w:style w:type="paragraph" w:styleId="NormalWeb">
    <w:name w:val="Normal (Web)"/>
    <w:basedOn w:val="Normal"/>
    <w:uiPriority w:val="99"/>
    <w:unhideWhenUsed/>
    <w:rsid w:val="001E53D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F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88201">
      <w:bodyDiv w:val="1"/>
      <w:marLeft w:val="0"/>
      <w:marRight w:val="0"/>
      <w:marTop w:val="0"/>
      <w:marBottom w:val="0"/>
      <w:divBdr>
        <w:top w:val="none" w:sz="0" w:space="0" w:color="auto"/>
        <w:left w:val="none" w:sz="0" w:space="0" w:color="auto"/>
        <w:bottom w:val="none" w:sz="0" w:space="0" w:color="auto"/>
        <w:right w:val="none" w:sz="0" w:space="0" w:color="auto"/>
      </w:divBdr>
    </w:div>
    <w:div w:id="997071267">
      <w:bodyDiv w:val="1"/>
      <w:marLeft w:val="0"/>
      <w:marRight w:val="0"/>
      <w:marTop w:val="0"/>
      <w:marBottom w:val="0"/>
      <w:divBdr>
        <w:top w:val="none" w:sz="0" w:space="0" w:color="auto"/>
        <w:left w:val="none" w:sz="0" w:space="0" w:color="auto"/>
        <w:bottom w:val="none" w:sz="0" w:space="0" w:color="auto"/>
        <w:right w:val="none" w:sz="0" w:space="0" w:color="auto"/>
      </w:divBdr>
    </w:div>
    <w:div w:id="1414156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Title I-A Schoolwide Plan Template</vt:lpstr>
    </vt:vector>
  </TitlesOfParts>
  <Company>Colorado State Education</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I-A Schoolwide Plan Template</dc:title>
  <dc:creator>Beth Hunter</dc:creator>
  <cp:lastModifiedBy>Benzel, Melea</cp:lastModifiedBy>
  <cp:revision>2</cp:revision>
  <cp:lastPrinted>2014-06-20T05:03:00Z</cp:lastPrinted>
  <dcterms:created xsi:type="dcterms:W3CDTF">2015-11-06T21:40:00Z</dcterms:created>
  <dcterms:modified xsi:type="dcterms:W3CDTF">2015-11-06T21:40:00Z</dcterms:modified>
</cp:coreProperties>
</file>