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b/>
          <w:bCs/>
          <w:color w:val="000000"/>
        </w:rPr>
        <w:t>Title II</w:t>
      </w:r>
      <w:r>
        <w:rPr>
          <w:rFonts w:ascii="Arial" w:eastAsia="Times New Roman" w:hAnsi="Arial" w:cs="Arial"/>
          <w:b/>
          <w:bCs/>
          <w:color w:val="000000"/>
        </w:rPr>
        <w:t xml:space="preserve"> Questions and Answers </w:t>
      </w:r>
      <w:bookmarkStart w:id="0" w:name="_GoBack"/>
      <w:bookmarkEnd w:id="0"/>
    </w:p>
    <w:p w:rsidR="009435D5" w:rsidRPr="009435D5" w:rsidRDefault="009435D5" w:rsidP="009435D5">
      <w:pPr>
        <w:spacing w:after="0" w:line="240" w:lineRule="auto"/>
        <w:rPr>
          <w:rFonts w:ascii="Times New Roman" w:eastAsia="Times New Roman" w:hAnsi="Times New Roman" w:cs="Times New Roman"/>
          <w:sz w:val="24"/>
          <w:szCs w:val="24"/>
        </w:rPr>
      </w:pPr>
    </w:p>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color w:val="000000"/>
        </w:rPr>
        <w:t>Q: If induction is required, then should a Charter school not use their portion of Title II for induction services (if they don't participate in the Districts induction)? </w:t>
      </w:r>
    </w:p>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color w:val="000000"/>
        </w:rPr>
        <w:t xml:space="preserve">A: Charter schools are treated the same as public schools under </w:t>
      </w:r>
      <w:proofErr w:type="spellStart"/>
      <w:r w:rsidRPr="009435D5">
        <w:rPr>
          <w:rFonts w:ascii="Arial" w:eastAsia="Times New Roman" w:hAnsi="Arial" w:cs="Arial"/>
          <w:color w:val="000000"/>
        </w:rPr>
        <w:t>TItle</w:t>
      </w:r>
      <w:proofErr w:type="spellEnd"/>
      <w:r w:rsidRPr="009435D5">
        <w:rPr>
          <w:rFonts w:ascii="Arial" w:eastAsia="Times New Roman" w:hAnsi="Arial" w:cs="Arial"/>
          <w:color w:val="000000"/>
        </w:rPr>
        <w:t xml:space="preserve"> II and should be implementing a core teacher support program such as inductions. LEA should follow up with charter to collect information about supports to new teachers and ensure a level of consistency and support for educators with general funds. They should be able to demonstrate and articulate how services are supplemental </w:t>
      </w:r>
    </w:p>
    <w:p w:rsidR="009435D5" w:rsidRPr="009435D5" w:rsidRDefault="009435D5" w:rsidP="009435D5">
      <w:pPr>
        <w:spacing w:after="0" w:line="240" w:lineRule="auto"/>
        <w:rPr>
          <w:rFonts w:ascii="Times New Roman" w:eastAsia="Times New Roman" w:hAnsi="Times New Roman" w:cs="Times New Roman"/>
          <w:sz w:val="24"/>
          <w:szCs w:val="24"/>
        </w:rPr>
      </w:pPr>
    </w:p>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color w:val="000000"/>
        </w:rPr>
        <w:t>Q: Are we required to allocate Title II funding to all schools in our district, including Charter’s, or can we determine needs and allocate accordingly?</w:t>
      </w:r>
    </w:p>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color w:val="000000"/>
        </w:rPr>
        <w:t>A: Title II funds should be driven by your Comprehensive Needs Assessment (CNA) at each school, and the district overall. There's no requirement to serve all schools. In addition, LEAs are asked to prioritize Title II funds for schools with the highest levels of poverty *and* identified as CS/TS under ESSA (what Barb is talking through right now).</w:t>
      </w:r>
    </w:p>
    <w:p w:rsidR="009435D5" w:rsidRPr="009435D5" w:rsidRDefault="009435D5" w:rsidP="009435D5">
      <w:pPr>
        <w:spacing w:after="0" w:line="240" w:lineRule="auto"/>
        <w:rPr>
          <w:rFonts w:ascii="Times New Roman" w:eastAsia="Times New Roman" w:hAnsi="Times New Roman" w:cs="Times New Roman"/>
          <w:sz w:val="24"/>
          <w:szCs w:val="24"/>
        </w:rPr>
      </w:pPr>
    </w:p>
    <w:p w:rsidR="009435D5" w:rsidRPr="009435D5" w:rsidRDefault="009435D5" w:rsidP="009435D5">
      <w:pPr>
        <w:spacing w:after="0" w:line="240" w:lineRule="auto"/>
        <w:rPr>
          <w:rFonts w:ascii="Times New Roman" w:eastAsia="Times New Roman" w:hAnsi="Times New Roman" w:cs="Times New Roman"/>
          <w:sz w:val="24"/>
          <w:szCs w:val="24"/>
        </w:rPr>
      </w:pPr>
      <w:proofErr w:type="gramStart"/>
      <w:r w:rsidRPr="009435D5">
        <w:rPr>
          <w:rFonts w:ascii="Arial" w:eastAsia="Times New Roman" w:hAnsi="Arial" w:cs="Arial"/>
          <w:color w:val="000000"/>
        </w:rPr>
        <w:t>Q:We</w:t>
      </w:r>
      <w:proofErr w:type="gramEnd"/>
      <w:r w:rsidRPr="009435D5">
        <w:rPr>
          <w:rFonts w:ascii="Arial" w:eastAsia="Times New Roman" w:hAnsi="Arial" w:cs="Arial"/>
          <w:color w:val="000000"/>
        </w:rPr>
        <w:t xml:space="preserve"> transfer funds from Title IV to II specifically for our CS/TS </w:t>
      </w:r>
      <w:proofErr w:type="spellStart"/>
      <w:r w:rsidRPr="009435D5">
        <w:rPr>
          <w:rFonts w:ascii="Arial" w:eastAsia="Times New Roman" w:hAnsi="Arial" w:cs="Arial"/>
          <w:color w:val="000000"/>
        </w:rPr>
        <w:t>schools.Is</w:t>
      </w:r>
      <w:proofErr w:type="spellEnd"/>
      <w:r w:rsidRPr="009435D5">
        <w:rPr>
          <w:rFonts w:ascii="Arial" w:eastAsia="Times New Roman" w:hAnsi="Arial" w:cs="Arial"/>
          <w:color w:val="000000"/>
        </w:rPr>
        <w:t xml:space="preserve"> there a limit how much we can transfer to that fund?</w:t>
      </w:r>
    </w:p>
    <w:p w:rsidR="009435D5" w:rsidRPr="009435D5" w:rsidRDefault="009435D5" w:rsidP="009435D5">
      <w:pPr>
        <w:spacing w:after="0" w:line="240" w:lineRule="auto"/>
        <w:rPr>
          <w:rFonts w:ascii="Times New Roman" w:eastAsia="Times New Roman" w:hAnsi="Times New Roman" w:cs="Times New Roman"/>
          <w:sz w:val="24"/>
          <w:szCs w:val="24"/>
        </w:rPr>
      </w:pPr>
      <w:r w:rsidRPr="009435D5">
        <w:rPr>
          <w:rFonts w:ascii="Arial" w:eastAsia="Times New Roman" w:hAnsi="Arial" w:cs="Arial"/>
          <w:color w:val="000000"/>
        </w:rPr>
        <w:t xml:space="preserve">A: there are no limits on any transfer or AUFA amounts. Keep in mind that if you transfer funds they do take on the requirements and identity of the program they are transferred into, ex. if you transfer II to I and your allocation is now greater than $500k, you will be required to set-aside a minimum of 1% for family engagement </w:t>
      </w:r>
      <w:proofErr w:type="spellStart"/>
      <w:r w:rsidRPr="009435D5">
        <w:rPr>
          <w:rFonts w:ascii="Arial" w:eastAsia="Times New Roman" w:hAnsi="Arial" w:cs="Arial"/>
          <w:color w:val="000000"/>
        </w:rPr>
        <w:t>activity.Also</w:t>
      </w:r>
      <w:proofErr w:type="spellEnd"/>
      <w:r w:rsidRPr="009435D5">
        <w:rPr>
          <w:rFonts w:ascii="Arial" w:eastAsia="Times New Roman" w:hAnsi="Arial" w:cs="Arial"/>
          <w:color w:val="000000"/>
        </w:rPr>
        <w:t xml:space="preserve"> remember if transfer or AUFA, when you request reimbursement, you request reimbursement from the original pool of money.  </w:t>
      </w:r>
      <w:proofErr w:type="gramStart"/>
      <w:r w:rsidRPr="009435D5">
        <w:rPr>
          <w:rFonts w:ascii="Arial" w:eastAsia="Times New Roman" w:hAnsi="Arial" w:cs="Arial"/>
          <w:color w:val="000000"/>
        </w:rPr>
        <w:t>So</w:t>
      </w:r>
      <w:proofErr w:type="gramEnd"/>
      <w:r w:rsidRPr="009435D5">
        <w:rPr>
          <w:rFonts w:ascii="Arial" w:eastAsia="Times New Roman" w:hAnsi="Arial" w:cs="Arial"/>
          <w:color w:val="000000"/>
        </w:rPr>
        <w:t xml:space="preserve"> if you transfer all your Title IV money to Title II, you will need to request reimbursement from Title IV up to your original allocation</w:t>
      </w:r>
    </w:p>
    <w:p w:rsidR="00E7262B" w:rsidRPr="009435D5" w:rsidRDefault="009435D5" w:rsidP="009435D5"/>
    <w:sectPr w:rsidR="00E7262B" w:rsidRPr="0094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0"/>
    <w:rsid w:val="006846B0"/>
    <w:rsid w:val="009435D5"/>
    <w:rsid w:val="00A26A63"/>
    <w:rsid w:val="00BD49E6"/>
    <w:rsid w:val="00B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315"/>
  <w15:chartTrackingRefBased/>
  <w15:docId w15:val="{D1D26971-D64D-44C3-9586-9B1E6C2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99">
      <w:bodyDiv w:val="1"/>
      <w:marLeft w:val="0"/>
      <w:marRight w:val="0"/>
      <w:marTop w:val="0"/>
      <w:marBottom w:val="0"/>
      <w:divBdr>
        <w:top w:val="none" w:sz="0" w:space="0" w:color="auto"/>
        <w:left w:val="none" w:sz="0" w:space="0" w:color="auto"/>
        <w:bottom w:val="none" w:sz="0" w:space="0" w:color="auto"/>
        <w:right w:val="none" w:sz="0" w:space="0" w:color="auto"/>
      </w:divBdr>
    </w:div>
    <w:div w:id="1808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2</cp:revision>
  <dcterms:created xsi:type="dcterms:W3CDTF">2020-05-04T18:22:00Z</dcterms:created>
  <dcterms:modified xsi:type="dcterms:W3CDTF">2020-05-04T18:22:00Z</dcterms:modified>
</cp:coreProperties>
</file>