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85869" w14:textId="00A12EA9" w:rsidR="00587144" w:rsidRDefault="00DE084E" w:rsidP="00295BAF">
      <w:pPr>
        <w:pStyle w:val="Heading2"/>
      </w:pPr>
      <w:r w:rsidRPr="00295BAF">
        <w:rPr>
          <w:rStyle w:val="Heading1Char"/>
          <w:b/>
          <w:color w:val="auto"/>
          <w:sz w:val="24"/>
          <w:szCs w:val="24"/>
        </w:rPr>
        <mc:AlternateContent>
          <mc:Choice Requires="wps">
            <w:drawing>
              <wp:anchor distT="0" distB="0" distL="114300" distR="114300" simplePos="0" relativeHeight="251666432" behindDoc="0" locked="0" layoutInCell="1" allowOverlap="1" wp14:anchorId="50098160" wp14:editId="1FC62876">
                <wp:simplePos x="0" y="0"/>
                <wp:positionH relativeFrom="column">
                  <wp:posOffset>5180665</wp:posOffset>
                </wp:positionH>
                <wp:positionV relativeFrom="page">
                  <wp:posOffset>2193437</wp:posOffset>
                </wp:positionV>
                <wp:extent cx="1895475" cy="7158125"/>
                <wp:effectExtent l="0" t="0" r="9525" b="5080"/>
                <wp:wrapNone/>
                <wp:docPr id="8" name="Text Box 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895475" cy="7158125"/>
                        </a:xfrm>
                        <a:prstGeom prst="rect">
                          <a:avLst/>
                        </a:prstGeom>
                        <a:noFill/>
                        <a:ln w="6350">
                          <a:noFill/>
                        </a:ln>
                      </wps:spPr>
                      <wps:txbx>
                        <w:txbxContent>
                          <w:p w14:paraId="01F162B5" w14:textId="77777777" w:rsidR="00587144" w:rsidRPr="00A87371" w:rsidRDefault="008106E3" w:rsidP="006D0275">
                            <w:pPr>
                              <w:pStyle w:val="SubheadTrebuchet"/>
                              <w:rPr>
                                <w:sz w:val="22"/>
                              </w:rPr>
                            </w:pPr>
                            <w:r w:rsidRPr="00A87371">
                              <w:rPr>
                                <w:sz w:val="22"/>
                              </w:rPr>
                              <w:t>Frequently Asked Questions</w:t>
                            </w:r>
                          </w:p>
                          <w:p w14:paraId="24646357" w14:textId="77777777" w:rsidR="001D318A" w:rsidRPr="00A87371" w:rsidRDefault="001D318A" w:rsidP="00960C4E">
                            <w:pPr>
                              <w:pStyle w:val="Body"/>
                              <w:rPr>
                                <w:b/>
                                <w:sz w:val="18"/>
                              </w:rPr>
                            </w:pPr>
                            <w:r w:rsidRPr="00A87371">
                              <w:rPr>
                                <w:b/>
                                <w:sz w:val="18"/>
                              </w:rPr>
                              <w:t xml:space="preserve">Q:  Are SNS requirements the same as comparability requirements?  </w:t>
                            </w:r>
                          </w:p>
                          <w:p w14:paraId="3A43D32E" w14:textId="77777777" w:rsidR="007B38CB" w:rsidRPr="00A87371" w:rsidRDefault="001D318A" w:rsidP="001F4AE6">
                            <w:pPr>
                              <w:pStyle w:val="Body"/>
                              <w:rPr>
                                <w:sz w:val="18"/>
                                <w:lang w:val="es-MX"/>
                              </w:rPr>
                            </w:pPr>
                            <w:r w:rsidRPr="00A87371">
                              <w:rPr>
                                <w:sz w:val="18"/>
                              </w:rPr>
                              <w:t xml:space="preserve">A:  No.  </w:t>
                            </w:r>
                            <w:r w:rsidR="001F4AE6" w:rsidRPr="00A87371">
                              <w:rPr>
                                <w:sz w:val="18"/>
                              </w:rPr>
                              <w:t>While both comparability and SNS look at how LEAs distribute State and local funds and/or resources to schools, they are separate tests that measure different things.  Comparability requires that State and local funds are used to provide services that, taken as a whole, are comparable between Title I and non-Title I schools.  SNS requires LEAs to distribute State and local funds to schools without taking into account a school’s participation in the Title I program.  Though the source of funds for both fiscal tests are similar (i.e. State and local), situations may occur where the LEA satisfies the requirements within on</w:t>
                            </w:r>
                            <w:r w:rsidR="00DE084E">
                              <w:rPr>
                                <w:sz w:val="18"/>
                              </w:rPr>
                              <w:t>e</w:t>
                            </w:r>
                            <w:r w:rsidR="001F4AE6" w:rsidRPr="00A87371">
                              <w:rPr>
                                <w:sz w:val="18"/>
                              </w:rPr>
                              <w:t xml:space="preserve"> while failing those of the other.  For this purpose, CDE will not use comparability results to meet the SNS demonstration requirement.</w:t>
                            </w:r>
                          </w:p>
                          <w:p w14:paraId="57095CA2" w14:textId="77777777" w:rsidR="001F4AE6" w:rsidRPr="00A87371" w:rsidRDefault="001F4AE6" w:rsidP="001F4AE6">
                            <w:pPr>
                              <w:pStyle w:val="Body"/>
                              <w:rPr>
                                <w:b/>
                                <w:sz w:val="18"/>
                              </w:rPr>
                            </w:pPr>
                            <w:r w:rsidRPr="00A87371">
                              <w:rPr>
                                <w:b/>
                                <w:sz w:val="18"/>
                              </w:rPr>
                              <w:t xml:space="preserve">Q:  </w:t>
                            </w:r>
                            <w:r w:rsidR="00A87371" w:rsidRPr="00A87371">
                              <w:rPr>
                                <w:b/>
                                <w:sz w:val="18"/>
                              </w:rPr>
                              <w:t>Does the BOCES submit this on behalf the LEA</w:t>
                            </w:r>
                            <w:r w:rsidRPr="00A87371">
                              <w:rPr>
                                <w:b/>
                                <w:sz w:val="18"/>
                              </w:rPr>
                              <w:t xml:space="preserve">?  </w:t>
                            </w:r>
                          </w:p>
                          <w:p w14:paraId="1D339349" w14:textId="77777777" w:rsidR="00587144" w:rsidRPr="00A87371" w:rsidRDefault="00A87371" w:rsidP="001F4AE6">
                            <w:pPr>
                              <w:pStyle w:val="Body"/>
                              <w:rPr>
                                <w:sz w:val="18"/>
                                <w:lang w:val="es-MX"/>
                              </w:rPr>
                            </w:pPr>
                            <w:r w:rsidRPr="00A87371">
                              <w:rPr>
                                <w:sz w:val="18"/>
                              </w:rPr>
                              <w:t>A:  It depends.  The LEA is ultimately responsible for ensuring that CDE receives their demonstration of compliance with SNS requirements within the given timeframe.  However, if the BOCES coordinates all aspects of the Consolidated Application on behalf of the member district, the LEA may work with the BOCES to ensure all documentation is submitted to CDE.</w:t>
                            </w:r>
                            <w:r w:rsidR="001F4AE6" w:rsidRPr="00A87371">
                              <w:rPr>
                                <w:sz w:val="18"/>
                              </w:rPr>
                              <w:t xml:space="preserve"> </w:t>
                            </w:r>
                          </w:p>
                          <w:p w14:paraId="5EA62897" w14:textId="77777777" w:rsidR="00A87371" w:rsidRPr="00A87371" w:rsidRDefault="00A87371" w:rsidP="00A87371">
                            <w:pPr>
                              <w:pStyle w:val="Body"/>
                              <w:rPr>
                                <w:b/>
                                <w:sz w:val="18"/>
                              </w:rPr>
                            </w:pPr>
                            <w:r w:rsidRPr="00A87371">
                              <w:rPr>
                                <w:b/>
                                <w:sz w:val="18"/>
                              </w:rPr>
                              <w:t xml:space="preserve">Q:  </w:t>
                            </w:r>
                            <w:r>
                              <w:rPr>
                                <w:b/>
                                <w:sz w:val="18"/>
                              </w:rPr>
                              <w:t>I’m a Federal Program Administrator – who should I talk to in my district to find the methodology for allocating State and local funds?</w:t>
                            </w:r>
                            <w:r w:rsidRPr="00A87371">
                              <w:rPr>
                                <w:b/>
                                <w:sz w:val="18"/>
                              </w:rPr>
                              <w:t xml:space="preserve">  </w:t>
                            </w:r>
                          </w:p>
                          <w:p w14:paraId="2770173A" w14:textId="77777777" w:rsidR="00587144" w:rsidRPr="00587144" w:rsidRDefault="00A87371" w:rsidP="00A87371">
                            <w:pPr>
                              <w:pStyle w:val="Body"/>
                              <w:rPr>
                                <w:lang w:val="es-MX"/>
                              </w:rPr>
                            </w:pPr>
                            <w:r>
                              <w:rPr>
                                <w:sz w:val="18"/>
                              </w:rPr>
                              <w:t>A:  LEA Federal Program Administrators may not have specific knowledge related to the allocation of State and local fun</w:t>
                            </w:r>
                            <w:r w:rsidR="00DE084E">
                              <w:rPr>
                                <w:sz w:val="18"/>
                              </w:rPr>
                              <w:t xml:space="preserve">ds and should connect with the LEA’s </w:t>
                            </w:r>
                            <w:r>
                              <w:rPr>
                                <w:sz w:val="18"/>
                              </w:rPr>
                              <w:t>Finance Director, or similarly situated person</w:t>
                            </w:r>
                            <w:r w:rsidR="00DE084E">
                              <w:rPr>
                                <w:sz w:val="18"/>
                              </w:rPr>
                              <w:t>(</w:t>
                            </w:r>
                            <w:r>
                              <w:rPr>
                                <w:sz w:val="18"/>
                              </w:rPr>
                              <w:t>s</w:t>
                            </w:r>
                            <w:r w:rsidR="00DE084E">
                              <w:rPr>
                                <w:sz w:val="18"/>
                              </w:rPr>
                              <w:t>)</w:t>
                            </w:r>
                            <w:r>
                              <w:rPr>
                                <w:sz w:val="18"/>
                              </w:rPr>
                              <w:t>, for more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98160" id="_x0000_t202" coordsize="21600,21600" o:spt="202" path="m,l,21600r21600,l21600,xe">
                <v:stroke joinstyle="miter"/>
                <v:path gradientshapeok="t" o:connecttype="rect"/>
              </v:shapetype>
              <v:shape id="Text Box 8" o:spid="_x0000_s1026" type="#_x0000_t202" style="position:absolute;margin-left:407.95pt;margin-top:172.7pt;width:149.25pt;height:56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" filled="f" stroked="f" strokeweight=".5pt">
                <v:textbox inset="0,0,0,0">
                  <w:txbxContent>
                    <w:p w14:paraId="01F162B5" w14:textId="77777777" w:rsidR="00587144" w:rsidRPr="00A87371" w:rsidRDefault="008106E3" w:rsidP="006D0275">
                      <w:pPr>
                        <w:pStyle w:val="SubheadTrebuchet"/>
                        <w:rPr>
                          <w:sz w:val="22"/>
                        </w:rPr>
                      </w:pPr>
                      <w:r w:rsidRPr="00A87371">
                        <w:rPr>
                          <w:sz w:val="22"/>
                        </w:rPr>
                        <w:t>Frequently Asked Questions</w:t>
                      </w:r>
                    </w:p>
                    <w:p w14:paraId="24646357" w14:textId="77777777" w:rsidR="001D318A" w:rsidRPr="00A87371" w:rsidRDefault="001D318A" w:rsidP="00960C4E">
                      <w:pPr>
                        <w:pStyle w:val="Body"/>
                        <w:rPr>
                          <w:b/>
                          <w:sz w:val="18"/>
                        </w:rPr>
                      </w:pPr>
                      <w:r w:rsidRPr="00A87371">
                        <w:rPr>
                          <w:b/>
                          <w:sz w:val="18"/>
                        </w:rPr>
                        <w:t xml:space="preserve">Q:  Are SNS requirements the same as comparability requirements?  </w:t>
                      </w:r>
                    </w:p>
                    <w:p w14:paraId="3A43D32E" w14:textId="77777777" w:rsidR="007B38CB" w:rsidRPr="00A87371" w:rsidRDefault="001D318A" w:rsidP="001F4AE6">
                      <w:pPr>
                        <w:pStyle w:val="Body"/>
                        <w:rPr>
                          <w:sz w:val="18"/>
                          <w:lang w:val="es-MX"/>
                        </w:rPr>
                      </w:pPr>
                      <w:r w:rsidRPr="00A87371">
                        <w:rPr>
                          <w:sz w:val="18"/>
                        </w:rPr>
                        <w:t xml:space="preserve">A:  No.  </w:t>
                      </w:r>
                      <w:r w:rsidR="001F4AE6" w:rsidRPr="00A87371">
                        <w:rPr>
                          <w:sz w:val="18"/>
                        </w:rPr>
                        <w:t>While both comparability and SNS look at how LEAs distribute State and local funds and/or resources to schools, they are separate tests that measure different things.  Comparability requires that State and local funds are used to provide services that, taken as a whole, are comparable between Title I and non-Title I schools.  SNS requires LEAs to distribute State and local funds to schools without taking into account a school’s participation in the Title I program.  Though the source of funds for both fiscal tests are similar (i.e. State and local), situations may occur where the LEA satisfies the requirements within on</w:t>
                      </w:r>
                      <w:r w:rsidR="00DE084E">
                        <w:rPr>
                          <w:sz w:val="18"/>
                        </w:rPr>
                        <w:t>e</w:t>
                      </w:r>
                      <w:r w:rsidR="001F4AE6" w:rsidRPr="00A87371">
                        <w:rPr>
                          <w:sz w:val="18"/>
                        </w:rPr>
                        <w:t xml:space="preserve"> while failing those of the other.  For this purpose, CDE will not use comparability results to meet the SNS demonstration requirement.</w:t>
                      </w:r>
                    </w:p>
                    <w:p w14:paraId="57095CA2" w14:textId="77777777" w:rsidR="001F4AE6" w:rsidRPr="00A87371" w:rsidRDefault="001F4AE6" w:rsidP="001F4AE6">
                      <w:pPr>
                        <w:pStyle w:val="Body"/>
                        <w:rPr>
                          <w:b/>
                          <w:sz w:val="18"/>
                        </w:rPr>
                      </w:pPr>
                      <w:r w:rsidRPr="00A87371">
                        <w:rPr>
                          <w:b/>
                          <w:sz w:val="18"/>
                        </w:rPr>
                        <w:t xml:space="preserve">Q:  </w:t>
                      </w:r>
                      <w:r w:rsidR="00A87371" w:rsidRPr="00A87371">
                        <w:rPr>
                          <w:b/>
                          <w:sz w:val="18"/>
                        </w:rPr>
                        <w:t>Does the BOCES submit this on behalf the LEA</w:t>
                      </w:r>
                      <w:r w:rsidRPr="00A87371">
                        <w:rPr>
                          <w:b/>
                          <w:sz w:val="18"/>
                        </w:rPr>
                        <w:t xml:space="preserve">?  </w:t>
                      </w:r>
                    </w:p>
                    <w:p w14:paraId="1D339349" w14:textId="77777777" w:rsidR="00587144" w:rsidRPr="00A87371" w:rsidRDefault="00A87371" w:rsidP="001F4AE6">
                      <w:pPr>
                        <w:pStyle w:val="Body"/>
                        <w:rPr>
                          <w:sz w:val="18"/>
                          <w:lang w:val="es-MX"/>
                        </w:rPr>
                      </w:pPr>
                      <w:r w:rsidRPr="00A87371">
                        <w:rPr>
                          <w:sz w:val="18"/>
                        </w:rPr>
                        <w:t>A:  It depends.  The LEA is ultimately responsible for ensuring that CDE receives their demonstration of compliance with SNS requirements within the given timeframe.  However, if the BOCES coordinates all aspects of the Consolidated Application on behalf of the member district, the LEA may work with the BOCES to ensure all documentation is submitted to CDE.</w:t>
                      </w:r>
                      <w:r w:rsidR="001F4AE6" w:rsidRPr="00A87371">
                        <w:rPr>
                          <w:sz w:val="18"/>
                        </w:rPr>
                        <w:t xml:space="preserve"> </w:t>
                      </w:r>
                    </w:p>
                    <w:p w14:paraId="5EA62897" w14:textId="77777777" w:rsidR="00A87371" w:rsidRPr="00A87371" w:rsidRDefault="00A87371" w:rsidP="00A87371">
                      <w:pPr>
                        <w:pStyle w:val="Body"/>
                        <w:rPr>
                          <w:b/>
                          <w:sz w:val="18"/>
                        </w:rPr>
                      </w:pPr>
                      <w:r w:rsidRPr="00A87371">
                        <w:rPr>
                          <w:b/>
                          <w:sz w:val="18"/>
                        </w:rPr>
                        <w:t xml:space="preserve">Q:  </w:t>
                      </w:r>
                      <w:r>
                        <w:rPr>
                          <w:b/>
                          <w:sz w:val="18"/>
                        </w:rPr>
                        <w:t>I’m a Federal Program Administrator – who should I talk to in my district to find the methodology for allocating State and local funds?</w:t>
                      </w:r>
                      <w:r w:rsidRPr="00A87371">
                        <w:rPr>
                          <w:b/>
                          <w:sz w:val="18"/>
                        </w:rPr>
                        <w:t xml:space="preserve">  </w:t>
                      </w:r>
                    </w:p>
                    <w:p w14:paraId="2770173A" w14:textId="77777777" w:rsidR="00587144" w:rsidRPr="00587144" w:rsidRDefault="00A87371" w:rsidP="00A87371">
                      <w:pPr>
                        <w:pStyle w:val="Body"/>
                        <w:rPr>
                          <w:lang w:val="es-MX"/>
                        </w:rPr>
                      </w:pPr>
                      <w:r>
                        <w:rPr>
                          <w:sz w:val="18"/>
                        </w:rPr>
                        <w:t>A:  LEA Federal Program Administrators may not have specific knowledge related to the allocation of State and local fun</w:t>
                      </w:r>
                      <w:r w:rsidR="00DE084E">
                        <w:rPr>
                          <w:sz w:val="18"/>
                        </w:rPr>
                        <w:t xml:space="preserve">ds and should connect with the LEA’s </w:t>
                      </w:r>
                      <w:r>
                        <w:rPr>
                          <w:sz w:val="18"/>
                        </w:rPr>
                        <w:t>Finance Director, or similarly situated person</w:t>
                      </w:r>
                      <w:r w:rsidR="00DE084E">
                        <w:rPr>
                          <w:sz w:val="18"/>
                        </w:rPr>
                        <w:t>(</w:t>
                      </w:r>
                      <w:r>
                        <w:rPr>
                          <w:sz w:val="18"/>
                        </w:rPr>
                        <w:t>s</w:t>
                      </w:r>
                      <w:r w:rsidR="00DE084E">
                        <w:rPr>
                          <w:sz w:val="18"/>
                        </w:rPr>
                        <w:t>)</w:t>
                      </w:r>
                      <w:r>
                        <w:rPr>
                          <w:sz w:val="18"/>
                        </w:rPr>
                        <w:t>, for more information.</w:t>
                      </w:r>
                    </w:p>
                  </w:txbxContent>
                </v:textbox>
                <w10:wrap anchory="page"/>
              </v:shape>
            </w:pict>
          </mc:Fallback>
        </mc:AlternateContent>
      </w:r>
      <w:r w:rsidR="002F6C0D" w:rsidRPr="00295BAF">
        <w:rPr>
          <w:rStyle w:val="Heading1Char"/>
          <w:b/>
          <w:color w:val="auto"/>
          <w:sz w:val="24"/>
          <w:szCs w:val="24"/>
        </w:rPr>
        <mc:AlternateContent>
          <mc:Choice Requires="wps">
            <w:drawing>
              <wp:anchor distT="182880" distB="182880" distL="182880" distR="182880" simplePos="0" relativeHeight="251663360" behindDoc="1" locked="0" layoutInCell="1" allowOverlap="1" wp14:anchorId="1C153738" wp14:editId="74F430F0">
                <wp:simplePos x="0" y="0"/>
                <wp:positionH relativeFrom="column">
                  <wp:posOffset>5060950</wp:posOffset>
                </wp:positionH>
                <wp:positionV relativeFrom="page">
                  <wp:posOffset>2059305</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72A93" id="Rectangle 6" o:spid="_x0000_s1026" alt="Title: Grey shaded box - Description: Decorative only" style="position:absolute;margin-left:398.5pt;margin-top:162.15pt;width:176.55pt;height:579.5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d5gIAAFE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8106E3" w:rsidRPr="00295BAF">
        <w:rPr>
          <w:rStyle w:val="Heading1Char"/>
          <w:b/>
          <w:color w:val="auto"/>
          <w:sz w:val="24"/>
          <w:szCs w:val="24"/>
        </w:rPr>
        <w:t xml:space="preserve">Changes under the Every Student </w:t>
      </w:r>
      <w:r w:rsidR="008106E3" w:rsidRPr="00A91684">
        <w:rPr>
          <w:rStyle w:val="Heading1Char"/>
          <w:b/>
          <w:color w:val="auto"/>
          <w:sz w:val="24"/>
          <w:szCs w:val="24"/>
        </w:rPr>
        <w:t>Succeeds Act</w:t>
      </w:r>
    </w:p>
    <w:p w14:paraId="4287AC29" w14:textId="69E48586" w:rsidR="00F9472E" w:rsidRDefault="00F9472E" w:rsidP="00F9472E"/>
    <w:p w14:paraId="33F472C9" w14:textId="77777777" w:rsidR="00C52331" w:rsidRPr="004C730F" w:rsidRDefault="00C52331" w:rsidP="00C52331">
      <w:pPr>
        <w:rPr>
          <w:rFonts w:eastAsiaTheme="minorHAnsi" w:cs="Calibri"/>
          <w:b/>
          <w:color w:val="4E5758"/>
          <w:sz w:val="20"/>
          <w:szCs w:val="22"/>
        </w:rPr>
      </w:pPr>
      <w:r w:rsidRPr="004C730F">
        <w:rPr>
          <w:rFonts w:eastAsiaTheme="minorHAnsi" w:cs="Calibri"/>
          <w:b/>
          <w:color w:val="4E5758"/>
          <w:sz w:val="20"/>
          <w:szCs w:val="22"/>
        </w:rPr>
        <w:t>Background</w:t>
      </w:r>
    </w:p>
    <w:p w14:paraId="43E45D2A" w14:textId="3C704616" w:rsidR="00C52331" w:rsidRPr="004C730F" w:rsidRDefault="00C52331" w:rsidP="00C52331">
      <w:pPr>
        <w:rPr>
          <w:rFonts w:eastAsiaTheme="minorHAnsi" w:cs="Calibri"/>
          <w:color w:val="4E5758"/>
          <w:sz w:val="20"/>
          <w:szCs w:val="22"/>
        </w:rPr>
      </w:pPr>
      <w:r w:rsidRPr="004C730F">
        <w:rPr>
          <w:rFonts w:eastAsiaTheme="minorHAnsi" w:cs="Calibri"/>
          <w:color w:val="4E5758"/>
          <w:sz w:val="20"/>
          <w:szCs w:val="22"/>
        </w:rPr>
        <w:t>Under the No Child Left Behind Act of 2001 (NCLB), the supplement, not supplant (SNS) requirement was met by ensuring individual Title I cost</w:t>
      </w:r>
      <w:r w:rsidR="00327572">
        <w:rPr>
          <w:rFonts w:eastAsiaTheme="minorHAnsi" w:cs="Calibri"/>
          <w:color w:val="4E5758"/>
          <w:sz w:val="20"/>
          <w:szCs w:val="22"/>
        </w:rPr>
        <w:t>s</w:t>
      </w:r>
      <w:r w:rsidRPr="004C730F">
        <w:rPr>
          <w:rFonts w:eastAsiaTheme="minorHAnsi" w:cs="Calibri"/>
          <w:color w:val="4E5758"/>
          <w:sz w:val="20"/>
          <w:szCs w:val="22"/>
        </w:rPr>
        <w:t xml:space="preserve"> did not fall within the presumptions of supplanting test.  This process assessed whether a particular Title I cost was supplemental and focused on the use of the Title I funds.   Under the presumptions test, a Title I supplanting violation was presumed if Title I, Part A paid for:</w:t>
      </w:r>
    </w:p>
    <w:p w14:paraId="2AD6ED6D" w14:textId="77777777" w:rsidR="00C52331" w:rsidRPr="004C730F" w:rsidRDefault="00C52331" w:rsidP="00C52331">
      <w:pPr>
        <w:numPr>
          <w:ilvl w:val="0"/>
          <w:numId w:val="11"/>
        </w:numPr>
        <w:rPr>
          <w:rFonts w:eastAsiaTheme="minorHAnsi" w:cs="Calibri"/>
          <w:color w:val="4E5758"/>
          <w:sz w:val="20"/>
          <w:szCs w:val="22"/>
        </w:rPr>
      </w:pPr>
      <w:r w:rsidRPr="004C730F">
        <w:rPr>
          <w:rFonts w:eastAsiaTheme="minorHAnsi" w:cs="Calibri"/>
          <w:color w:val="4E5758"/>
          <w:sz w:val="20"/>
          <w:szCs w:val="22"/>
        </w:rPr>
        <w:t>An activity required by federal, state, or local law;</w:t>
      </w:r>
    </w:p>
    <w:p w14:paraId="125F27EC" w14:textId="77777777" w:rsidR="00C52331" w:rsidRPr="004C730F" w:rsidRDefault="00C52331" w:rsidP="00C52331">
      <w:pPr>
        <w:numPr>
          <w:ilvl w:val="0"/>
          <w:numId w:val="11"/>
        </w:numPr>
        <w:rPr>
          <w:rFonts w:eastAsiaTheme="minorHAnsi" w:cs="Calibri"/>
          <w:color w:val="4E5758"/>
          <w:sz w:val="20"/>
          <w:szCs w:val="22"/>
        </w:rPr>
      </w:pPr>
      <w:r w:rsidRPr="004C730F">
        <w:rPr>
          <w:rFonts w:eastAsiaTheme="minorHAnsi" w:cs="Calibri"/>
          <w:color w:val="4E5758"/>
          <w:sz w:val="20"/>
          <w:szCs w:val="22"/>
        </w:rPr>
        <w:t>An activity that was paid for with state or local funds in the prior year; or</w:t>
      </w:r>
    </w:p>
    <w:p w14:paraId="678B3A7C" w14:textId="77777777" w:rsidR="00C52331" w:rsidRPr="004C730F" w:rsidRDefault="00C52331" w:rsidP="00C52331">
      <w:pPr>
        <w:numPr>
          <w:ilvl w:val="0"/>
          <w:numId w:val="11"/>
        </w:numPr>
        <w:rPr>
          <w:rFonts w:eastAsiaTheme="minorHAnsi" w:cs="Calibri"/>
          <w:color w:val="4E5758"/>
          <w:sz w:val="20"/>
          <w:szCs w:val="22"/>
        </w:rPr>
      </w:pPr>
      <w:r w:rsidRPr="004C730F">
        <w:rPr>
          <w:rFonts w:eastAsiaTheme="minorHAnsi" w:cs="Calibri"/>
          <w:color w:val="4E5758"/>
          <w:sz w:val="20"/>
          <w:szCs w:val="22"/>
        </w:rPr>
        <w:t>The same serv</w:t>
      </w:r>
      <w:r w:rsidR="00F02FFF">
        <w:rPr>
          <w:rFonts w:eastAsiaTheme="minorHAnsi" w:cs="Calibri"/>
          <w:color w:val="4E5758"/>
          <w:sz w:val="20"/>
          <w:szCs w:val="22"/>
        </w:rPr>
        <w:t>ices for Title I students that S</w:t>
      </w:r>
      <w:r w:rsidRPr="004C730F">
        <w:rPr>
          <w:rFonts w:eastAsiaTheme="minorHAnsi" w:cs="Calibri"/>
          <w:color w:val="4E5758"/>
          <w:sz w:val="20"/>
          <w:szCs w:val="22"/>
        </w:rPr>
        <w:t xml:space="preserve">tate and local funds support for non-Title I students. </w:t>
      </w:r>
    </w:p>
    <w:p w14:paraId="634F9843" w14:textId="77777777" w:rsidR="00C52331" w:rsidRPr="004C730F" w:rsidRDefault="00C52331" w:rsidP="00C52331">
      <w:pPr>
        <w:rPr>
          <w:rFonts w:eastAsiaTheme="minorHAnsi" w:cs="Calibri"/>
          <w:color w:val="4E5758"/>
          <w:sz w:val="20"/>
          <w:szCs w:val="22"/>
        </w:rPr>
      </w:pPr>
      <w:r w:rsidRPr="004C730F">
        <w:rPr>
          <w:rFonts w:eastAsiaTheme="minorHAnsi" w:cs="Calibri"/>
          <w:color w:val="4E5758"/>
          <w:sz w:val="20"/>
          <w:szCs w:val="22"/>
        </w:rPr>
        <w:t xml:space="preserve">In practice, the three presumptions created confusion about what kinds of costs Title I could support, which sometimes led to fragmented and misaligned services for students in Title I schools. </w:t>
      </w:r>
    </w:p>
    <w:p w14:paraId="7F912DC9" w14:textId="77777777" w:rsidR="00C52331" w:rsidRPr="004C730F" w:rsidRDefault="00C52331" w:rsidP="00C52331">
      <w:pPr>
        <w:rPr>
          <w:rFonts w:eastAsiaTheme="minorHAnsi" w:cs="Calibri"/>
          <w:color w:val="4E5758"/>
          <w:sz w:val="20"/>
          <w:szCs w:val="22"/>
        </w:rPr>
      </w:pPr>
    </w:p>
    <w:p w14:paraId="7F9663FD" w14:textId="77777777" w:rsidR="00C52331" w:rsidRPr="004C730F" w:rsidRDefault="00C52331" w:rsidP="00C52331">
      <w:pPr>
        <w:rPr>
          <w:rFonts w:eastAsiaTheme="minorHAnsi" w:cs="Calibri"/>
          <w:b/>
          <w:color w:val="4E5758"/>
          <w:sz w:val="20"/>
          <w:szCs w:val="22"/>
        </w:rPr>
      </w:pPr>
      <w:r w:rsidRPr="004C730F">
        <w:rPr>
          <w:rFonts w:eastAsiaTheme="minorHAnsi" w:cs="Calibri"/>
          <w:b/>
          <w:color w:val="4E5758"/>
          <w:sz w:val="20"/>
          <w:szCs w:val="22"/>
        </w:rPr>
        <w:t>Changes</w:t>
      </w:r>
    </w:p>
    <w:p w14:paraId="4786D75F" w14:textId="77777777" w:rsidR="00C52331" w:rsidRPr="004C730F" w:rsidRDefault="00C52331" w:rsidP="00C52331">
      <w:pPr>
        <w:rPr>
          <w:rFonts w:eastAsiaTheme="minorHAnsi" w:cs="Calibri"/>
          <w:color w:val="4E5758"/>
          <w:sz w:val="20"/>
          <w:szCs w:val="22"/>
        </w:rPr>
      </w:pPr>
      <w:r w:rsidRPr="004C730F">
        <w:rPr>
          <w:rFonts w:eastAsiaTheme="minorHAnsi" w:cs="Calibri"/>
          <w:color w:val="4E5758"/>
          <w:sz w:val="20"/>
          <w:szCs w:val="22"/>
        </w:rPr>
        <w:t xml:space="preserve">In response to concerns regarding SNS, Congress changed the way SNS must be tested in Title I, Part A under the Every Student Succeeds Act of 2015 (ESSA).  This change shifts the review of Title I, Part A expenses and forgoes the three presumptions test.  </w:t>
      </w:r>
      <w:r w:rsidRPr="004C730F">
        <w:rPr>
          <w:rFonts w:eastAsiaTheme="minorHAnsi" w:cs="Calibri"/>
          <w:b/>
          <w:color w:val="4E5758"/>
          <w:sz w:val="20"/>
          <w:szCs w:val="22"/>
        </w:rPr>
        <w:t xml:space="preserve">Alternatively, the SNS test under the ESSA focuses on and requires demonstration of the </w:t>
      </w:r>
      <w:r w:rsidR="00F7612F" w:rsidRPr="004C730F">
        <w:rPr>
          <w:rFonts w:eastAsiaTheme="minorHAnsi" w:cs="Calibri"/>
          <w:b/>
          <w:color w:val="4E5758"/>
          <w:sz w:val="20"/>
          <w:szCs w:val="22"/>
        </w:rPr>
        <w:t>local education agency’s (</w:t>
      </w:r>
      <w:r w:rsidRPr="004C730F">
        <w:rPr>
          <w:rFonts w:eastAsiaTheme="minorHAnsi" w:cs="Calibri"/>
          <w:b/>
          <w:color w:val="4E5758"/>
          <w:sz w:val="20"/>
          <w:szCs w:val="22"/>
        </w:rPr>
        <w:t>LEA’s</w:t>
      </w:r>
      <w:r w:rsidR="00F7612F" w:rsidRPr="004C730F">
        <w:rPr>
          <w:rFonts w:eastAsiaTheme="minorHAnsi" w:cs="Calibri"/>
          <w:b/>
          <w:color w:val="4E5758"/>
          <w:sz w:val="20"/>
          <w:szCs w:val="22"/>
        </w:rPr>
        <w:t>)</w:t>
      </w:r>
      <w:r w:rsidRPr="004C730F">
        <w:rPr>
          <w:rFonts w:eastAsiaTheme="minorHAnsi" w:cs="Calibri"/>
          <w:b/>
          <w:color w:val="4E5758"/>
          <w:sz w:val="20"/>
          <w:szCs w:val="22"/>
        </w:rPr>
        <w:t xml:space="preserve"> methodology used to allocate State and local</w:t>
      </w:r>
      <w:r w:rsidR="00DE084E">
        <w:rPr>
          <w:rFonts w:eastAsiaTheme="minorHAnsi" w:cs="Calibri"/>
          <w:b/>
          <w:color w:val="4E5758"/>
          <w:sz w:val="20"/>
          <w:szCs w:val="22"/>
        </w:rPr>
        <w:t xml:space="preserve"> (non-Federal)</w:t>
      </w:r>
      <w:r w:rsidRPr="004C730F">
        <w:rPr>
          <w:rFonts w:eastAsiaTheme="minorHAnsi" w:cs="Calibri"/>
          <w:b/>
          <w:color w:val="4E5758"/>
          <w:sz w:val="20"/>
          <w:szCs w:val="22"/>
        </w:rPr>
        <w:t xml:space="preserve"> funds to each school receiving Title I assistance to ensure that it is receiving the same amount it would have regardless of whether the school received Title I assistance.</w:t>
      </w:r>
      <w:r w:rsidRPr="004C730F">
        <w:rPr>
          <w:rFonts w:eastAsiaTheme="minorHAnsi" w:cs="Calibri"/>
          <w:color w:val="4E5758"/>
          <w:sz w:val="20"/>
          <w:szCs w:val="22"/>
        </w:rPr>
        <w:t xml:space="preserve">  In other words, the updated SNS test reviews the manner in which LEAs allocate State and local funds to schools to ensure Title I schools receive all of the funds they would have received had they not participated in Title I.</w:t>
      </w:r>
    </w:p>
    <w:p w14:paraId="1B013819" w14:textId="77777777" w:rsidR="00C52331" w:rsidRPr="004C730F" w:rsidRDefault="00C52331" w:rsidP="00C52331">
      <w:pPr>
        <w:rPr>
          <w:rFonts w:eastAsiaTheme="minorHAnsi" w:cs="Calibri"/>
          <w:color w:val="4E5758"/>
          <w:sz w:val="20"/>
          <w:szCs w:val="22"/>
        </w:rPr>
      </w:pPr>
    </w:p>
    <w:p w14:paraId="18D1CFBB" w14:textId="77777777" w:rsidR="00C52331" w:rsidRPr="004C730F" w:rsidRDefault="00C52331" w:rsidP="00C52331">
      <w:pPr>
        <w:rPr>
          <w:rFonts w:eastAsiaTheme="minorHAnsi" w:cs="Calibri"/>
          <w:color w:val="4E5758"/>
          <w:sz w:val="20"/>
          <w:szCs w:val="22"/>
        </w:rPr>
      </w:pPr>
      <w:r w:rsidRPr="004C730F">
        <w:rPr>
          <w:rFonts w:eastAsiaTheme="minorHAnsi" w:cs="Calibri"/>
          <w:b/>
          <w:color w:val="4E5758"/>
          <w:sz w:val="20"/>
          <w:szCs w:val="22"/>
        </w:rPr>
        <w:t xml:space="preserve">This shift moves away from the review of individual Title I expenses and toward a review of how LEAs allocate State and local funds.  </w:t>
      </w:r>
      <w:r w:rsidRPr="004C730F">
        <w:rPr>
          <w:rFonts w:eastAsiaTheme="minorHAnsi" w:cs="Calibri"/>
          <w:color w:val="4E5758"/>
          <w:sz w:val="20"/>
          <w:szCs w:val="22"/>
        </w:rPr>
        <w:t>Under the ESSA, no</w:t>
      </w:r>
      <w:r w:rsidR="00F7612F" w:rsidRPr="004C730F">
        <w:rPr>
          <w:rFonts w:eastAsiaTheme="minorHAnsi" w:cs="Calibri"/>
          <w:color w:val="4E5758"/>
          <w:sz w:val="20"/>
          <w:szCs w:val="22"/>
        </w:rPr>
        <w:t xml:space="preserve"> </w:t>
      </w:r>
      <w:r w:rsidRPr="004C730F">
        <w:rPr>
          <w:rFonts w:eastAsiaTheme="minorHAnsi" w:cs="Calibri"/>
          <w:color w:val="4E5758"/>
          <w:sz w:val="20"/>
          <w:szCs w:val="22"/>
        </w:rPr>
        <w:t xml:space="preserve">LEA shall be required to identify that an individual cost or service supported under Title I, Part A is supplemental, nor is the LEA required to provide Title I, Part A services through a particular instructional method or in a particular instructional setting in order to demonstrate such agency’s compliance. </w:t>
      </w:r>
    </w:p>
    <w:p w14:paraId="441AF8B3" w14:textId="77777777" w:rsidR="00587144" w:rsidRPr="004C730F" w:rsidRDefault="00587144" w:rsidP="00587144">
      <w:pPr>
        <w:rPr>
          <w:sz w:val="20"/>
        </w:rPr>
      </w:pPr>
    </w:p>
    <w:p w14:paraId="59C3B49B" w14:textId="77777777" w:rsidR="00587144" w:rsidRPr="004C730F" w:rsidRDefault="008106E3" w:rsidP="00295BAF">
      <w:pPr>
        <w:pStyle w:val="Heading1"/>
      </w:pPr>
      <w:r w:rsidRPr="004C730F">
        <w:t>Methodology</w:t>
      </w:r>
      <w:r w:rsidR="001D318A" w:rsidRPr="004C730F">
        <w:t>: Defined</w:t>
      </w:r>
    </w:p>
    <w:p w14:paraId="43F48662" w14:textId="77777777" w:rsidR="00DE084E" w:rsidRDefault="00476E78" w:rsidP="00476E78">
      <w:pPr>
        <w:pStyle w:val="Body"/>
        <w:rPr>
          <w:sz w:val="20"/>
        </w:rPr>
      </w:pPr>
      <w:r w:rsidRPr="004C730F">
        <w:rPr>
          <w:sz w:val="20"/>
        </w:rPr>
        <w:t xml:space="preserve">The term “methodology” refers to the manner in which State and local </w:t>
      </w:r>
      <w:r w:rsidR="00DE084E">
        <w:rPr>
          <w:sz w:val="20"/>
        </w:rPr>
        <w:t>(non-Federal) funds</w:t>
      </w:r>
      <w:r w:rsidRPr="004C730F">
        <w:rPr>
          <w:sz w:val="20"/>
        </w:rPr>
        <w:t xml:space="preserve"> are allocated to schools.  </w:t>
      </w:r>
      <w:r w:rsidR="00BD6DE7" w:rsidRPr="004C730F">
        <w:rPr>
          <w:sz w:val="20"/>
        </w:rPr>
        <w:t xml:space="preserve">Currently, the U.S. Department of Education has not promulgated regulations or non-regulatory guidance for meeting the Title I, Part A SNS requirements and has not indicated a timeline for doing so.  The Colorado Department of Education (CDE) acknowledges that there are multiple ways a LEA may allocate State and local funds to schools, which </w:t>
      </w:r>
      <w:r w:rsidRPr="004C730F">
        <w:rPr>
          <w:sz w:val="20"/>
        </w:rPr>
        <w:t xml:space="preserve">may vary from district to district depending upon local decisions and board policies.  </w:t>
      </w:r>
      <w:r w:rsidR="00BD6DE7" w:rsidRPr="004C730F">
        <w:rPr>
          <w:sz w:val="20"/>
        </w:rPr>
        <w:t>U</w:t>
      </w:r>
      <w:r w:rsidRPr="004C730F">
        <w:rPr>
          <w:sz w:val="20"/>
        </w:rPr>
        <w:t>nder the ESSA, LEAs must demonstrate to CDE that the methodology used to allocate State and local funds to each school receiving assistance under Title I</w:t>
      </w:r>
      <w:r w:rsidR="00080280">
        <w:rPr>
          <w:sz w:val="20"/>
        </w:rPr>
        <w:t>, Part A</w:t>
      </w:r>
      <w:r w:rsidRPr="004C730F">
        <w:rPr>
          <w:sz w:val="20"/>
        </w:rPr>
        <w:t xml:space="preserve"> ensures that such school receives all of the State and local funds it would otherwise receive if it were not receiving Title I, Part A assistance.  In other words, LEAs must demonstrate that the method for allocating funds must be Title I neutral and give no consideration to whether a school receives Title I assistance or not when allocating State and local funds. </w:t>
      </w:r>
    </w:p>
    <w:p w14:paraId="16D442E8" w14:textId="77777777" w:rsidR="00476E78" w:rsidRPr="004C730F" w:rsidRDefault="00BD6DE7" w:rsidP="000C244F">
      <w:pPr>
        <w:pStyle w:val="Body"/>
        <w:spacing w:after="0"/>
        <w:rPr>
          <w:sz w:val="20"/>
        </w:rPr>
      </w:pPr>
      <w:r w:rsidRPr="004C730F">
        <w:rPr>
          <w:sz w:val="20"/>
        </w:rPr>
        <w:lastRenderedPageBreak/>
        <w:t>CDE has recogn</w:t>
      </w:r>
      <w:r w:rsidR="00DE084E">
        <w:rPr>
          <w:sz w:val="20"/>
        </w:rPr>
        <w:t>ized the following methodologies</w:t>
      </w:r>
      <w:r w:rsidRPr="004C730F">
        <w:rPr>
          <w:sz w:val="20"/>
        </w:rPr>
        <w:t xml:space="preserve"> that LEAs may select from </w:t>
      </w:r>
      <w:r w:rsidR="00DE084E">
        <w:rPr>
          <w:sz w:val="20"/>
        </w:rPr>
        <w:t>during the demonstration process</w:t>
      </w:r>
      <w:r w:rsidRPr="004C730F">
        <w:rPr>
          <w:sz w:val="20"/>
        </w:rPr>
        <w:t>:</w:t>
      </w:r>
    </w:p>
    <w:p w14:paraId="681787EF" w14:textId="77777777" w:rsidR="00BD6DE7" w:rsidRPr="004C730F" w:rsidRDefault="00BD6DE7" w:rsidP="000C244F">
      <w:pPr>
        <w:pStyle w:val="Body"/>
        <w:numPr>
          <w:ilvl w:val="0"/>
          <w:numId w:val="13"/>
        </w:numPr>
        <w:spacing w:after="0"/>
        <w:rPr>
          <w:sz w:val="20"/>
        </w:rPr>
      </w:pPr>
      <w:r w:rsidRPr="004C730F">
        <w:rPr>
          <w:sz w:val="20"/>
        </w:rPr>
        <w:t xml:space="preserve">Distribution of State and local (non-Federal) resources based on the characteristics of the students; </w:t>
      </w:r>
    </w:p>
    <w:p w14:paraId="69C6CADE" w14:textId="77777777" w:rsidR="00655E8B" w:rsidRDefault="00BD6DE7" w:rsidP="000C244F">
      <w:pPr>
        <w:pStyle w:val="Body"/>
        <w:numPr>
          <w:ilvl w:val="0"/>
          <w:numId w:val="13"/>
        </w:numPr>
        <w:spacing w:after="0"/>
        <w:rPr>
          <w:sz w:val="20"/>
        </w:rPr>
      </w:pPr>
      <w:r w:rsidRPr="004C730F">
        <w:rPr>
          <w:sz w:val="20"/>
        </w:rPr>
        <w:t xml:space="preserve">Distribution of State and local (non-Federal) resources based on staffing and supplies; </w:t>
      </w:r>
    </w:p>
    <w:p w14:paraId="0A6187D6" w14:textId="77777777" w:rsidR="00BD6DE7" w:rsidRPr="004C730F" w:rsidRDefault="00655E8B" w:rsidP="000C244F">
      <w:pPr>
        <w:pStyle w:val="Body"/>
        <w:numPr>
          <w:ilvl w:val="0"/>
          <w:numId w:val="13"/>
        </w:numPr>
        <w:spacing w:after="0"/>
        <w:rPr>
          <w:sz w:val="20"/>
        </w:rPr>
      </w:pPr>
      <w:r>
        <w:rPr>
          <w:sz w:val="20"/>
        </w:rPr>
        <w:t xml:space="preserve">Distribution of State and local (non-Federal) resources based on a combined approach, </w:t>
      </w:r>
      <w:r w:rsidR="00BD6DE7" w:rsidRPr="004C730F">
        <w:rPr>
          <w:sz w:val="20"/>
        </w:rPr>
        <w:t>or,</w:t>
      </w:r>
    </w:p>
    <w:p w14:paraId="5AA4C068" w14:textId="77777777" w:rsidR="00BD6DE7" w:rsidRDefault="001D318A" w:rsidP="000C244F">
      <w:pPr>
        <w:pStyle w:val="Body"/>
        <w:numPr>
          <w:ilvl w:val="0"/>
          <w:numId w:val="13"/>
        </w:numPr>
        <w:spacing w:after="0"/>
        <w:rPr>
          <w:sz w:val="20"/>
        </w:rPr>
      </w:pPr>
      <w:r w:rsidRPr="004C730F">
        <w:rPr>
          <w:sz w:val="20"/>
        </w:rPr>
        <w:t>Other, as adopted by the LEA.</w:t>
      </w:r>
    </w:p>
    <w:p w14:paraId="7D76414D" w14:textId="77777777" w:rsidR="000C244F" w:rsidRPr="004C730F" w:rsidRDefault="000C244F" w:rsidP="000C244F">
      <w:pPr>
        <w:pStyle w:val="Body"/>
        <w:spacing w:after="0"/>
        <w:ind w:left="720"/>
        <w:rPr>
          <w:sz w:val="20"/>
        </w:rPr>
      </w:pPr>
    </w:p>
    <w:p w14:paraId="3CB419EA" w14:textId="77777777" w:rsidR="00E01FAE" w:rsidRPr="00E01FAE" w:rsidRDefault="00E01FAE" w:rsidP="00960C4E">
      <w:pPr>
        <w:pStyle w:val="Body"/>
        <w:rPr>
          <w:i/>
          <w:sz w:val="20"/>
        </w:rPr>
      </w:pPr>
      <w:r>
        <w:rPr>
          <w:i/>
          <w:sz w:val="20"/>
        </w:rPr>
        <w:t>Note:  The ESSA permits the LEA to exclude State and local (non-Federal) funds expended in any school for programs that meet the intent and purpose of Title I, Part A.  For example, if the LEA utilizes State and local (non-Federal) funds to provide a schoolwide program in a non-Title I school, these funds may be excluded from the supplanting determination.</w:t>
      </w:r>
    </w:p>
    <w:p w14:paraId="6452F20F" w14:textId="77777777" w:rsidR="001D318A" w:rsidRPr="004C730F" w:rsidRDefault="001D318A" w:rsidP="00960C4E">
      <w:pPr>
        <w:pStyle w:val="Body"/>
        <w:rPr>
          <w:sz w:val="20"/>
        </w:rPr>
      </w:pPr>
      <w:r w:rsidRPr="004C730F">
        <w:rPr>
          <w:sz w:val="20"/>
        </w:rPr>
        <w:t xml:space="preserve">CDE does not require that the LEA implement a specific methodology to allocate State and local funds to its schools, as long as the methodology selected and implemented is neutral in regard to the Title I status of the schools and is implemented consistently </w:t>
      </w:r>
      <w:r w:rsidR="00DE084E">
        <w:rPr>
          <w:sz w:val="20"/>
        </w:rPr>
        <w:t>among all schools in the LEA</w:t>
      </w:r>
      <w:r w:rsidRPr="004C730F">
        <w:rPr>
          <w:sz w:val="20"/>
        </w:rPr>
        <w:t xml:space="preserve">.  </w:t>
      </w:r>
    </w:p>
    <w:p w14:paraId="5D1D114C" w14:textId="77777777" w:rsidR="00FB2F6E" w:rsidRPr="004C730F" w:rsidRDefault="00476E78" w:rsidP="00960C4E">
      <w:pPr>
        <w:pStyle w:val="Body"/>
        <w:rPr>
          <w:sz w:val="20"/>
        </w:rPr>
      </w:pPr>
      <w:r w:rsidRPr="004C730F">
        <w:rPr>
          <w:sz w:val="20"/>
        </w:rPr>
        <w:t>The U.S. Department of Education is not authorized or permitted to prescribe the specific methodology a LEA uses to allocate State and local funds to each school receiving assistance under Title I, Part A.</w:t>
      </w:r>
      <w:r w:rsidR="001D318A" w:rsidRPr="004C730F">
        <w:rPr>
          <w:sz w:val="20"/>
        </w:rPr>
        <w:t xml:space="preserve">  </w:t>
      </w:r>
    </w:p>
    <w:p w14:paraId="3F2D875F" w14:textId="77777777" w:rsidR="001D318A" w:rsidRPr="004C730F" w:rsidRDefault="001D318A" w:rsidP="00295BAF">
      <w:pPr>
        <w:pStyle w:val="Heading1"/>
      </w:pPr>
      <w:r w:rsidRPr="004C730F">
        <w:t>Methodology: Examples</w:t>
      </w:r>
    </w:p>
    <w:p w14:paraId="50AF1D87" w14:textId="77777777" w:rsidR="006D0275" w:rsidRPr="004C730F" w:rsidRDefault="001D318A" w:rsidP="001D318A">
      <w:pPr>
        <w:rPr>
          <w:rFonts w:eastAsiaTheme="minorHAnsi" w:cs="Calibri"/>
          <w:color w:val="4E5758"/>
          <w:sz w:val="20"/>
          <w:szCs w:val="22"/>
        </w:rPr>
      </w:pPr>
      <w:r w:rsidRPr="004C730F">
        <w:rPr>
          <w:rFonts w:eastAsiaTheme="minorHAnsi" w:cs="Calibri"/>
          <w:color w:val="4E5758"/>
          <w:sz w:val="20"/>
          <w:szCs w:val="22"/>
        </w:rPr>
        <w:t>To assist LEAs in determining which description best fits the LEA’s methodology for allocating State and local</w:t>
      </w:r>
      <w:r w:rsidR="00DE084E">
        <w:rPr>
          <w:rFonts w:eastAsiaTheme="minorHAnsi" w:cs="Calibri"/>
          <w:color w:val="4E5758"/>
          <w:sz w:val="20"/>
          <w:szCs w:val="22"/>
        </w:rPr>
        <w:t xml:space="preserve"> (non-Federal)</w:t>
      </w:r>
      <w:r w:rsidRPr="004C730F">
        <w:rPr>
          <w:rFonts w:eastAsiaTheme="minorHAnsi" w:cs="Calibri"/>
          <w:color w:val="4E5758"/>
          <w:sz w:val="20"/>
          <w:szCs w:val="22"/>
        </w:rPr>
        <w:t xml:space="preserve"> funds to schools, CDE has provided the examples below.  Please note that although the examples provided are derived from the </w:t>
      </w:r>
      <w:hyperlink r:id="rId8" w:history="1">
        <w:r w:rsidRPr="004C730F">
          <w:rPr>
            <w:rStyle w:val="Hyperlink"/>
            <w:rFonts w:eastAsiaTheme="minorHAnsi" w:cs="Calibri"/>
            <w:sz w:val="20"/>
            <w:szCs w:val="22"/>
          </w:rPr>
          <w:t>2015 guidance provided by the U.S. Department of Education referencing the use of Federal funds to supplement school reform in schoolwide programs under the No Child Left Behind Act (NCLB)</w:t>
        </w:r>
      </w:hyperlink>
      <w:r w:rsidRPr="004C730F">
        <w:rPr>
          <w:rFonts w:eastAsiaTheme="minorHAnsi" w:cs="Calibri"/>
          <w:color w:val="4E5758"/>
          <w:sz w:val="20"/>
          <w:szCs w:val="22"/>
        </w:rPr>
        <w:t xml:space="preserve">, officials from the U.S. Department of Education have indicated that these examples </w:t>
      </w:r>
      <w:r w:rsidRPr="004C730F">
        <w:rPr>
          <w:rFonts w:eastAsiaTheme="minorHAnsi" w:cs="Calibri"/>
          <w:i/>
          <w:color w:val="4E5758"/>
          <w:sz w:val="20"/>
          <w:szCs w:val="22"/>
        </w:rPr>
        <w:t>should</w:t>
      </w:r>
      <w:r w:rsidRPr="004C730F">
        <w:rPr>
          <w:rFonts w:eastAsiaTheme="minorHAnsi" w:cs="Calibri"/>
          <w:color w:val="4E5758"/>
          <w:sz w:val="20"/>
          <w:szCs w:val="22"/>
        </w:rPr>
        <w:t xml:space="preserve"> meet the methodology requirements for targeted assistance programs under the ESSA. </w:t>
      </w:r>
    </w:p>
    <w:p w14:paraId="690CB1F6" w14:textId="77777777" w:rsidR="001D318A" w:rsidRPr="004C730F" w:rsidRDefault="001D318A" w:rsidP="001D318A">
      <w:pPr>
        <w:rPr>
          <w:rFonts w:eastAsiaTheme="minorHAnsi" w:cs="Calibri"/>
          <w:b/>
          <w:color w:val="4E5758"/>
          <w:sz w:val="20"/>
          <w:szCs w:val="22"/>
        </w:rPr>
      </w:pPr>
    </w:p>
    <w:p w14:paraId="2714161E" w14:textId="77777777" w:rsidR="001D318A" w:rsidRPr="004C730F" w:rsidRDefault="0098790E" w:rsidP="001D318A">
      <w:pPr>
        <w:rPr>
          <w:rFonts w:eastAsiaTheme="minorHAnsi" w:cs="Calibri"/>
          <w:b/>
          <w:color w:val="4E5758"/>
          <w:sz w:val="20"/>
          <w:szCs w:val="22"/>
        </w:rPr>
      </w:pPr>
      <w:r>
        <w:rPr>
          <w:rFonts w:eastAsiaTheme="minorHAnsi" w:cs="Calibri"/>
          <w:b/>
          <w:color w:val="4E5758"/>
          <w:sz w:val="20"/>
          <w:szCs w:val="22"/>
        </w:rPr>
        <w:t xml:space="preserve">Example 1: </w:t>
      </w:r>
      <w:r w:rsidR="001D318A" w:rsidRPr="004C730F">
        <w:rPr>
          <w:rFonts w:eastAsiaTheme="minorHAnsi" w:cs="Calibri"/>
          <w:b/>
          <w:color w:val="4E5758"/>
          <w:sz w:val="20"/>
          <w:szCs w:val="22"/>
        </w:rPr>
        <w:t>Distribution of State and Local (non-Federal) Resources Based on the Characteristics of the Students</w:t>
      </w:r>
    </w:p>
    <w:p w14:paraId="48A13804" w14:textId="77777777" w:rsidR="001D318A" w:rsidRPr="004C730F" w:rsidRDefault="00164D7C" w:rsidP="001D318A">
      <w:pPr>
        <w:rPr>
          <w:rFonts w:eastAsiaTheme="minorHAnsi" w:cs="Calibri"/>
          <w:color w:val="4E5758"/>
          <w:sz w:val="20"/>
          <w:szCs w:val="22"/>
        </w:rPr>
      </w:pPr>
      <w:r w:rsidRPr="004C730F">
        <w:rPr>
          <w:rFonts w:eastAsiaTheme="minorHAnsi" w:cs="Calibri"/>
          <w:color w:val="4E5758"/>
          <w:sz w:val="20"/>
          <w:szCs w:val="22"/>
        </w:rPr>
        <w:t>This form of equitable distribution is generally referred to as a “weighted per pupil” funding formula.</w:t>
      </w:r>
    </w:p>
    <w:p w14:paraId="6BEED75A" w14:textId="77777777" w:rsidR="00164D7C" w:rsidRPr="004C730F" w:rsidRDefault="00164D7C" w:rsidP="001D318A">
      <w:pPr>
        <w:rPr>
          <w:rFonts w:eastAsiaTheme="minorHAnsi" w:cs="Calibri"/>
          <w:color w:val="4E5758"/>
          <w:sz w:val="20"/>
          <w:szCs w:val="22"/>
        </w:rPr>
      </w:pPr>
      <w:r w:rsidRPr="004C730F">
        <w:rPr>
          <w:rFonts w:eastAsiaTheme="minorHAnsi" w:cs="Calibri"/>
          <w:color w:val="4E5758"/>
          <w:sz w:val="20"/>
          <w:szCs w:val="22"/>
        </w:rPr>
        <w:t>Assume:</w:t>
      </w:r>
    </w:p>
    <w:p w14:paraId="44C89919" w14:textId="77777777" w:rsidR="00164D7C" w:rsidRPr="004C730F" w:rsidRDefault="00164D7C" w:rsidP="00164D7C">
      <w:pPr>
        <w:numPr>
          <w:ilvl w:val="0"/>
          <w:numId w:val="14"/>
        </w:numPr>
        <w:rPr>
          <w:rFonts w:eastAsiaTheme="minorHAnsi" w:cs="Calibri"/>
          <w:color w:val="4E5758"/>
          <w:sz w:val="20"/>
          <w:szCs w:val="22"/>
        </w:rPr>
      </w:pPr>
      <w:r w:rsidRPr="004C730F">
        <w:rPr>
          <w:rFonts w:eastAsiaTheme="minorHAnsi" w:cs="Calibri"/>
          <w:color w:val="4E5758"/>
          <w:sz w:val="20"/>
          <w:szCs w:val="22"/>
        </w:rPr>
        <w:t>Allocation/student ($7,000)</w:t>
      </w:r>
    </w:p>
    <w:p w14:paraId="5EA6223B" w14:textId="77777777" w:rsidR="00164D7C" w:rsidRPr="004C730F" w:rsidRDefault="00164D7C" w:rsidP="00164D7C">
      <w:pPr>
        <w:numPr>
          <w:ilvl w:val="0"/>
          <w:numId w:val="14"/>
        </w:numPr>
        <w:rPr>
          <w:rFonts w:eastAsiaTheme="minorHAnsi" w:cs="Calibri"/>
          <w:color w:val="4E5758"/>
          <w:sz w:val="20"/>
          <w:szCs w:val="22"/>
        </w:rPr>
      </w:pPr>
      <w:r w:rsidRPr="004C730F">
        <w:rPr>
          <w:rFonts w:eastAsiaTheme="minorHAnsi" w:cs="Calibri"/>
          <w:color w:val="4E5758"/>
          <w:sz w:val="20"/>
          <w:szCs w:val="22"/>
        </w:rPr>
        <w:t>Additional allocation/student from a low-income family ($250)</w:t>
      </w:r>
    </w:p>
    <w:p w14:paraId="267C1C95" w14:textId="77777777" w:rsidR="00164D7C" w:rsidRPr="004C730F" w:rsidRDefault="00164D7C" w:rsidP="00164D7C">
      <w:pPr>
        <w:numPr>
          <w:ilvl w:val="0"/>
          <w:numId w:val="14"/>
        </w:numPr>
        <w:rPr>
          <w:rFonts w:eastAsiaTheme="minorHAnsi" w:cs="Calibri"/>
          <w:color w:val="4E5758"/>
          <w:sz w:val="20"/>
          <w:szCs w:val="22"/>
        </w:rPr>
      </w:pPr>
      <w:r w:rsidRPr="004C730F">
        <w:rPr>
          <w:rFonts w:eastAsiaTheme="minorHAnsi" w:cs="Calibri"/>
          <w:color w:val="4E5758"/>
          <w:sz w:val="20"/>
          <w:szCs w:val="22"/>
        </w:rPr>
        <w:t>Additional allocation/English learner ($500)</w:t>
      </w:r>
    </w:p>
    <w:p w14:paraId="0261503B" w14:textId="77777777" w:rsidR="00164D7C" w:rsidRPr="004C730F" w:rsidRDefault="00164D7C" w:rsidP="00164D7C">
      <w:pPr>
        <w:numPr>
          <w:ilvl w:val="0"/>
          <w:numId w:val="14"/>
        </w:numPr>
        <w:rPr>
          <w:rFonts w:eastAsiaTheme="minorHAnsi" w:cs="Calibri"/>
          <w:color w:val="4E5758"/>
          <w:sz w:val="20"/>
          <w:szCs w:val="22"/>
        </w:rPr>
      </w:pPr>
      <w:r w:rsidRPr="004C730F">
        <w:rPr>
          <w:rFonts w:eastAsiaTheme="minorHAnsi" w:cs="Calibri"/>
          <w:color w:val="4E5758"/>
          <w:sz w:val="20"/>
          <w:szCs w:val="22"/>
        </w:rPr>
        <w:t>Additional allocation/student with a disability ($1,500)</w:t>
      </w:r>
    </w:p>
    <w:p w14:paraId="6A4FA193" w14:textId="77777777" w:rsidR="00164D7C" w:rsidRPr="004C730F" w:rsidRDefault="00164D7C" w:rsidP="00164D7C">
      <w:pPr>
        <w:numPr>
          <w:ilvl w:val="0"/>
          <w:numId w:val="14"/>
        </w:numPr>
        <w:rPr>
          <w:rFonts w:eastAsiaTheme="minorHAnsi" w:cs="Calibri"/>
          <w:color w:val="4E5758"/>
          <w:sz w:val="20"/>
          <w:szCs w:val="22"/>
        </w:rPr>
      </w:pPr>
      <w:r w:rsidRPr="004C730F">
        <w:rPr>
          <w:rFonts w:eastAsiaTheme="minorHAnsi" w:cs="Calibri"/>
          <w:color w:val="4E5758"/>
          <w:sz w:val="20"/>
          <w:szCs w:val="22"/>
        </w:rPr>
        <w:t>Additional allocation/preschool student ($8,500)</w:t>
      </w:r>
    </w:p>
    <w:p w14:paraId="0BF682D0" w14:textId="77777777" w:rsidR="00164D7C" w:rsidRPr="004C730F" w:rsidRDefault="00164D7C" w:rsidP="00164D7C">
      <w:pPr>
        <w:rPr>
          <w:rFonts w:eastAsiaTheme="minorHAnsi" w:cs="Calibri"/>
          <w:color w:val="4E5758"/>
          <w:sz w:val="20"/>
          <w:szCs w:val="22"/>
        </w:rPr>
      </w:pPr>
    </w:p>
    <w:p w14:paraId="0B051A17" w14:textId="77777777" w:rsidR="004C730F" w:rsidRPr="004C730F" w:rsidRDefault="00164D7C" w:rsidP="00164D7C">
      <w:pPr>
        <w:rPr>
          <w:rFonts w:eastAsiaTheme="minorHAnsi" w:cs="Calibri"/>
          <w:color w:val="4E5758"/>
          <w:sz w:val="20"/>
          <w:szCs w:val="22"/>
        </w:rPr>
      </w:pPr>
      <w:r w:rsidRPr="004C730F">
        <w:rPr>
          <w:rFonts w:eastAsiaTheme="minorHAnsi" w:cs="Calibri"/>
          <w:color w:val="4E5758"/>
          <w:sz w:val="20"/>
          <w:szCs w:val="22"/>
        </w:rPr>
        <w:t>In a school of 450 students, including 200 students from low-income families, 100 English learners, 50 students with disabilities, and 20 preschool students, the school would be expected to receive $3,495,000 in non-Federal resources based on the following calculation:</w:t>
      </w:r>
    </w:p>
    <w:tbl>
      <w:tblPr>
        <w:tblStyle w:val="GridTable1Light-Accent11"/>
        <w:tblpPr w:leftFromText="180" w:rightFromText="180" w:vertAnchor="text" w:horzAnchor="margin" w:tblpX="108" w:tblpY="49"/>
        <w:tblW w:w="10809" w:type="dxa"/>
        <w:tblLook w:val="04A0" w:firstRow="1" w:lastRow="0" w:firstColumn="1" w:lastColumn="0" w:noHBand="0" w:noVBand="1"/>
        <w:tblCaption w:val="Example 1: Demonstration of State and Local Resources Based on Characteristics of the Students"/>
        <w:tblDescription w:val="This table provides an example of using a methodology to allocate State and local funds that is based on the characteristics of students."/>
      </w:tblPr>
      <w:tblGrid>
        <w:gridCol w:w="4842"/>
        <w:gridCol w:w="3068"/>
        <w:gridCol w:w="2899"/>
      </w:tblGrid>
      <w:tr w:rsidR="004C730F" w:rsidRPr="004C730F" w14:paraId="1F9C8D08" w14:textId="77777777" w:rsidTr="003F78A4">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4842" w:type="dxa"/>
          </w:tcPr>
          <w:p w14:paraId="5DC6A47E" w14:textId="77777777" w:rsidR="004C730F" w:rsidRPr="004C730F" w:rsidRDefault="004C730F" w:rsidP="000C244F">
            <w:pPr>
              <w:rPr>
                <w:rFonts w:eastAsiaTheme="minorHAnsi" w:cs="Calibri"/>
                <w:color w:val="4E5758"/>
                <w:sz w:val="20"/>
                <w:szCs w:val="22"/>
              </w:rPr>
            </w:pPr>
            <w:r w:rsidRPr="004C730F">
              <w:rPr>
                <w:rFonts w:eastAsiaTheme="minorHAnsi" w:cs="Calibri"/>
                <w:color w:val="4E5758"/>
                <w:sz w:val="20"/>
                <w:szCs w:val="22"/>
              </w:rPr>
              <w:t>Category</w:t>
            </w:r>
          </w:p>
        </w:tc>
        <w:tc>
          <w:tcPr>
            <w:tcW w:w="3068" w:type="dxa"/>
          </w:tcPr>
          <w:p w14:paraId="28A16232" w14:textId="77777777" w:rsidR="004C730F" w:rsidRPr="004C730F" w:rsidRDefault="004C730F" w:rsidP="000C244F">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Calculation</w:t>
            </w:r>
          </w:p>
        </w:tc>
        <w:tc>
          <w:tcPr>
            <w:tcW w:w="2899" w:type="dxa"/>
          </w:tcPr>
          <w:p w14:paraId="5240EBA2" w14:textId="77777777" w:rsidR="004C730F" w:rsidRPr="004C730F" w:rsidRDefault="004C730F" w:rsidP="000C244F">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Amount</w:t>
            </w:r>
          </w:p>
        </w:tc>
      </w:tr>
      <w:tr w:rsidR="004C730F" w:rsidRPr="004C730F" w14:paraId="68EE84E1"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53DB23F4" w14:textId="77777777" w:rsidR="004C730F" w:rsidRPr="004C730F" w:rsidRDefault="004C730F" w:rsidP="000C244F">
            <w:pPr>
              <w:rPr>
                <w:rFonts w:eastAsiaTheme="minorHAnsi" w:cs="Calibri"/>
                <w:b w:val="0"/>
                <w:color w:val="4E5758"/>
                <w:sz w:val="20"/>
                <w:szCs w:val="22"/>
              </w:rPr>
            </w:pPr>
            <w:r w:rsidRPr="004C730F">
              <w:rPr>
                <w:rFonts w:eastAsiaTheme="minorHAnsi" w:cs="Calibri"/>
                <w:b w:val="0"/>
                <w:color w:val="4E5758"/>
                <w:sz w:val="20"/>
                <w:szCs w:val="22"/>
              </w:rPr>
              <w:t>Allocation/student</w:t>
            </w:r>
          </w:p>
        </w:tc>
        <w:tc>
          <w:tcPr>
            <w:tcW w:w="3068" w:type="dxa"/>
          </w:tcPr>
          <w:p w14:paraId="18FF1C63"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450 x $7,000</w:t>
            </w:r>
          </w:p>
        </w:tc>
        <w:tc>
          <w:tcPr>
            <w:tcW w:w="2899" w:type="dxa"/>
          </w:tcPr>
          <w:p w14:paraId="0DF0C627"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$3,150,000</w:t>
            </w:r>
          </w:p>
        </w:tc>
      </w:tr>
      <w:tr w:rsidR="004C730F" w:rsidRPr="004C730F" w14:paraId="1F5532C2" w14:textId="77777777" w:rsidTr="003F78A4">
        <w:trPr>
          <w:trHeight w:val="361"/>
        </w:trPr>
        <w:tc>
          <w:tcPr>
            <w:cnfStyle w:val="001000000000" w:firstRow="0" w:lastRow="0" w:firstColumn="1" w:lastColumn="0" w:oddVBand="0" w:evenVBand="0" w:oddHBand="0" w:evenHBand="0" w:firstRowFirstColumn="0" w:firstRowLastColumn="0" w:lastRowFirstColumn="0" w:lastRowLastColumn="0"/>
            <w:tcW w:w="4842" w:type="dxa"/>
          </w:tcPr>
          <w:p w14:paraId="216CAD37" w14:textId="77777777" w:rsidR="004C730F" w:rsidRPr="004C730F" w:rsidRDefault="004C730F" w:rsidP="000C244F">
            <w:pPr>
              <w:rPr>
                <w:rFonts w:eastAsiaTheme="minorHAnsi" w:cs="Calibri"/>
                <w:b w:val="0"/>
                <w:color w:val="4E5758"/>
                <w:sz w:val="20"/>
                <w:szCs w:val="22"/>
              </w:rPr>
            </w:pPr>
            <w:r w:rsidRPr="004C730F">
              <w:rPr>
                <w:rFonts w:eastAsiaTheme="minorHAnsi" w:cs="Calibri"/>
                <w:b w:val="0"/>
                <w:color w:val="4E5758"/>
                <w:sz w:val="20"/>
                <w:szCs w:val="22"/>
              </w:rPr>
              <w:t>Additional allocation/student from a low-income family</w:t>
            </w:r>
          </w:p>
        </w:tc>
        <w:tc>
          <w:tcPr>
            <w:tcW w:w="3068" w:type="dxa"/>
          </w:tcPr>
          <w:p w14:paraId="613DEC06"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200 x $250</w:t>
            </w:r>
          </w:p>
        </w:tc>
        <w:tc>
          <w:tcPr>
            <w:tcW w:w="2899" w:type="dxa"/>
          </w:tcPr>
          <w:p w14:paraId="1F94823D"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$50,000</w:t>
            </w:r>
          </w:p>
        </w:tc>
      </w:tr>
      <w:tr w:rsidR="004C730F" w:rsidRPr="004C730F" w14:paraId="2E742305"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2288F2BA" w14:textId="77777777" w:rsidR="004C730F" w:rsidRPr="004C730F" w:rsidRDefault="004C730F" w:rsidP="000C244F">
            <w:pPr>
              <w:rPr>
                <w:rFonts w:eastAsiaTheme="minorHAnsi" w:cs="Calibri"/>
                <w:b w:val="0"/>
                <w:color w:val="4E5758"/>
                <w:sz w:val="20"/>
                <w:szCs w:val="22"/>
              </w:rPr>
            </w:pPr>
            <w:r w:rsidRPr="004C730F">
              <w:rPr>
                <w:rFonts w:eastAsiaTheme="minorHAnsi" w:cs="Calibri"/>
                <w:b w:val="0"/>
                <w:color w:val="4E5758"/>
                <w:sz w:val="20"/>
                <w:szCs w:val="22"/>
              </w:rPr>
              <w:t>Additional allocation/English learner</w:t>
            </w:r>
          </w:p>
        </w:tc>
        <w:tc>
          <w:tcPr>
            <w:tcW w:w="3068" w:type="dxa"/>
          </w:tcPr>
          <w:p w14:paraId="7AD49086"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100 x $500</w:t>
            </w:r>
          </w:p>
        </w:tc>
        <w:tc>
          <w:tcPr>
            <w:tcW w:w="2899" w:type="dxa"/>
          </w:tcPr>
          <w:p w14:paraId="47B96568"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$50,000</w:t>
            </w:r>
          </w:p>
        </w:tc>
      </w:tr>
      <w:tr w:rsidR="004C730F" w:rsidRPr="004C730F" w14:paraId="65BDD550" w14:textId="77777777" w:rsidTr="003F78A4">
        <w:trPr>
          <w:trHeight w:val="370"/>
        </w:trPr>
        <w:tc>
          <w:tcPr>
            <w:cnfStyle w:val="001000000000" w:firstRow="0" w:lastRow="0" w:firstColumn="1" w:lastColumn="0" w:oddVBand="0" w:evenVBand="0" w:oddHBand="0" w:evenHBand="0" w:firstRowFirstColumn="0" w:firstRowLastColumn="0" w:lastRowFirstColumn="0" w:lastRowLastColumn="0"/>
            <w:tcW w:w="4842" w:type="dxa"/>
          </w:tcPr>
          <w:p w14:paraId="3870414C" w14:textId="77777777" w:rsidR="004C730F" w:rsidRPr="004C730F" w:rsidRDefault="004C730F" w:rsidP="000C244F">
            <w:pPr>
              <w:rPr>
                <w:rFonts w:eastAsiaTheme="minorHAnsi" w:cs="Calibri"/>
                <w:b w:val="0"/>
                <w:color w:val="4E5758"/>
                <w:sz w:val="20"/>
                <w:szCs w:val="22"/>
              </w:rPr>
            </w:pPr>
            <w:r w:rsidRPr="004C730F">
              <w:rPr>
                <w:rFonts w:eastAsiaTheme="minorHAnsi" w:cs="Calibri"/>
                <w:b w:val="0"/>
                <w:color w:val="4E5758"/>
                <w:sz w:val="20"/>
                <w:szCs w:val="22"/>
              </w:rPr>
              <w:t>Additional allocation/student with a disability</w:t>
            </w:r>
          </w:p>
        </w:tc>
        <w:tc>
          <w:tcPr>
            <w:tcW w:w="3068" w:type="dxa"/>
          </w:tcPr>
          <w:p w14:paraId="4585C937"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 x $1,500</w:t>
            </w:r>
          </w:p>
        </w:tc>
        <w:tc>
          <w:tcPr>
            <w:tcW w:w="2899" w:type="dxa"/>
          </w:tcPr>
          <w:p w14:paraId="38851D32"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$75,000</w:t>
            </w:r>
          </w:p>
        </w:tc>
      </w:tr>
      <w:tr w:rsidR="004C730F" w:rsidRPr="004C730F" w14:paraId="447D29F3" w14:textId="77777777" w:rsidTr="003F78A4">
        <w:trPr>
          <w:trHeight w:val="352"/>
        </w:trPr>
        <w:tc>
          <w:tcPr>
            <w:cnfStyle w:val="001000000000" w:firstRow="0" w:lastRow="0" w:firstColumn="1" w:lastColumn="0" w:oddVBand="0" w:evenVBand="0" w:oddHBand="0" w:evenHBand="0" w:firstRowFirstColumn="0" w:firstRowLastColumn="0" w:lastRowFirstColumn="0" w:lastRowLastColumn="0"/>
            <w:tcW w:w="4842" w:type="dxa"/>
          </w:tcPr>
          <w:p w14:paraId="3EAD4936" w14:textId="77777777" w:rsidR="004C730F" w:rsidRPr="004C730F" w:rsidRDefault="004C730F" w:rsidP="000C244F">
            <w:pPr>
              <w:rPr>
                <w:rFonts w:eastAsiaTheme="minorHAnsi" w:cs="Calibri"/>
                <w:b w:val="0"/>
                <w:color w:val="4E5758"/>
                <w:sz w:val="20"/>
                <w:szCs w:val="22"/>
              </w:rPr>
            </w:pPr>
            <w:r w:rsidRPr="004C730F">
              <w:rPr>
                <w:rFonts w:eastAsiaTheme="minorHAnsi" w:cs="Calibri"/>
                <w:b w:val="0"/>
                <w:color w:val="4E5758"/>
                <w:sz w:val="20"/>
                <w:szCs w:val="22"/>
              </w:rPr>
              <w:t>Additional allocation/preschool student</w:t>
            </w:r>
          </w:p>
        </w:tc>
        <w:tc>
          <w:tcPr>
            <w:tcW w:w="3068" w:type="dxa"/>
          </w:tcPr>
          <w:p w14:paraId="18DE6CB8"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20 x $8,500</w:t>
            </w:r>
          </w:p>
        </w:tc>
        <w:tc>
          <w:tcPr>
            <w:tcW w:w="2899" w:type="dxa"/>
          </w:tcPr>
          <w:p w14:paraId="27FD88FD"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$170,000</w:t>
            </w:r>
          </w:p>
        </w:tc>
      </w:tr>
      <w:tr w:rsidR="004C730F" w:rsidRPr="004C730F" w14:paraId="200B1598"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10BF3987" w14:textId="77777777" w:rsidR="004C730F" w:rsidRPr="004C730F" w:rsidRDefault="004C730F" w:rsidP="000C244F">
            <w:pPr>
              <w:rPr>
                <w:rFonts w:eastAsiaTheme="minorHAnsi" w:cs="Calibri"/>
                <w:b w:val="0"/>
                <w:color w:val="4E5758"/>
                <w:sz w:val="20"/>
                <w:szCs w:val="22"/>
              </w:rPr>
            </w:pPr>
          </w:p>
        </w:tc>
        <w:tc>
          <w:tcPr>
            <w:tcW w:w="3068" w:type="dxa"/>
          </w:tcPr>
          <w:p w14:paraId="130EB940"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p>
        </w:tc>
        <w:tc>
          <w:tcPr>
            <w:tcW w:w="2899" w:type="dxa"/>
            <w:shd w:val="clear" w:color="auto" w:fill="E8F3FA" w:themeFill="text2" w:themeFillTint="33"/>
          </w:tcPr>
          <w:p w14:paraId="36E5917C" w14:textId="77777777" w:rsidR="004C730F" w:rsidRPr="004C730F" w:rsidRDefault="004C730F" w:rsidP="000C244F">
            <w:pPr>
              <w:jc w:val="right"/>
              <w:cnfStyle w:val="000000000000" w:firstRow="0" w:lastRow="0" w:firstColumn="0" w:lastColumn="0" w:oddVBand="0" w:evenVBand="0" w:oddHBand="0" w:evenHBand="0" w:firstRowFirstColumn="0" w:firstRowLastColumn="0" w:lastRowFirstColumn="0" w:lastRowLastColumn="0"/>
              <w:rPr>
                <w:rFonts w:eastAsiaTheme="minorHAnsi" w:cs="Calibri"/>
                <w:b/>
                <w:color w:val="4E5758"/>
                <w:sz w:val="20"/>
                <w:szCs w:val="22"/>
              </w:rPr>
            </w:pPr>
            <w:r w:rsidRPr="004C730F">
              <w:rPr>
                <w:rFonts w:eastAsiaTheme="minorHAnsi" w:cs="Calibri"/>
                <w:b/>
                <w:color w:val="4E5758"/>
                <w:sz w:val="20"/>
                <w:szCs w:val="22"/>
              </w:rPr>
              <w:t>$3,495,000</w:t>
            </w:r>
          </w:p>
        </w:tc>
      </w:tr>
    </w:tbl>
    <w:p w14:paraId="64483000" w14:textId="77777777" w:rsidR="00164D7C" w:rsidRDefault="00164D7C" w:rsidP="00164D7C">
      <w:pPr>
        <w:rPr>
          <w:rFonts w:eastAsiaTheme="minorHAnsi" w:cs="Calibri"/>
          <w:color w:val="4E5758"/>
          <w:sz w:val="20"/>
          <w:szCs w:val="22"/>
        </w:rPr>
      </w:pPr>
      <w:r w:rsidRPr="004C730F">
        <w:rPr>
          <w:rFonts w:eastAsiaTheme="minorHAnsi" w:cs="Calibri"/>
          <w:color w:val="4E5758"/>
          <w:sz w:val="20"/>
          <w:szCs w:val="22"/>
        </w:rPr>
        <w:t xml:space="preserve">In this </w:t>
      </w:r>
      <w:r w:rsidR="004C730F" w:rsidRPr="004C730F">
        <w:rPr>
          <w:rFonts w:eastAsiaTheme="minorHAnsi" w:cs="Calibri"/>
          <w:color w:val="4E5758"/>
          <w:sz w:val="20"/>
          <w:szCs w:val="22"/>
        </w:rPr>
        <w:t>example</w:t>
      </w:r>
      <w:r w:rsidRPr="004C730F">
        <w:rPr>
          <w:rFonts w:eastAsiaTheme="minorHAnsi" w:cs="Calibri"/>
          <w:color w:val="4E5758"/>
          <w:sz w:val="20"/>
          <w:szCs w:val="22"/>
        </w:rPr>
        <w:t>, the LEA must distribute non-Federal resources according to the assumptions above to all of its schools, regardless of whether a school receives Title I</w:t>
      </w:r>
      <w:r w:rsidR="00DE084E">
        <w:rPr>
          <w:rFonts w:eastAsiaTheme="minorHAnsi" w:cs="Calibri"/>
          <w:color w:val="4E5758"/>
          <w:sz w:val="20"/>
          <w:szCs w:val="22"/>
        </w:rPr>
        <w:t>, Part A</w:t>
      </w:r>
      <w:r w:rsidRPr="004C730F">
        <w:rPr>
          <w:rFonts w:eastAsiaTheme="minorHAnsi" w:cs="Calibri"/>
          <w:color w:val="4E5758"/>
          <w:sz w:val="20"/>
          <w:szCs w:val="22"/>
        </w:rPr>
        <w:t xml:space="preserve"> funds.  However, actual expenditures within each school after the distribution of resources may vary.</w:t>
      </w:r>
    </w:p>
    <w:p w14:paraId="40664A4A" w14:textId="77777777" w:rsidR="00CA1865" w:rsidRDefault="00CA1865" w:rsidP="00164D7C">
      <w:pPr>
        <w:rPr>
          <w:rFonts w:eastAsiaTheme="minorHAnsi" w:cs="Calibri"/>
          <w:color w:val="4E5758"/>
          <w:sz w:val="20"/>
          <w:szCs w:val="22"/>
        </w:rPr>
      </w:pPr>
    </w:p>
    <w:p w14:paraId="2F3CCE01" w14:textId="77777777" w:rsidR="00CA1865" w:rsidRPr="004C730F" w:rsidRDefault="00CA1865" w:rsidP="00164D7C">
      <w:pPr>
        <w:rPr>
          <w:rFonts w:eastAsiaTheme="minorHAnsi" w:cs="Calibri"/>
          <w:color w:val="4E5758"/>
          <w:sz w:val="20"/>
          <w:szCs w:val="22"/>
        </w:rPr>
      </w:pPr>
    </w:p>
    <w:p w14:paraId="4AB7BD07" w14:textId="77777777" w:rsidR="00164D7C" w:rsidRPr="004C730F" w:rsidRDefault="00164D7C" w:rsidP="00164D7C">
      <w:pPr>
        <w:rPr>
          <w:rFonts w:eastAsiaTheme="minorHAnsi" w:cs="Calibri"/>
          <w:b/>
          <w:color w:val="4E5758"/>
          <w:sz w:val="20"/>
          <w:szCs w:val="22"/>
        </w:rPr>
      </w:pPr>
    </w:p>
    <w:p w14:paraId="05DB8605" w14:textId="77777777" w:rsidR="00B325B0" w:rsidRDefault="00B325B0" w:rsidP="0098790E">
      <w:pPr>
        <w:rPr>
          <w:rFonts w:eastAsiaTheme="minorHAnsi" w:cs="Calibri"/>
          <w:b/>
          <w:color w:val="4E5758"/>
          <w:sz w:val="20"/>
          <w:szCs w:val="22"/>
        </w:rPr>
      </w:pPr>
    </w:p>
    <w:p w14:paraId="51B12470" w14:textId="77777777" w:rsidR="0098790E" w:rsidRPr="004C730F" w:rsidRDefault="0098790E" w:rsidP="0098790E">
      <w:pPr>
        <w:rPr>
          <w:rFonts w:eastAsiaTheme="minorHAnsi" w:cs="Calibri"/>
          <w:b/>
          <w:color w:val="4E5758"/>
          <w:sz w:val="20"/>
          <w:szCs w:val="22"/>
        </w:rPr>
      </w:pPr>
      <w:r>
        <w:rPr>
          <w:rFonts w:eastAsiaTheme="minorHAnsi" w:cs="Calibri"/>
          <w:b/>
          <w:color w:val="4E5758"/>
          <w:sz w:val="20"/>
          <w:szCs w:val="22"/>
        </w:rPr>
        <w:t xml:space="preserve">Example 2: </w:t>
      </w:r>
      <w:r w:rsidRPr="004C730F">
        <w:rPr>
          <w:rFonts w:eastAsiaTheme="minorHAnsi" w:cs="Calibri"/>
          <w:b/>
          <w:color w:val="4E5758"/>
          <w:sz w:val="20"/>
          <w:szCs w:val="22"/>
        </w:rPr>
        <w:t>Distribution of State and Local (non-</w:t>
      </w:r>
      <w:r w:rsidR="00DE084E">
        <w:rPr>
          <w:rFonts w:eastAsiaTheme="minorHAnsi" w:cs="Calibri"/>
          <w:b/>
          <w:color w:val="4E5758"/>
          <w:sz w:val="20"/>
          <w:szCs w:val="22"/>
        </w:rPr>
        <w:t>Federal) Resources Based on Staffing and Supplies</w:t>
      </w:r>
    </w:p>
    <w:p w14:paraId="13CFC67D" w14:textId="77777777" w:rsidR="0098790E" w:rsidRPr="0098790E" w:rsidRDefault="0098790E" w:rsidP="0098790E">
      <w:pPr>
        <w:rPr>
          <w:rFonts w:eastAsiaTheme="minorHAnsi" w:cs="Calibri"/>
          <w:color w:val="4E5758"/>
          <w:sz w:val="20"/>
          <w:szCs w:val="22"/>
        </w:rPr>
      </w:pPr>
      <w:r w:rsidRPr="0098790E">
        <w:rPr>
          <w:rFonts w:eastAsiaTheme="minorHAnsi" w:cs="Calibri"/>
          <w:color w:val="4E5758"/>
          <w:sz w:val="20"/>
          <w:szCs w:val="22"/>
        </w:rPr>
        <w:lastRenderedPageBreak/>
        <w:t>Assume:</w:t>
      </w:r>
    </w:p>
    <w:p w14:paraId="24FE6F2C" w14:textId="77777777" w:rsidR="0098790E" w:rsidRPr="0098790E" w:rsidRDefault="0098790E" w:rsidP="0098790E">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1 teacher per 22 students ($65,000/teacher)</w:t>
      </w:r>
    </w:p>
    <w:p w14:paraId="4FFBA295" w14:textId="77777777" w:rsidR="0098790E" w:rsidRPr="0098790E" w:rsidRDefault="0098790E" w:rsidP="0098790E">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1 principal/school ($120,000)</w:t>
      </w:r>
    </w:p>
    <w:p w14:paraId="0398FF6E" w14:textId="77777777" w:rsidR="0098790E" w:rsidRPr="0098790E" w:rsidRDefault="0098790E" w:rsidP="0098790E">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1 librarian/school ($65,000)</w:t>
      </w:r>
    </w:p>
    <w:p w14:paraId="1F8BD583" w14:textId="77777777" w:rsidR="0098790E" w:rsidRPr="0098790E" w:rsidRDefault="0098790E" w:rsidP="0098790E">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2 guidance counselors/school ($65,000/guidance counselor)</w:t>
      </w:r>
    </w:p>
    <w:p w14:paraId="528ABF0E" w14:textId="77777777" w:rsidR="0098790E" w:rsidRPr="0098790E" w:rsidRDefault="0098790E" w:rsidP="0098790E">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$825/student for instructional materials and supplies (including technology)</w:t>
      </w:r>
    </w:p>
    <w:p w14:paraId="2FD06C54" w14:textId="77777777" w:rsidR="0098790E" w:rsidRPr="0098790E" w:rsidRDefault="0098790E" w:rsidP="00291145">
      <w:pPr>
        <w:jc w:val="center"/>
        <w:rPr>
          <w:rFonts w:eastAsiaTheme="minorHAnsi" w:cs="Calibri"/>
          <w:color w:val="4E5758"/>
          <w:sz w:val="20"/>
          <w:szCs w:val="22"/>
        </w:rPr>
      </w:pPr>
    </w:p>
    <w:p w14:paraId="69D8B019" w14:textId="77777777" w:rsidR="0098790E" w:rsidRPr="0098790E" w:rsidRDefault="0098790E" w:rsidP="0098790E">
      <w:pPr>
        <w:rPr>
          <w:rFonts w:eastAsiaTheme="minorHAnsi" w:cs="Calibri"/>
          <w:color w:val="4E5758"/>
          <w:sz w:val="20"/>
          <w:szCs w:val="22"/>
        </w:rPr>
      </w:pPr>
      <w:r w:rsidRPr="0098790E">
        <w:rPr>
          <w:rFonts w:eastAsiaTheme="minorHAnsi" w:cs="Calibri"/>
          <w:color w:val="4E5758"/>
          <w:sz w:val="20"/>
          <w:szCs w:val="22"/>
        </w:rPr>
        <w:t>In a school of 450 students, t</w:t>
      </w:r>
      <w:r w:rsidR="00E8452B">
        <w:rPr>
          <w:rFonts w:eastAsiaTheme="minorHAnsi" w:cs="Calibri"/>
          <w:color w:val="4E5758"/>
          <w:sz w:val="20"/>
          <w:szCs w:val="22"/>
        </w:rPr>
        <w:t>he school would</w:t>
      </w:r>
      <w:r w:rsidRPr="0098790E">
        <w:rPr>
          <w:rFonts w:eastAsiaTheme="minorHAnsi" w:cs="Calibri"/>
          <w:color w:val="4E5758"/>
          <w:sz w:val="20"/>
          <w:szCs w:val="22"/>
        </w:rPr>
        <w:t xml:space="preserve"> be expected to receive $2,051,250 in non-Federal resources based on the following calculation:</w:t>
      </w:r>
    </w:p>
    <w:tbl>
      <w:tblPr>
        <w:tblStyle w:val="GridTable1Light-Accent11"/>
        <w:tblW w:w="10862" w:type="dxa"/>
        <w:tblInd w:w="108" w:type="dxa"/>
        <w:tblLook w:val="04A0" w:firstRow="1" w:lastRow="0" w:firstColumn="1" w:lastColumn="0" w:noHBand="0" w:noVBand="1"/>
        <w:tblCaption w:val="Example 2: Distribution of State and local Resources Based on Staffing and Supplies"/>
        <w:tblDescription w:val="This table provides an example of using a methodology to allocate State and local funds based on staffing and supplies."/>
      </w:tblPr>
      <w:tblGrid>
        <w:gridCol w:w="4860"/>
        <w:gridCol w:w="3089"/>
        <w:gridCol w:w="2913"/>
      </w:tblGrid>
      <w:tr w:rsidR="0098790E" w:rsidRPr="0098790E" w14:paraId="43DBB271" w14:textId="77777777" w:rsidTr="003F78A4">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4860" w:type="dxa"/>
          </w:tcPr>
          <w:p w14:paraId="38E8AA44" w14:textId="77777777" w:rsidR="0098790E" w:rsidRPr="0098790E" w:rsidRDefault="0098790E" w:rsidP="0098790E">
            <w:pPr>
              <w:rPr>
                <w:rFonts w:eastAsiaTheme="minorHAnsi" w:cs="Calibri"/>
                <w:color w:val="4E5758"/>
                <w:sz w:val="20"/>
                <w:szCs w:val="22"/>
              </w:rPr>
            </w:pPr>
            <w:r w:rsidRPr="0098790E">
              <w:rPr>
                <w:rFonts w:eastAsiaTheme="minorHAnsi" w:cs="Calibri"/>
                <w:color w:val="4E5758"/>
                <w:sz w:val="20"/>
                <w:szCs w:val="22"/>
              </w:rPr>
              <w:t>Category</w:t>
            </w:r>
          </w:p>
        </w:tc>
        <w:tc>
          <w:tcPr>
            <w:tcW w:w="3089" w:type="dxa"/>
          </w:tcPr>
          <w:p w14:paraId="50D8BDDB" w14:textId="77777777" w:rsidR="0098790E" w:rsidRPr="0098790E" w:rsidRDefault="0098790E" w:rsidP="0098790E">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Calculation</w:t>
            </w:r>
          </w:p>
        </w:tc>
        <w:tc>
          <w:tcPr>
            <w:tcW w:w="2913" w:type="dxa"/>
          </w:tcPr>
          <w:p w14:paraId="25F85B85" w14:textId="77777777" w:rsidR="0098790E" w:rsidRPr="0098790E" w:rsidRDefault="0098790E" w:rsidP="0098790E">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Amount</w:t>
            </w:r>
          </w:p>
        </w:tc>
      </w:tr>
      <w:tr w:rsidR="0098790E" w:rsidRPr="0098790E" w14:paraId="0383D38D" w14:textId="77777777" w:rsidTr="003F78A4">
        <w:trPr>
          <w:trHeight w:val="323"/>
        </w:trPr>
        <w:tc>
          <w:tcPr>
            <w:cnfStyle w:val="001000000000" w:firstRow="0" w:lastRow="0" w:firstColumn="1" w:lastColumn="0" w:oddVBand="0" w:evenVBand="0" w:oddHBand="0" w:evenHBand="0" w:firstRowFirstColumn="0" w:firstRowLastColumn="0" w:lastRowFirstColumn="0" w:lastRowLastColumn="0"/>
            <w:tcW w:w="4860" w:type="dxa"/>
          </w:tcPr>
          <w:p w14:paraId="5E596A92" w14:textId="77777777" w:rsidR="0098790E" w:rsidRPr="00E8452B" w:rsidRDefault="0098790E" w:rsidP="0098790E">
            <w:pPr>
              <w:rPr>
                <w:rFonts w:eastAsiaTheme="minorHAnsi" w:cs="Calibri"/>
                <w:b w:val="0"/>
                <w:color w:val="4E5758"/>
                <w:sz w:val="20"/>
                <w:szCs w:val="22"/>
              </w:rPr>
            </w:pPr>
            <w:r w:rsidRPr="00E8452B">
              <w:rPr>
                <w:rFonts w:eastAsiaTheme="minorHAnsi" w:cs="Calibri"/>
                <w:b w:val="0"/>
                <w:color w:val="4E5758"/>
                <w:sz w:val="20"/>
                <w:szCs w:val="22"/>
              </w:rPr>
              <w:t>1 principal</w:t>
            </w:r>
          </w:p>
        </w:tc>
        <w:tc>
          <w:tcPr>
            <w:tcW w:w="3089" w:type="dxa"/>
          </w:tcPr>
          <w:p w14:paraId="275A54DB"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 x $120,000</w:t>
            </w:r>
          </w:p>
        </w:tc>
        <w:tc>
          <w:tcPr>
            <w:tcW w:w="2913" w:type="dxa"/>
          </w:tcPr>
          <w:p w14:paraId="4F762C06"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$120,000</w:t>
            </w:r>
          </w:p>
        </w:tc>
      </w:tr>
      <w:tr w:rsidR="0098790E" w:rsidRPr="0098790E" w14:paraId="1BF1DB98" w14:textId="77777777" w:rsidTr="003F78A4">
        <w:trPr>
          <w:trHeight w:val="333"/>
        </w:trPr>
        <w:tc>
          <w:tcPr>
            <w:cnfStyle w:val="001000000000" w:firstRow="0" w:lastRow="0" w:firstColumn="1" w:lastColumn="0" w:oddVBand="0" w:evenVBand="0" w:oddHBand="0" w:evenHBand="0" w:firstRowFirstColumn="0" w:firstRowLastColumn="0" w:lastRowFirstColumn="0" w:lastRowLastColumn="0"/>
            <w:tcW w:w="4860" w:type="dxa"/>
          </w:tcPr>
          <w:p w14:paraId="735774E1" w14:textId="77777777" w:rsidR="0098790E" w:rsidRPr="00E8452B" w:rsidRDefault="0098790E" w:rsidP="0098790E">
            <w:pPr>
              <w:rPr>
                <w:rFonts w:eastAsiaTheme="minorHAnsi" w:cs="Calibri"/>
                <w:b w:val="0"/>
                <w:color w:val="4E5758"/>
                <w:sz w:val="20"/>
                <w:szCs w:val="22"/>
              </w:rPr>
            </w:pPr>
            <w:r w:rsidRPr="00E8452B">
              <w:rPr>
                <w:rFonts w:eastAsiaTheme="minorHAnsi" w:cs="Calibri"/>
                <w:b w:val="0"/>
                <w:color w:val="4E5758"/>
                <w:sz w:val="20"/>
                <w:szCs w:val="22"/>
              </w:rPr>
              <w:t>1 librarian</w:t>
            </w:r>
          </w:p>
        </w:tc>
        <w:tc>
          <w:tcPr>
            <w:tcW w:w="3089" w:type="dxa"/>
          </w:tcPr>
          <w:p w14:paraId="7D2BBF77"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 x $65,000</w:t>
            </w:r>
          </w:p>
        </w:tc>
        <w:tc>
          <w:tcPr>
            <w:tcW w:w="2913" w:type="dxa"/>
          </w:tcPr>
          <w:p w14:paraId="125D2F72"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$65,000</w:t>
            </w:r>
          </w:p>
        </w:tc>
      </w:tr>
      <w:tr w:rsidR="0098790E" w:rsidRPr="0098790E" w14:paraId="743E325C" w14:textId="77777777" w:rsidTr="003F78A4">
        <w:trPr>
          <w:trHeight w:val="333"/>
        </w:trPr>
        <w:tc>
          <w:tcPr>
            <w:cnfStyle w:val="001000000000" w:firstRow="0" w:lastRow="0" w:firstColumn="1" w:lastColumn="0" w:oddVBand="0" w:evenVBand="0" w:oddHBand="0" w:evenHBand="0" w:firstRowFirstColumn="0" w:firstRowLastColumn="0" w:lastRowFirstColumn="0" w:lastRowLastColumn="0"/>
            <w:tcW w:w="4860" w:type="dxa"/>
          </w:tcPr>
          <w:p w14:paraId="28820C05" w14:textId="77777777" w:rsidR="0098790E" w:rsidRPr="00E8452B" w:rsidRDefault="0098790E" w:rsidP="0098790E">
            <w:pPr>
              <w:rPr>
                <w:rFonts w:eastAsiaTheme="minorHAnsi" w:cs="Calibri"/>
                <w:b w:val="0"/>
                <w:color w:val="4E5758"/>
                <w:sz w:val="20"/>
                <w:szCs w:val="22"/>
              </w:rPr>
            </w:pPr>
            <w:r w:rsidRPr="00E8452B">
              <w:rPr>
                <w:rFonts w:eastAsiaTheme="minorHAnsi" w:cs="Calibri"/>
                <w:b w:val="0"/>
                <w:color w:val="4E5758"/>
                <w:sz w:val="20"/>
                <w:szCs w:val="22"/>
              </w:rPr>
              <w:t>2 guidance counselors</w:t>
            </w:r>
          </w:p>
        </w:tc>
        <w:tc>
          <w:tcPr>
            <w:tcW w:w="3089" w:type="dxa"/>
          </w:tcPr>
          <w:p w14:paraId="2013DF54"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2 x $65,000</w:t>
            </w:r>
          </w:p>
        </w:tc>
        <w:tc>
          <w:tcPr>
            <w:tcW w:w="2913" w:type="dxa"/>
          </w:tcPr>
          <w:p w14:paraId="356B663E"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$130,000</w:t>
            </w:r>
          </w:p>
        </w:tc>
      </w:tr>
      <w:tr w:rsidR="0098790E" w:rsidRPr="0098790E" w14:paraId="1C0BAB68" w14:textId="77777777" w:rsidTr="003F78A4">
        <w:trPr>
          <w:trHeight w:val="323"/>
        </w:trPr>
        <w:tc>
          <w:tcPr>
            <w:cnfStyle w:val="001000000000" w:firstRow="0" w:lastRow="0" w:firstColumn="1" w:lastColumn="0" w:oddVBand="0" w:evenVBand="0" w:oddHBand="0" w:evenHBand="0" w:firstRowFirstColumn="0" w:firstRowLastColumn="0" w:lastRowFirstColumn="0" w:lastRowLastColumn="0"/>
            <w:tcW w:w="4860" w:type="dxa"/>
          </w:tcPr>
          <w:p w14:paraId="111EEB76" w14:textId="77777777" w:rsidR="0098790E" w:rsidRPr="00E8452B" w:rsidRDefault="0098790E" w:rsidP="0098790E">
            <w:pPr>
              <w:rPr>
                <w:rFonts w:eastAsiaTheme="minorHAnsi" w:cs="Calibri"/>
                <w:b w:val="0"/>
                <w:color w:val="4E5758"/>
                <w:sz w:val="20"/>
                <w:szCs w:val="22"/>
              </w:rPr>
            </w:pPr>
            <w:r w:rsidRPr="00E8452B">
              <w:rPr>
                <w:rFonts w:eastAsiaTheme="minorHAnsi" w:cs="Calibri"/>
                <w:b w:val="0"/>
                <w:color w:val="4E5758"/>
                <w:sz w:val="20"/>
                <w:szCs w:val="22"/>
              </w:rPr>
              <w:t>21 teachers</w:t>
            </w:r>
          </w:p>
        </w:tc>
        <w:tc>
          <w:tcPr>
            <w:tcW w:w="3089" w:type="dxa"/>
          </w:tcPr>
          <w:p w14:paraId="6A3BC10A"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21 x $65,000</w:t>
            </w:r>
          </w:p>
        </w:tc>
        <w:tc>
          <w:tcPr>
            <w:tcW w:w="2913" w:type="dxa"/>
          </w:tcPr>
          <w:p w14:paraId="11699F29"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$1,365,000</w:t>
            </w:r>
          </w:p>
        </w:tc>
      </w:tr>
      <w:tr w:rsidR="0098790E" w:rsidRPr="0098790E" w14:paraId="3F256939" w14:textId="77777777" w:rsidTr="003F78A4">
        <w:trPr>
          <w:trHeight w:val="333"/>
        </w:trPr>
        <w:tc>
          <w:tcPr>
            <w:cnfStyle w:val="001000000000" w:firstRow="0" w:lastRow="0" w:firstColumn="1" w:lastColumn="0" w:oddVBand="0" w:evenVBand="0" w:oddHBand="0" w:evenHBand="0" w:firstRowFirstColumn="0" w:firstRowLastColumn="0" w:lastRowFirstColumn="0" w:lastRowLastColumn="0"/>
            <w:tcW w:w="4860" w:type="dxa"/>
          </w:tcPr>
          <w:p w14:paraId="06BB8183" w14:textId="77777777" w:rsidR="0098790E" w:rsidRPr="00E8452B" w:rsidRDefault="0098790E" w:rsidP="0098790E">
            <w:pPr>
              <w:rPr>
                <w:rFonts w:eastAsiaTheme="minorHAnsi" w:cs="Calibri"/>
                <w:b w:val="0"/>
                <w:color w:val="4E5758"/>
                <w:sz w:val="20"/>
                <w:szCs w:val="22"/>
              </w:rPr>
            </w:pPr>
            <w:r w:rsidRPr="00E8452B">
              <w:rPr>
                <w:rFonts w:eastAsiaTheme="minorHAnsi" w:cs="Calibri"/>
                <w:b w:val="0"/>
                <w:color w:val="4E5758"/>
                <w:sz w:val="20"/>
                <w:szCs w:val="22"/>
              </w:rPr>
              <w:t>Instructional materials and supplies</w:t>
            </w:r>
          </w:p>
        </w:tc>
        <w:tc>
          <w:tcPr>
            <w:tcW w:w="3089" w:type="dxa"/>
          </w:tcPr>
          <w:p w14:paraId="62643210"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450 x $825</w:t>
            </w:r>
          </w:p>
        </w:tc>
        <w:tc>
          <w:tcPr>
            <w:tcW w:w="2913" w:type="dxa"/>
          </w:tcPr>
          <w:p w14:paraId="38E187D9"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$371,250</w:t>
            </w:r>
          </w:p>
        </w:tc>
      </w:tr>
      <w:tr w:rsidR="0098790E" w:rsidRPr="0098790E" w14:paraId="3F1EBBE8" w14:textId="77777777" w:rsidTr="003F78A4">
        <w:trPr>
          <w:trHeight w:val="323"/>
        </w:trPr>
        <w:tc>
          <w:tcPr>
            <w:cnfStyle w:val="001000000000" w:firstRow="0" w:lastRow="0" w:firstColumn="1" w:lastColumn="0" w:oddVBand="0" w:evenVBand="0" w:oddHBand="0" w:evenHBand="0" w:firstRowFirstColumn="0" w:firstRowLastColumn="0" w:lastRowFirstColumn="0" w:lastRowLastColumn="0"/>
            <w:tcW w:w="4860" w:type="dxa"/>
          </w:tcPr>
          <w:p w14:paraId="19427DEF" w14:textId="77777777" w:rsidR="0098790E" w:rsidRPr="0098790E" w:rsidRDefault="0098790E" w:rsidP="0098790E">
            <w:pPr>
              <w:rPr>
                <w:rFonts w:eastAsiaTheme="minorHAnsi" w:cs="Calibri"/>
                <w:color w:val="4E5758"/>
                <w:sz w:val="20"/>
                <w:szCs w:val="22"/>
              </w:rPr>
            </w:pPr>
          </w:p>
        </w:tc>
        <w:tc>
          <w:tcPr>
            <w:tcW w:w="3089" w:type="dxa"/>
          </w:tcPr>
          <w:p w14:paraId="26E60594" w14:textId="77777777" w:rsidR="0098790E" w:rsidRPr="0098790E"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p>
        </w:tc>
        <w:tc>
          <w:tcPr>
            <w:tcW w:w="2913" w:type="dxa"/>
            <w:shd w:val="clear" w:color="auto" w:fill="E8F3FA" w:themeFill="text2" w:themeFillTint="33"/>
          </w:tcPr>
          <w:p w14:paraId="6170CABE" w14:textId="77777777" w:rsidR="0098790E" w:rsidRPr="00E8452B" w:rsidRDefault="0098790E" w:rsidP="00E8452B">
            <w:pPr>
              <w:jc w:val="right"/>
              <w:cnfStyle w:val="000000000000" w:firstRow="0" w:lastRow="0" w:firstColumn="0" w:lastColumn="0" w:oddVBand="0" w:evenVBand="0" w:oddHBand="0" w:evenHBand="0" w:firstRowFirstColumn="0" w:firstRowLastColumn="0" w:lastRowFirstColumn="0" w:lastRowLastColumn="0"/>
              <w:rPr>
                <w:rFonts w:eastAsiaTheme="minorHAnsi" w:cs="Calibri"/>
                <w:b/>
                <w:color w:val="4E5758"/>
                <w:sz w:val="20"/>
                <w:szCs w:val="22"/>
              </w:rPr>
            </w:pPr>
            <w:r w:rsidRPr="00E8452B">
              <w:rPr>
                <w:rFonts w:eastAsiaTheme="minorHAnsi" w:cs="Calibri"/>
                <w:b/>
                <w:color w:val="4E5758"/>
                <w:sz w:val="20"/>
                <w:szCs w:val="22"/>
              </w:rPr>
              <w:t>$2,051,250</w:t>
            </w:r>
          </w:p>
        </w:tc>
      </w:tr>
    </w:tbl>
    <w:p w14:paraId="191B87CE" w14:textId="77777777" w:rsidR="00E8452B" w:rsidRPr="004C730F" w:rsidRDefault="00E8452B" w:rsidP="00E8452B">
      <w:pPr>
        <w:rPr>
          <w:rFonts w:eastAsiaTheme="minorHAnsi" w:cs="Calibri"/>
          <w:color w:val="4E5758"/>
          <w:sz w:val="20"/>
          <w:szCs w:val="22"/>
        </w:rPr>
      </w:pPr>
      <w:r w:rsidRPr="004C730F">
        <w:rPr>
          <w:rFonts w:eastAsiaTheme="minorHAnsi" w:cs="Calibri"/>
          <w:color w:val="4E5758"/>
          <w:sz w:val="20"/>
          <w:szCs w:val="22"/>
        </w:rPr>
        <w:t>In this example, the LEA must distribute non-Federal resources according to the assumptions above to all of its schools, regardless of whether a school receives Title I</w:t>
      </w:r>
      <w:r w:rsidR="00DE084E">
        <w:rPr>
          <w:rFonts w:eastAsiaTheme="minorHAnsi" w:cs="Calibri"/>
          <w:color w:val="4E5758"/>
          <w:sz w:val="20"/>
          <w:szCs w:val="22"/>
        </w:rPr>
        <w:t>, Part A</w:t>
      </w:r>
      <w:r w:rsidRPr="004C730F">
        <w:rPr>
          <w:rFonts w:eastAsiaTheme="minorHAnsi" w:cs="Calibri"/>
          <w:color w:val="4E5758"/>
          <w:sz w:val="20"/>
          <w:szCs w:val="22"/>
        </w:rPr>
        <w:t xml:space="preserve"> funds.  However, actual expenditures within each school after the distribution of resources may vary.</w:t>
      </w:r>
    </w:p>
    <w:p w14:paraId="5035991D" w14:textId="77777777" w:rsidR="00E8452B" w:rsidRDefault="00E8452B" w:rsidP="00E8452B">
      <w:pPr>
        <w:rPr>
          <w:rFonts w:eastAsiaTheme="minorHAnsi" w:cs="Calibri"/>
          <w:b/>
          <w:color w:val="4E5758"/>
          <w:sz w:val="20"/>
          <w:szCs w:val="22"/>
        </w:rPr>
      </w:pPr>
    </w:p>
    <w:p w14:paraId="333FDEFA" w14:textId="77777777" w:rsidR="00507F8B" w:rsidRPr="004C730F" w:rsidRDefault="00507F8B" w:rsidP="00507F8B">
      <w:pPr>
        <w:rPr>
          <w:rFonts w:eastAsiaTheme="minorHAnsi" w:cs="Calibri"/>
          <w:b/>
          <w:color w:val="4E5758"/>
          <w:sz w:val="20"/>
          <w:szCs w:val="22"/>
        </w:rPr>
      </w:pPr>
      <w:r>
        <w:rPr>
          <w:rFonts w:eastAsiaTheme="minorHAnsi" w:cs="Calibri"/>
          <w:b/>
          <w:color w:val="4E5758"/>
          <w:sz w:val="20"/>
          <w:szCs w:val="22"/>
        </w:rPr>
        <w:t xml:space="preserve">Example </w:t>
      </w:r>
      <w:r w:rsidR="00291145">
        <w:rPr>
          <w:rFonts w:eastAsiaTheme="minorHAnsi" w:cs="Calibri"/>
          <w:b/>
          <w:color w:val="4E5758"/>
          <w:sz w:val="20"/>
          <w:szCs w:val="22"/>
        </w:rPr>
        <w:t>3</w:t>
      </w:r>
      <w:r>
        <w:rPr>
          <w:rFonts w:eastAsiaTheme="minorHAnsi" w:cs="Calibri"/>
          <w:b/>
          <w:color w:val="4E5758"/>
          <w:sz w:val="20"/>
          <w:szCs w:val="22"/>
        </w:rPr>
        <w:t xml:space="preserve">: Distribution of State and Local (non-Federal) Resources Based on a Combined Approach </w:t>
      </w:r>
    </w:p>
    <w:p w14:paraId="3459F6CF" w14:textId="77777777" w:rsidR="00507F8B" w:rsidRDefault="00507F8B" w:rsidP="00507F8B">
      <w:pPr>
        <w:rPr>
          <w:rFonts w:eastAsiaTheme="minorHAnsi" w:cs="Calibri"/>
          <w:color w:val="4E5758"/>
          <w:sz w:val="20"/>
          <w:szCs w:val="22"/>
        </w:rPr>
      </w:pPr>
      <w:r w:rsidRPr="004C730F">
        <w:rPr>
          <w:rFonts w:eastAsiaTheme="minorHAnsi" w:cs="Calibri"/>
          <w:color w:val="4E5758"/>
          <w:sz w:val="20"/>
          <w:szCs w:val="22"/>
        </w:rPr>
        <w:t xml:space="preserve">This form of equitable distribution </w:t>
      </w:r>
      <w:r>
        <w:rPr>
          <w:rFonts w:eastAsiaTheme="minorHAnsi" w:cs="Calibri"/>
          <w:color w:val="4E5758"/>
          <w:sz w:val="20"/>
          <w:szCs w:val="22"/>
        </w:rPr>
        <w:t xml:space="preserve">includes characteristics of the two previous examples, distribution of State and local (non-Federal) resources based on the characteristics of the students and the staffing and supplies needs of the schools.  </w:t>
      </w:r>
    </w:p>
    <w:p w14:paraId="7A5E42CE" w14:textId="77777777" w:rsidR="00291145" w:rsidRPr="0098790E" w:rsidRDefault="00291145" w:rsidP="00507F8B">
      <w:pPr>
        <w:rPr>
          <w:rFonts w:eastAsiaTheme="minorHAnsi" w:cs="Calibri"/>
          <w:color w:val="4E5758"/>
          <w:sz w:val="20"/>
          <w:szCs w:val="22"/>
        </w:rPr>
      </w:pPr>
      <w:r>
        <w:rPr>
          <w:rFonts w:eastAsiaTheme="minorHAnsi" w:cs="Calibri"/>
          <w:color w:val="4E5758"/>
          <w:sz w:val="20"/>
          <w:szCs w:val="22"/>
        </w:rPr>
        <w:t>Assume:</w:t>
      </w:r>
    </w:p>
    <w:p w14:paraId="0D35D05A" w14:textId="77777777" w:rsidR="00291145" w:rsidRPr="0098790E" w:rsidRDefault="00291145" w:rsidP="00291145">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1 principal/school ($120,000)</w:t>
      </w:r>
    </w:p>
    <w:p w14:paraId="6486B561" w14:textId="77777777" w:rsidR="00291145" w:rsidRPr="0098790E" w:rsidRDefault="00291145" w:rsidP="00291145">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1 librarian/school ($65,000)</w:t>
      </w:r>
    </w:p>
    <w:p w14:paraId="1EE93C48" w14:textId="77777777" w:rsidR="00291145" w:rsidRPr="0098790E" w:rsidRDefault="00291145" w:rsidP="00291145">
      <w:pPr>
        <w:pStyle w:val="ListParagraph"/>
        <w:numPr>
          <w:ilvl w:val="0"/>
          <w:numId w:val="15"/>
        </w:numPr>
        <w:ind w:left="360"/>
        <w:rPr>
          <w:rFonts w:eastAsiaTheme="minorHAnsi" w:cs="Calibri"/>
          <w:color w:val="4E5758"/>
          <w:sz w:val="20"/>
          <w:szCs w:val="22"/>
        </w:rPr>
      </w:pPr>
      <w:r w:rsidRPr="0098790E">
        <w:rPr>
          <w:rFonts w:eastAsiaTheme="minorHAnsi" w:cs="Calibri"/>
          <w:color w:val="4E5758"/>
          <w:sz w:val="20"/>
          <w:szCs w:val="22"/>
        </w:rPr>
        <w:t>2 guidance counselors/school ($65,000/guidance counselor)</w:t>
      </w:r>
    </w:p>
    <w:p w14:paraId="74BA5B2A" w14:textId="77777777" w:rsidR="00291145" w:rsidRDefault="00291145" w:rsidP="00291145">
      <w:pPr>
        <w:pStyle w:val="ListParagraph"/>
        <w:numPr>
          <w:ilvl w:val="0"/>
          <w:numId w:val="15"/>
        </w:numPr>
        <w:ind w:left="360"/>
        <w:rPr>
          <w:rFonts w:eastAsiaTheme="minorHAnsi" w:cs="Calibri"/>
          <w:color w:val="4E5758"/>
          <w:sz w:val="20"/>
          <w:szCs w:val="22"/>
        </w:rPr>
      </w:pPr>
      <w:r w:rsidRPr="00291145">
        <w:rPr>
          <w:rFonts w:eastAsiaTheme="minorHAnsi" w:cs="Calibri"/>
          <w:color w:val="4E5758"/>
          <w:sz w:val="20"/>
          <w:szCs w:val="22"/>
        </w:rPr>
        <w:t>Allocation/student ($7,000)</w:t>
      </w:r>
    </w:p>
    <w:p w14:paraId="2C483F43" w14:textId="77777777" w:rsidR="00291145" w:rsidRPr="00291145" w:rsidRDefault="00291145" w:rsidP="00291145">
      <w:pPr>
        <w:pStyle w:val="ListParagraph"/>
        <w:numPr>
          <w:ilvl w:val="0"/>
          <w:numId w:val="15"/>
        </w:numPr>
        <w:ind w:left="360"/>
        <w:rPr>
          <w:rFonts w:eastAsiaTheme="minorHAnsi" w:cs="Calibri"/>
          <w:color w:val="4E5758"/>
          <w:sz w:val="20"/>
          <w:szCs w:val="22"/>
        </w:rPr>
      </w:pPr>
      <w:r w:rsidRPr="00291145">
        <w:rPr>
          <w:rFonts w:eastAsiaTheme="minorHAnsi" w:cs="Calibri"/>
          <w:color w:val="4E5758"/>
          <w:sz w:val="20"/>
          <w:szCs w:val="22"/>
        </w:rPr>
        <w:t>Additional allocation/student from a low-income family ($250)</w:t>
      </w:r>
    </w:p>
    <w:p w14:paraId="6AAFC17B" w14:textId="77777777" w:rsidR="00291145" w:rsidRDefault="00291145" w:rsidP="00291145">
      <w:pPr>
        <w:pStyle w:val="ListParagraph"/>
        <w:numPr>
          <w:ilvl w:val="0"/>
          <w:numId w:val="15"/>
        </w:numPr>
        <w:ind w:left="360"/>
        <w:rPr>
          <w:rFonts w:eastAsiaTheme="minorHAnsi" w:cs="Calibri"/>
          <w:color w:val="4E5758"/>
          <w:sz w:val="20"/>
          <w:szCs w:val="22"/>
        </w:rPr>
      </w:pPr>
      <w:r w:rsidRPr="00291145">
        <w:rPr>
          <w:rFonts w:eastAsiaTheme="minorHAnsi" w:cs="Calibri"/>
          <w:color w:val="4E5758"/>
          <w:sz w:val="20"/>
          <w:szCs w:val="22"/>
        </w:rPr>
        <w:t>Additional allocation/English learner ($500)</w:t>
      </w:r>
    </w:p>
    <w:p w14:paraId="739E8B35" w14:textId="77777777" w:rsidR="00291145" w:rsidRPr="00291145" w:rsidRDefault="00291145" w:rsidP="00291145">
      <w:pPr>
        <w:pStyle w:val="ListParagraph"/>
        <w:numPr>
          <w:ilvl w:val="0"/>
          <w:numId w:val="15"/>
        </w:numPr>
        <w:ind w:left="360"/>
        <w:rPr>
          <w:rFonts w:eastAsiaTheme="minorHAnsi" w:cs="Calibri"/>
          <w:color w:val="4E5758"/>
          <w:sz w:val="20"/>
          <w:szCs w:val="22"/>
        </w:rPr>
      </w:pPr>
      <w:r w:rsidRPr="00291145">
        <w:rPr>
          <w:rFonts w:eastAsiaTheme="minorHAnsi" w:cs="Calibri"/>
          <w:color w:val="4E5758"/>
          <w:sz w:val="20"/>
          <w:szCs w:val="22"/>
        </w:rPr>
        <w:t>Additional allocation/student with a disability ($1,500)</w:t>
      </w:r>
    </w:p>
    <w:p w14:paraId="244F764D" w14:textId="77777777" w:rsidR="00507F8B" w:rsidRDefault="00507F8B" w:rsidP="00E8452B">
      <w:pPr>
        <w:rPr>
          <w:rFonts w:eastAsiaTheme="minorHAnsi" w:cs="Calibri"/>
          <w:b/>
          <w:color w:val="4E5758"/>
          <w:sz w:val="20"/>
          <w:szCs w:val="22"/>
        </w:rPr>
      </w:pPr>
    </w:p>
    <w:p w14:paraId="177A402B" w14:textId="77777777" w:rsidR="00291145" w:rsidRPr="004C730F" w:rsidRDefault="00291145" w:rsidP="00291145">
      <w:pPr>
        <w:rPr>
          <w:rFonts w:eastAsiaTheme="minorHAnsi" w:cs="Calibri"/>
          <w:color w:val="4E5758"/>
          <w:sz w:val="20"/>
          <w:szCs w:val="22"/>
        </w:rPr>
      </w:pPr>
      <w:r w:rsidRPr="004C730F">
        <w:rPr>
          <w:rFonts w:eastAsiaTheme="minorHAnsi" w:cs="Calibri"/>
          <w:color w:val="4E5758"/>
          <w:sz w:val="20"/>
          <w:szCs w:val="22"/>
        </w:rPr>
        <w:t xml:space="preserve">In a school of 450 students, including 200 students from low-income families, 100 English learners, </w:t>
      </w:r>
      <w:r w:rsidR="00202E11">
        <w:rPr>
          <w:rFonts w:eastAsiaTheme="minorHAnsi" w:cs="Calibri"/>
          <w:color w:val="4E5758"/>
          <w:sz w:val="20"/>
          <w:szCs w:val="22"/>
        </w:rPr>
        <w:t xml:space="preserve">and </w:t>
      </w:r>
      <w:r w:rsidRPr="004C730F">
        <w:rPr>
          <w:rFonts w:eastAsiaTheme="minorHAnsi" w:cs="Calibri"/>
          <w:color w:val="4E5758"/>
          <w:sz w:val="20"/>
          <w:szCs w:val="22"/>
        </w:rPr>
        <w:t>50 students with disabilities</w:t>
      </w:r>
      <w:r w:rsidR="00202E11">
        <w:rPr>
          <w:rFonts w:eastAsiaTheme="minorHAnsi" w:cs="Calibri"/>
          <w:color w:val="4E5758"/>
          <w:sz w:val="20"/>
          <w:szCs w:val="22"/>
        </w:rPr>
        <w:t>,</w:t>
      </w:r>
      <w:r w:rsidRPr="004C730F">
        <w:rPr>
          <w:rFonts w:eastAsiaTheme="minorHAnsi" w:cs="Calibri"/>
          <w:color w:val="4E5758"/>
          <w:sz w:val="20"/>
          <w:szCs w:val="22"/>
        </w:rPr>
        <w:t xml:space="preserve"> the school would be expected to receive </w:t>
      </w:r>
      <w:r w:rsidR="00202E11">
        <w:rPr>
          <w:rFonts w:eastAsiaTheme="minorHAnsi" w:cs="Calibri"/>
          <w:color w:val="4E5758"/>
          <w:sz w:val="20"/>
          <w:szCs w:val="22"/>
        </w:rPr>
        <w:t>$3,640</w:t>
      </w:r>
      <w:r w:rsidRPr="004C730F">
        <w:rPr>
          <w:rFonts w:eastAsiaTheme="minorHAnsi" w:cs="Calibri"/>
          <w:color w:val="4E5758"/>
          <w:sz w:val="20"/>
          <w:szCs w:val="22"/>
        </w:rPr>
        <w:t>,000 in non-Federal resources based on the following calculation:</w:t>
      </w:r>
    </w:p>
    <w:tbl>
      <w:tblPr>
        <w:tblStyle w:val="GridTable1Light-Accent11"/>
        <w:tblpPr w:leftFromText="180" w:rightFromText="180" w:vertAnchor="text" w:horzAnchor="margin" w:tblpX="108" w:tblpY="49"/>
        <w:tblW w:w="10809" w:type="dxa"/>
        <w:tblLook w:val="04A0" w:firstRow="1" w:lastRow="0" w:firstColumn="1" w:lastColumn="0" w:noHBand="0" w:noVBand="1"/>
        <w:tblCaption w:val="Example 3: Distribution of State and Local Resources Based on a Combined Approach "/>
        <w:tblDescription w:val="This table provides an example of using a methodology to allocate State and local funds based on both the characeristics of students and staffing and supplies."/>
      </w:tblPr>
      <w:tblGrid>
        <w:gridCol w:w="4842"/>
        <w:gridCol w:w="3068"/>
        <w:gridCol w:w="2899"/>
      </w:tblGrid>
      <w:tr w:rsidR="00291145" w:rsidRPr="004C730F" w14:paraId="0BCC3765" w14:textId="77777777" w:rsidTr="003F78A4">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4842" w:type="dxa"/>
          </w:tcPr>
          <w:p w14:paraId="47FC5D14" w14:textId="77777777" w:rsidR="00291145" w:rsidRPr="004C730F" w:rsidRDefault="00291145" w:rsidP="00CA1865">
            <w:pPr>
              <w:rPr>
                <w:rFonts w:eastAsiaTheme="minorHAnsi" w:cs="Calibri"/>
                <w:color w:val="4E5758"/>
                <w:sz w:val="20"/>
                <w:szCs w:val="22"/>
              </w:rPr>
            </w:pPr>
            <w:bookmarkStart w:id="0" w:name="_GoBack" w:colFirst="0" w:colLast="2"/>
            <w:r w:rsidRPr="004C730F">
              <w:rPr>
                <w:rFonts w:eastAsiaTheme="minorHAnsi" w:cs="Calibri"/>
                <w:color w:val="4E5758"/>
                <w:sz w:val="20"/>
                <w:szCs w:val="22"/>
              </w:rPr>
              <w:t>Category</w:t>
            </w:r>
          </w:p>
        </w:tc>
        <w:tc>
          <w:tcPr>
            <w:tcW w:w="3068" w:type="dxa"/>
          </w:tcPr>
          <w:p w14:paraId="378BAF98" w14:textId="77777777" w:rsidR="00291145" w:rsidRPr="004C730F" w:rsidRDefault="00291145" w:rsidP="00CA1865">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Calculation</w:t>
            </w:r>
          </w:p>
        </w:tc>
        <w:tc>
          <w:tcPr>
            <w:tcW w:w="2899" w:type="dxa"/>
          </w:tcPr>
          <w:p w14:paraId="04DC2035" w14:textId="77777777" w:rsidR="00291145" w:rsidRPr="004C730F" w:rsidRDefault="00291145" w:rsidP="00CA1865">
            <w:pP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Amount</w:t>
            </w:r>
          </w:p>
        </w:tc>
      </w:tr>
      <w:bookmarkEnd w:id="0"/>
      <w:tr w:rsidR="00291145" w:rsidRPr="004C730F" w14:paraId="52C9E8AF"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3475E2A0" w14:textId="77777777" w:rsidR="00291145" w:rsidRPr="00291145" w:rsidRDefault="00291145" w:rsidP="00CA1865">
            <w:pPr>
              <w:rPr>
                <w:rFonts w:eastAsiaTheme="minorHAnsi" w:cs="Calibri"/>
                <w:b w:val="0"/>
                <w:color w:val="4E5758"/>
                <w:sz w:val="20"/>
                <w:szCs w:val="22"/>
              </w:rPr>
            </w:pPr>
            <w:r>
              <w:rPr>
                <w:rFonts w:eastAsiaTheme="minorHAnsi" w:cs="Calibri"/>
                <w:b w:val="0"/>
                <w:color w:val="4E5758"/>
                <w:sz w:val="20"/>
                <w:szCs w:val="22"/>
              </w:rPr>
              <w:t>1 principal</w:t>
            </w:r>
          </w:p>
        </w:tc>
        <w:tc>
          <w:tcPr>
            <w:tcW w:w="3068" w:type="dxa"/>
          </w:tcPr>
          <w:p w14:paraId="2983F229"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1 x $120,000</w:t>
            </w:r>
          </w:p>
        </w:tc>
        <w:tc>
          <w:tcPr>
            <w:tcW w:w="2899" w:type="dxa"/>
          </w:tcPr>
          <w:p w14:paraId="45EDE729"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$120,000</w:t>
            </w:r>
          </w:p>
        </w:tc>
      </w:tr>
      <w:tr w:rsidR="00291145" w:rsidRPr="004C730F" w14:paraId="4CEAFE2A"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26F064C8" w14:textId="77777777" w:rsidR="00291145" w:rsidRPr="00291145" w:rsidRDefault="00291145" w:rsidP="00CA1865">
            <w:pPr>
              <w:rPr>
                <w:rFonts w:eastAsiaTheme="minorHAnsi" w:cs="Calibri"/>
                <w:b w:val="0"/>
                <w:color w:val="4E5758"/>
                <w:sz w:val="20"/>
                <w:szCs w:val="22"/>
              </w:rPr>
            </w:pPr>
            <w:r>
              <w:rPr>
                <w:rFonts w:eastAsiaTheme="minorHAnsi" w:cs="Calibri"/>
                <w:b w:val="0"/>
                <w:color w:val="4E5758"/>
                <w:sz w:val="20"/>
                <w:szCs w:val="22"/>
              </w:rPr>
              <w:t>1 librarian</w:t>
            </w:r>
          </w:p>
        </w:tc>
        <w:tc>
          <w:tcPr>
            <w:tcW w:w="3068" w:type="dxa"/>
          </w:tcPr>
          <w:p w14:paraId="6F571303"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1 x $65,000</w:t>
            </w:r>
          </w:p>
        </w:tc>
        <w:tc>
          <w:tcPr>
            <w:tcW w:w="2899" w:type="dxa"/>
          </w:tcPr>
          <w:p w14:paraId="7A81496E"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$65,000</w:t>
            </w:r>
          </w:p>
        </w:tc>
      </w:tr>
      <w:tr w:rsidR="00291145" w:rsidRPr="004C730F" w14:paraId="1E18912C"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6E257F2D" w14:textId="77777777" w:rsidR="00291145" w:rsidRPr="00E8452B" w:rsidRDefault="00291145" w:rsidP="00CA1865">
            <w:pPr>
              <w:rPr>
                <w:rFonts w:eastAsiaTheme="minorHAnsi" w:cs="Calibri"/>
                <w:b w:val="0"/>
                <w:color w:val="4E5758"/>
                <w:sz w:val="20"/>
                <w:szCs w:val="22"/>
              </w:rPr>
            </w:pPr>
            <w:r w:rsidRPr="00E8452B">
              <w:rPr>
                <w:rFonts w:eastAsiaTheme="minorHAnsi" w:cs="Calibri"/>
                <w:b w:val="0"/>
                <w:color w:val="4E5758"/>
                <w:sz w:val="20"/>
                <w:szCs w:val="22"/>
              </w:rPr>
              <w:t>2 guidance counselors</w:t>
            </w:r>
          </w:p>
        </w:tc>
        <w:tc>
          <w:tcPr>
            <w:tcW w:w="3068" w:type="dxa"/>
          </w:tcPr>
          <w:p w14:paraId="2F8CCD19" w14:textId="77777777" w:rsidR="00291145" w:rsidRPr="0098790E"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2 x $65,000</w:t>
            </w:r>
          </w:p>
        </w:tc>
        <w:tc>
          <w:tcPr>
            <w:tcW w:w="2899" w:type="dxa"/>
          </w:tcPr>
          <w:p w14:paraId="47A4F35A" w14:textId="77777777" w:rsidR="00291145" w:rsidRPr="0098790E"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98790E">
              <w:rPr>
                <w:rFonts w:eastAsiaTheme="minorHAnsi" w:cs="Calibri"/>
                <w:color w:val="4E5758"/>
                <w:sz w:val="20"/>
                <w:szCs w:val="22"/>
              </w:rPr>
              <w:t>$130,000</w:t>
            </w:r>
          </w:p>
        </w:tc>
      </w:tr>
      <w:tr w:rsidR="00291145" w:rsidRPr="004C730F" w14:paraId="21C43AAA"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2F8617C8" w14:textId="77777777" w:rsidR="00291145" w:rsidRPr="004C730F" w:rsidRDefault="00291145" w:rsidP="00CA1865">
            <w:pPr>
              <w:rPr>
                <w:rFonts w:eastAsiaTheme="minorHAnsi" w:cs="Calibri"/>
                <w:b w:val="0"/>
                <w:color w:val="4E5758"/>
                <w:sz w:val="20"/>
                <w:szCs w:val="22"/>
              </w:rPr>
            </w:pPr>
            <w:r w:rsidRPr="004C730F">
              <w:rPr>
                <w:rFonts w:eastAsiaTheme="minorHAnsi" w:cs="Calibri"/>
                <w:b w:val="0"/>
                <w:color w:val="4E5758"/>
                <w:sz w:val="20"/>
                <w:szCs w:val="22"/>
              </w:rPr>
              <w:t>Allocation/student</w:t>
            </w:r>
          </w:p>
        </w:tc>
        <w:tc>
          <w:tcPr>
            <w:tcW w:w="3068" w:type="dxa"/>
          </w:tcPr>
          <w:p w14:paraId="464B227B"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450 x $7,000</w:t>
            </w:r>
          </w:p>
        </w:tc>
        <w:tc>
          <w:tcPr>
            <w:tcW w:w="2899" w:type="dxa"/>
          </w:tcPr>
          <w:p w14:paraId="4B76A5D2"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$3,150,000</w:t>
            </w:r>
          </w:p>
        </w:tc>
      </w:tr>
      <w:tr w:rsidR="00291145" w:rsidRPr="004C730F" w14:paraId="48326094" w14:textId="77777777" w:rsidTr="003F78A4">
        <w:trPr>
          <w:trHeight w:val="361"/>
        </w:trPr>
        <w:tc>
          <w:tcPr>
            <w:cnfStyle w:val="001000000000" w:firstRow="0" w:lastRow="0" w:firstColumn="1" w:lastColumn="0" w:oddVBand="0" w:evenVBand="0" w:oddHBand="0" w:evenHBand="0" w:firstRowFirstColumn="0" w:firstRowLastColumn="0" w:lastRowFirstColumn="0" w:lastRowLastColumn="0"/>
            <w:tcW w:w="4842" w:type="dxa"/>
          </w:tcPr>
          <w:p w14:paraId="000B4947" w14:textId="77777777" w:rsidR="00291145" w:rsidRPr="004C730F" w:rsidRDefault="00291145" w:rsidP="00CA1865">
            <w:pPr>
              <w:rPr>
                <w:rFonts w:eastAsiaTheme="minorHAnsi" w:cs="Calibri"/>
                <w:b w:val="0"/>
                <w:color w:val="4E5758"/>
                <w:sz w:val="20"/>
                <w:szCs w:val="22"/>
              </w:rPr>
            </w:pPr>
            <w:r w:rsidRPr="004C730F">
              <w:rPr>
                <w:rFonts w:eastAsiaTheme="minorHAnsi" w:cs="Calibri"/>
                <w:b w:val="0"/>
                <w:color w:val="4E5758"/>
                <w:sz w:val="20"/>
                <w:szCs w:val="22"/>
              </w:rPr>
              <w:t>Additional allocation/student from a low-income family</w:t>
            </w:r>
          </w:p>
        </w:tc>
        <w:tc>
          <w:tcPr>
            <w:tcW w:w="3068" w:type="dxa"/>
          </w:tcPr>
          <w:p w14:paraId="4C06E123"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200 x $250</w:t>
            </w:r>
          </w:p>
        </w:tc>
        <w:tc>
          <w:tcPr>
            <w:tcW w:w="2899" w:type="dxa"/>
          </w:tcPr>
          <w:p w14:paraId="3EF7EC55"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$50,000</w:t>
            </w:r>
          </w:p>
        </w:tc>
      </w:tr>
      <w:tr w:rsidR="00291145" w:rsidRPr="004C730F" w14:paraId="0DED822F"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4FAFF697" w14:textId="77777777" w:rsidR="00291145" w:rsidRPr="004C730F" w:rsidRDefault="00291145" w:rsidP="00CA1865">
            <w:pPr>
              <w:rPr>
                <w:rFonts w:eastAsiaTheme="minorHAnsi" w:cs="Calibri"/>
                <w:b w:val="0"/>
                <w:color w:val="4E5758"/>
                <w:sz w:val="20"/>
                <w:szCs w:val="22"/>
              </w:rPr>
            </w:pPr>
            <w:r w:rsidRPr="004C730F">
              <w:rPr>
                <w:rFonts w:eastAsiaTheme="minorHAnsi" w:cs="Calibri"/>
                <w:b w:val="0"/>
                <w:color w:val="4E5758"/>
                <w:sz w:val="20"/>
                <w:szCs w:val="22"/>
              </w:rPr>
              <w:t>Additional allocation/English learner</w:t>
            </w:r>
          </w:p>
        </w:tc>
        <w:tc>
          <w:tcPr>
            <w:tcW w:w="3068" w:type="dxa"/>
          </w:tcPr>
          <w:p w14:paraId="2C93DD1E"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100 x $500</w:t>
            </w:r>
          </w:p>
        </w:tc>
        <w:tc>
          <w:tcPr>
            <w:tcW w:w="2899" w:type="dxa"/>
          </w:tcPr>
          <w:p w14:paraId="3F968EB5"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$50,000</w:t>
            </w:r>
          </w:p>
        </w:tc>
      </w:tr>
      <w:tr w:rsidR="00291145" w:rsidRPr="004C730F" w14:paraId="709BDA7B" w14:textId="77777777" w:rsidTr="003F78A4">
        <w:trPr>
          <w:trHeight w:val="370"/>
        </w:trPr>
        <w:tc>
          <w:tcPr>
            <w:cnfStyle w:val="001000000000" w:firstRow="0" w:lastRow="0" w:firstColumn="1" w:lastColumn="0" w:oddVBand="0" w:evenVBand="0" w:oddHBand="0" w:evenHBand="0" w:firstRowFirstColumn="0" w:firstRowLastColumn="0" w:lastRowFirstColumn="0" w:lastRowLastColumn="0"/>
            <w:tcW w:w="4842" w:type="dxa"/>
          </w:tcPr>
          <w:p w14:paraId="6BA8030A" w14:textId="77777777" w:rsidR="00291145" w:rsidRPr="004C730F" w:rsidRDefault="00291145" w:rsidP="00CA1865">
            <w:pPr>
              <w:rPr>
                <w:rFonts w:eastAsiaTheme="minorHAnsi" w:cs="Calibri"/>
                <w:b w:val="0"/>
                <w:color w:val="4E5758"/>
                <w:sz w:val="20"/>
                <w:szCs w:val="22"/>
              </w:rPr>
            </w:pPr>
            <w:r w:rsidRPr="004C730F">
              <w:rPr>
                <w:rFonts w:eastAsiaTheme="minorHAnsi" w:cs="Calibri"/>
                <w:b w:val="0"/>
                <w:color w:val="4E5758"/>
                <w:sz w:val="20"/>
                <w:szCs w:val="22"/>
              </w:rPr>
              <w:t>Additional allocation/student with a disability</w:t>
            </w:r>
          </w:p>
        </w:tc>
        <w:tc>
          <w:tcPr>
            <w:tcW w:w="3068" w:type="dxa"/>
          </w:tcPr>
          <w:p w14:paraId="278978CA"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50 x $1,500</w:t>
            </w:r>
          </w:p>
        </w:tc>
        <w:tc>
          <w:tcPr>
            <w:tcW w:w="2899" w:type="dxa"/>
          </w:tcPr>
          <w:p w14:paraId="5FEBB56C"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sidRPr="004C730F">
              <w:rPr>
                <w:rFonts w:eastAsiaTheme="minorHAnsi" w:cs="Calibri"/>
                <w:color w:val="4E5758"/>
                <w:sz w:val="20"/>
                <w:szCs w:val="22"/>
              </w:rPr>
              <w:t>$75,000</w:t>
            </w:r>
          </w:p>
        </w:tc>
      </w:tr>
      <w:tr w:rsidR="00291145" w:rsidRPr="004C730F" w14:paraId="6B9094E8" w14:textId="77777777" w:rsidTr="003F78A4">
        <w:trPr>
          <w:trHeight w:val="342"/>
        </w:trPr>
        <w:tc>
          <w:tcPr>
            <w:cnfStyle w:val="001000000000" w:firstRow="0" w:lastRow="0" w:firstColumn="1" w:lastColumn="0" w:oddVBand="0" w:evenVBand="0" w:oddHBand="0" w:evenHBand="0" w:firstRowFirstColumn="0" w:firstRowLastColumn="0" w:lastRowFirstColumn="0" w:lastRowLastColumn="0"/>
            <w:tcW w:w="4842" w:type="dxa"/>
          </w:tcPr>
          <w:p w14:paraId="26199041" w14:textId="77777777" w:rsidR="00291145" w:rsidRPr="004C730F" w:rsidRDefault="00291145" w:rsidP="00CA1865">
            <w:pPr>
              <w:rPr>
                <w:rFonts w:eastAsiaTheme="minorHAnsi" w:cs="Calibri"/>
                <w:b w:val="0"/>
                <w:color w:val="4E5758"/>
                <w:sz w:val="20"/>
                <w:szCs w:val="22"/>
              </w:rPr>
            </w:pPr>
          </w:p>
        </w:tc>
        <w:tc>
          <w:tcPr>
            <w:tcW w:w="3068" w:type="dxa"/>
          </w:tcPr>
          <w:p w14:paraId="3DBFD2EC"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p>
        </w:tc>
        <w:tc>
          <w:tcPr>
            <w:tcW w:w="2899" w:type="dxa"/>
            <w:shd w:val="clear" w:color="auto" w:fill="E8F3FA" w:themeFill="text2" w:themeFillTint="33"/>
          </w:tcPr>
          <w:p w14:paraId="030B8240" w14:textId="77777777" w:rsidR="00291145" w:rsidRPr="004C730F" w:rsidRDefault="00291145" w:rsidP="00CA1865">
            <w:pPr>
              <w:jc w:val="right"/>
              <w:cnfStyle w:val="000000000000" w:firstRow="0" w:lastRow="0" w:firstColumn="0" w:lastColumn="0" w:oddVBand="0" w:evenVBand="0" w:oddHBand="0" w:evenHBand="0" w:firstRowFirstColumn="0" w:firstRowLastColumn="0" w:lastRowFirstColumn="0" w:lastRowLastColumn="0"/>
              <w:rPr>
                <w:rFonts w:eastAsiaTheme="minorHAnsi" w:cs="Calibri"/>
                <w:b/>
                <w:color w:val="4E5758"/>
                <w:sz w:val="20"/>
                <w:szCs w:val="22"/>
              </w:rPr>
            </w:pPr>
            <w:r w:rsidRPr="004C730F">
              <w:rPr>
                <w:rFonts w:eastAsiaTheme="minorHAnsi" w:cs="Calibri"/>
                <w:b/>
                <w:color w:val="4E5758"/>
                <w:sz w:val="20"/>
                <w:szCs w:val="22"/>
              </w:rPr>
              <w:t>$3,</w:t>
            </w:r>
            <w:r>
              <w:rPr>
                <w:rFonts w:eastAsiaTheme="minorHAnsi" w:cs="Calibri"/>
                <w:b/>
                <w:color w:val="4E5758"/>
                <w:sz w:val="20"/>
                <w:szCs w:val="22"/>
              </w:rPr>
              <w:t>640</w:t>
            </w:r>
            <w:r w:rsidRPr="004C730F">
              <w:rPr>
                <w:rFonts w:eastAsiaTheme="minorHAnsi" w:cs="Calibri"/>
                <w:b/>
                <w:color w:val="4E5758"/>
                <w:sz w:val="20"/>
                <w:szCs w:val="22"/>
              </w:rPr>
              <w:t>,000</w:t>
            </w:r>
          </w:p>
        </w:tc>
      </w:tr>
    </w:tbl>
    <w:p w14:paraId="24AD8950" w14:textId="77777777" w:rsidR="00291145" w:rsidRPr="004C730F" w:rsidRDefault="00291145" w:rsidP="00291145">
      <w:pPr>
        <w:rPr>
          <w:rFonts w:eastAsiaTheme="minorHAnsi" w:cs="Calibri"/>
          <w:color w:val="4E5758"/>
          <w:sz w:val="20"/>
          <w:szCs w:val="22"/>
        </w:rPr>
      </w:pPr>
      <w:r w:rsidRPr="004C730F">
        <w:rPr>
          <w:rFonts w:eastAsiaTheme="minorHAnsi" w:cs="Calibri"/>
          <w:color w:val="4E5758"/>
          <w:sz w:val="20"/>
          <w:szCs w:val="22"/>
        </w:rPr>
        <w:t>In this example, the LEA must distribute non-Federal resources according to the assumptions above to all of its schools, regardless of whether a school receives Title I</w:t>
      </w:r>
      <w:r>
        <w:rPr>
          <w:rFonts w:eastAsiaTheme="minorHAnsi" w:cs="Calibri"/>
          <w:color w:val="4E5758"/>
          <w:sz w:val="20"/>
          <w:szCs w:val="22"/>
        </w:rPr>
        <w:t>, Part A</w:t>
      </w:r>
      <w:r w:rsidRPr="004C730F">
        <w:rPr>
          <w:rFonts w:eastAsiaTheme="minorHAnsi" w:cs="Calibri"/>
          <w:color w:val="4E5758"/>
          <w:sz w:val="20"/>
          <w:szCs w:val="22"/>
        </w:rPr>
        <w:t xml:space="preserve"> funds.  However, actual expenditures within each school after the distribution of resources may vary.</w:t>
      </w:r>
    </w:p>
    <w:p w14:paraId="30798460" w14:textId="77777777" w:rsidR="00E8452B" w:rsidRPr="004C730F" w:rsidRDefault="00E8452B" w:rsidP="00E8452B">
      <w:pPr>
        <w:rPr>
          <w:rFonts w:eastAsiaTheme="minorHAnsi" w:cs="Calibri"/>
          <w:b/>
          <w:color w:val="4E5758"/>
          <w:sz w:val="20"/>
          <w:szCs w:val="22"/>
        </w:rPr>
      </w:pPr>
      <w:r>
        <w:rPr>
          <w:rFonts w:eastAsiaTheme="minorHAnsi" w:cs="Calibri"/>
          <w:b/>
          <w:color w:val="4E5758"/>
          <w:sz w:val="20"/>
          <w:szCs w:val="22"/>
        </w:rPr>
        <w:t xml:space="preserve">Example </w:t>
      </w:r>
      <w:r w:rsidR="00291145">
        <w:rPr>
          <w:rFonts w:eastAsiaTheme="minorHAnsi" w:cs="Calibri"/>
          <w:b/>
          <w:color w:val="4E5758"/>
          <w:sz w:val="20"/>
          <w:szCs w:val="22"/>
        </w:rPr>
        <w:t>4</w:t>
      </w:r>
      <w:r>
        <w:rPr>
          <w:rFonts w:eastAsiaTheme="minorHAnsi" w:cs="Calibri"/>
          <w:b/>
          <w:color w:val="4E5758"/>
          <w:sz w:val="20"/>
          <w:szCs w:val="22"/>
        </w:rPr>
        <w:t>: Other, as Adopted by the LEA</w:t>
      </w:r>
    </w:p>
    <w:p w14:paraId="40D82733" w14:textId="77777777" w:rsidR="0098790E" w:rsidRPr="0098790E" w:rsidRDefault="00E8452B" w:rsidP="0098790E">
      <w:pPr>
        <w:rPr>
          <w:rFonts w:eastAsiaTheme="minorHAnsi" w:cs="Calibri"/>
          <w:color w:val="4E5758"/>
          <w:sz w:val="20"/>
          <w:szCs w:val="22"/>
        </w:rPr>
      </w:pPr>
      <w:r w:rsidRPr="004C730F">
        <w:rPr>
          <w:rFonts w:eastAsiaTheme="minorHAnsi" w:cs="Calibri"/>
          <w:color w:val="4E5758"/>
          <w:sz w:val="20"/>
          <w:szCs w:val="22"/>
        </w:rPr>
        <w:lastRenderedPageBreak/>
        <w:t xml:space="preserve">This form of equitable distribution </w:t>
      </w:r>
      <w:r>
        <w:rPr>
          <w:rFonts w:eastAsiaTheme="minorHAnsi" w:cs="Calibri"/>
          <w:color w:val="4E5758"/>
          <w:sz w:val="20"/>
          <w:szCs w:val="22"/>
        </w:rPr>
        <w:t xml:space="preserve">does not necessarily fit within the parameters provided in the other </w:t>
      </w:r>
      <w:r w:rsidR="00507F8B">
        <w:rPr>
          <w:rFonts w:eastAsiaTheme="minorHAnsi" w:cs="Calibri"/>
          <w:color w:val="4E5758"/>
          <w:sz w:val="20"/>
          <w:szCs w:val="22"/>
        </w:rPr>
        <w:t>three</w:t>
      </w:r>
      <w:r>
        <w:rPr>
          <w:rFonts w:eastAsiaTheme="minorHAnsi" w:cs="Calibri"/>
          <w:color w:val="4E5758"/>
          <w:sz w:val="20"/>
          <w:szCs w:val="22"/>
        </w:rPr>
        <w:t xml:space="preserve"> examples; however, the LEA assures that this methodology is neutral in regard to the Title I</w:t>
      </w:r>
      <w:r w:rsidR="00080280">
        <w:rPr>
          <w:rFonts w:eastAsiaTheme="minorHAnsi" w:cs="Calibri"/>
          <w:color w:val="4E5758"/>
          <w:sz w:val="20"/>
          <w:szCs w:val="22"/>
        </w:rPr>
        <w:t>, Part A</w:t>
      </w:r>
      <w:r>
        <w:rPr>
          <w:rFonts w:eastAsiaTheme="minorHAnsi" w:cs="Calibri"/>
          <w:color w:val="4E5758"/>
          <w:sz w:val="20"/>
          <w:szCs w:val="22"/>
        </w:rPr>
        <w:t xml:space="preserve"> status of each school.  The LEA has adopted this </w:t>
      </w:r>
      <w:r w:rsidR="00080280">
        <w:rPr>
          <w:rFonts w:eastAsiaTheme="minorHAnsi" w:cs="Calibri"/>
          <w:color w:val="4E5758"/>
          <w:sz w:val="20"/>
          <w:szCs w:val="22"/>
        </w:rPr>
        <w:t xml:space="preserve">methodology </w:t>
      </w:r>
      <w:r>
        <w:rPr>
          <w:rFonts w:eastAsiaTheme="minorHAnsi" w:cs="Calibri"/>
          <w:color w:val="4E5758"/>
          <w:sz w:val="20"/>
          <w:szCs w:val="22"/>
        </w:rPr>
        <w:t>and will provide a description during the demonstration process.</w:t>
      </w:r>
    </w:p>
    <w:p w14:paraId="3F649E94" w14:textId="77777777" w:rsidR="001D318A" w:rsidRPr="0098790E" w:rsidRDefault="001D318A" w:rsidP="001D318A">
      <w:pPr>
        <w:rPr>
          <w:rFonts w:eastAsiaTheme="minorHAnsi" w:cs="Calibri"/>
          <w:color w:val="4E5758"/>
          <w:sz w:val="20"/>
          <w:szCs w:val="22"/>
        </w:rPr>
      </w:pPr>
    </w:p>
    <w:p w14:paraId="12245F72" w14:textId="77777777" w:rsidR="00587144" w:rsidRPr="004C730F" w:rsidRDefault="008106E3" w:rsidP="00295BAF">
      <w:pPr>
        <w:pStyle w:val="Heading1"/>
      </w:pPr>
      <w:r w:rsidRPr="004C730F">
        <w:t>Demonstration</w:t>
      </w:r>
      <w:r w:rsidR="001D318A" w:rsidRPr="004C730F">
        <w:t xml:space="preserve"> Process</w:t>
      </w:r>
    </w:p>
    <w:p w14:paraId="186E5D6D" w14:textId="77777777" w:rsidR="00A43611" w:rsidRDefault="00A43611" w:rsidP="007B38CB">
      <w:pPr>
        <w:pStyle w:val="Body"/>
        <w:rPr>
          <w:sz w:val="20"/>
        </w:rPr>
      </w:pPr>
      <w:r>
        <w:rPr>
          <w:sz w:val="20"/>
        </w:rPr>
        <w:t>CDE is responsible for verifying that each LEA is in compliance with the demonstration requirements regarding SNS under the ESSA.  To ensure all LEAs in Colorado meet these requirements, each LEA will be required to submit the following:</w:t>
      </w:r>
    </w:p>
    <w:p w14:paraId="5D02DD3C" w14:textId="77777777" w:rsidR="00A43611" w:rsidRDefault="00A43611" w:rsidP="002B2A1E">
      <w:pPr>
        <w:pStyle w:val="Body"/>
        <w:numPr>
          <w:ilvl w:val="0"/>
          <w:numId w:val="16"/>
        </w:numPr>
        <w:spacing w:after="0"/>
        <w:rPr>
          <w:sz w:val="20"/>
        </w:rPr>
      </w:pPr>
      <w:r>
        <w:rPr>
          <w:sz w:val="20"/>
        </w:rPr>
        <w:t>An assurance stating the LEA is in compliance with the provisions of section 1118(b) of the ESSA;</w:t>
      </w:r>
    </w:p>
    <w:p w14:paraId="51EE414E" w14:textId="77777777" w:rsidR="00A43611" w:rsidRDefault="00A43611" w:rsidP="002B2A1E">
      <w:pPr>
        <w:pStyle w:val="Body"/>
        <w:numPr>
          <w:ilvl w:val="0"/>
          <w:numId w:val="16"/>
        </w:numPr>
        <w:spacing w:after="0"/>
        <w:rPr>
          <w:sz w:val="20"/>
        </w:rPr>
      </w:pPr>
      <w:r>
        <w:rPr>
          <w:sz w:val="20"/>
        </w:rPr>
        <w:t>An indication of the type of methodology the LEA has adopted and is implementing in regard to the allocation of State and local (non-Federal) funds to all schools; and,</w:t>
      </w:r>
    </w:p>
    <w:p w14:paraId="3C4C2680" w14:textId="77777777" w:rsidR="00A43611" w:rsidRDefault="00A43611" w:rsidP="002B2A1E">
      <w:pPr>
        <w:pStyle w:val="Body"/>
        <w:numPr>
          <w:ilvl w:val="0"/>
          <w:numId w:val="16"/>
        </w:numPr>
        <w:spacing w:after="0"/>
        <w:rPr>
          <w:sz w:val="20"/>
        </w:rPr>
      </w:pPr>
      <w:r>
        <w:rPr>
          <w:sz w:val="20"/>
        </w:rPr>
        <w:t xml:space="preserve">A narrative description of the methodology </w:t>
      </w:r>
      <w:r>
        <w:rPr>
          <w:i/>
          <w:sz w:val="20"/>
        </w:rPr>
        <w:t>or</w:t>
      </w:r>
      <w:r>
        <w:rPr>
          <w:sz w:val="20"/>
        </w:rPr>
        <w:t xml:space="preserve"> a reference to the LEA’s Financial Transparency document in which the methodology is described.</w:t>
      </w:r>
    </w:p>
    <w:p w14:paraId="506DDC2F" w14:textId="77777777" w:rsidR="002B2A1E" w:rsidRDefault="002B2A1E" w:rsidP="002B2A1E">
      <w:pPr>
        <w:pStyle w:val="Body"/>
        <w:spacing w:after="0"/>
        <w:ind w:left="360"/>
        <w:rPr>
          <w:sz w:val="20"/>
        </w:rPr>
      </w:pPr>
    </w:p>
    <w:p w14:paraId="21A4CF31" w14:textId="77777777" w:rsidR="00C74E47" w:rsidRDefault="00C74E47" w:rsidP="007B38CB">
      <w:pPr>
        <w:pStyle w:val="Body"/>
        <w:rPr>
          <w:b/>
          <w:sz w:val="20"/>
        </w:rPr>
      </w:pPr>
      <w:r>
        <w:rPr>
          <w:sz w:val="20"/>
        </w:rPr>
        <w:t>The LEA is required to provide the demonstration requ</w:t>
      </w:r>
      <w:r w:rsidR="0090312E">
        <w:rPr>
          <w:sz w:val="20"/>
        </w:rPr>
        <w:t xml:space="preserve">irements to CDE one time for the duration of the Title I, Part A program under the ESSA, unless the LEA adopts or implements a revised methodology for allocating State and local (non-Federal) resources.  </w:t>
      </w:r>
      <w:r w:rsidR="009D184D">
        <w:rPr>
          <w:sz w:val="20"/>
        </w:rPr>
        <w:t xml:space="preserve">In other words, the LEA must only demonstrate its methodology for allocating State and local (non-Federal) resources </w:t>
      </w:r>
      <w:r w:rsidR="002B2A1E">
        <w:rPr>
          <w:sz w:val="20"/>
        </w:rPr>
        <w:t>once</w:t>
      </w:r>
      <w:r w:rsidR="009D184D">
        <w:rPr>
          <w:sz w:val="20"/>
        </w:rPr>
        <w:t xml:space="preserve">, unless and until Congress reauthorizes the Elementary and Secondary Education Act, so long as no substantive changes are made to the LEA’s methodology. </w:t>
      </w:r>
      <w:r w:rsidR="0090312E" w:rsidRPr="0090312E">
        <w:rPr>
          <w:b/>
          <w:sz w:val="20"/>
        </w:rPr>
        <w:t>Upon adoption or implementation of a revised methodology, it is incumbent upon the LEA to provide an updated demonstration of compliance form to the Office of ESEA Programs within the Colorado Department of Education.</w:t>
      </w:r>
    </w:p>
    <w:p w14:paraId="4AAD55A7" w14:textId="77777777" w:rsidR="007E2BFF" w:rsidRPr="007E2BFF" w:rsidRDefault="007E2BFF" w:rsidP="007B38CB">
      <w:pPr>
        <w:pStyle w:val="Body"/>
        <w:rPr>
          <w:sz w:val="20"/>
        </w:rPr>
      </w:pPr>
      <w:r>
        <w:rPr>
          <w:b/>
          <w:sz w:val="20"/>
        </w:rPr>
        <w:t>LEAs that have a single school code</w:t>
      </w:r>
      <w:r w:rsidR="003A4EAB">
        <w:rPr>
          <w:b/>
          <w:sz w:val="20"/>
        </w:rPr>
        <w:t xml:space="preserve"> </w:t>
      </w:r>
      <w:r w:rsidR="003A4EAB" w:rsidRPr="0020551C">
        <w:rPr>
          <w:b/>
          <w:sz w:val="20"/>
        </w:rPr>
        <w:t>(</w:t>
      </w:r>
      <w:r w:rsidR="00633CC3" w:rsidRPr="0020551C">
        <w:rPr>
          <w:b/>
          <w:sz w:val="20"/>
        </w:rPr>
        <w:t xml:space="preserve">i.e. </w:t>
      </w:r>
      <w:r w:rsidR="003A4EAB" w:rsidRPr="0020551C">
        <w:rPr>
          <w:b/>
          <w:sz w:val="20"/>
        </w:rPr>
        <w:t>E</w:t>
      </w:r>
      <w:r w:rsidR="00633CC3" w:rsidRPr="0020551C">
        <w:rPr>
          <w:b/>
          <w:sz w:val="20"/>
        </w:rPr>
        <w:t xml:space="preserve">lementary, </w:t>
      </w:r>
      <w:r w:rsidR="003A4EAB" w:rsidRPr="0020551C">
        <w:rPr>
          <w:b/>
          <w:sz w:val="20"/>
        </w:rPr>
        <w:t>M</w:t>
      </w:r>
      <w:r w:rsidR="00633CC3" w:rsidRPr="0020551C">
        <w:rPr>
          <w:b/>
          <w:sz w:val="20"/>
        </w:rPr>
        <w:t xml:space="preserve">iddle and </w:t>
      </w:r>
      <w:r w:rsidR="003A4EAB" w:rsidRPr="0020551C">
        <w:rPr>
          <w:b/>
          <w:sz w:val="20"/>
        </w:rPr>
        <w:t>H</w:t>
      </w:r>
      <w:r w:rsidR="00633CC3" w:rsidRPr="0020551C">
        <w:rPr>
          <w:b/>
          <w:sz w:val="20"/>
        </w:rPr>
        <w:t>igh School</w:t>
      </w:r>
      <w:r w:rsidR="003A4EAB" w:rsidRPr="0020551C">
        <w:rPr>
          <w:b/>
          <w:sz w:val="20"/>
        </w:rPr>
        <w:t xml:space="preserve"> levels all have the same school code)</w:t>
      </w:r>
      <w:r w:rsidR="00E311AE" w:rsidRPr="0020551C">
        <w:rPr>
          <w:b/>
          <w:sz w:val="20"/>
        </w:rPr>
        <w:t xml:space="preserve"> are r</w:t>
      </w:r>
      <w:r w:rsidR="00E311AE">
        <w:rPr>
          <w:b/>
          <w:sz w:val="20"/>
        </w:rPr>
        <w:t xml:space="preserve">equired to submit an assurance, but need not provide additional </w:t>
      </w:r>
      <w:r>
        <w:rPr>
          <w:b/>
          <w:sz w:val="20"/>
        </w:rPr>
        <w:t xml:space="preserve">demonstration requirements.  </w:t>
      </w:r>
      <w:r>
        <w:rPr>
          <w:sz w:val="20"/>
        </w:rPr>
        <w:t>These LEAs should select the appropriate box on the demonstration template and return it to CDE.</w:t>
      </w:r>
    </w:p>
    <w:p w14:paraId="76BBD31D" w14:textId="77777777" w:rsidR="002F6C0D" w:rsidRPr="004C730F" w:rsidRDefault="008106E3" w:rsidP="00295BAF">
      <w:pPr>
        <w:pStyle w:val="Heading1"/>
      </w:pPr>
      <w:r w:rsidRPr="004C730F">
        <w:t>Timeline</w:t>
      </w:r>
    </w:p>
    <w:p w14:paraId="1E9EEB82" w14:textId="77777777" w:rsidR="00550EAF" w:rsidRPr="004C730F" w:rsidRDefault="00550EAF" w:rsidP="00960C4E">
      <w:pPr>
        <w:pStyle w:val="Body"/>
        <w:rPr>
          <w:sz w:val="20"/>
        </w:rPr>
      </w:pPr>
      <w:r w:rsidRPr="004C730F">
        <w:rPr>
          <w:sz w:val="20"/>
        </w:rPr>
        <w:t>The ESSA requires LEAs be in compliance with the SNS requirements by December 10, 2017.  CDE has implemented the following timeline with regard to the SNS requirements:</w:t>
      </w:r>
    </w:p>
    <w:p w14:paraId="51BDAA53" w14:textId="77777777" w:rsidR="00550EAF" w:rsidRPr="004C730F" w:rsidRDefault="00550EAF" w:rsidP="002B2A1E">
      <w:pPr>
        <w:pStyle w:val="Body"/>
        <w:numPr>
          <w:ilvl w:val="0"/>
          <w:numId w:val="12"/>
        </w:numPr>
        <w:spacing w:after="0"/>
        <w:rPr>
          <w:sz w:val="20"/>
        </w:rPr>
      </w:pPr>
      <w:r w:rsidRPr="004C730F">
        <w:rPr>
          <w:sz w:val="20"/>
        </w:rPr>
        <w:t>LEAs demonstrate</w:t>
      </w:r>
      <w:r w:rsidR="004904CB">
        <w:rPr>
          <w:sz w:val="20"/>
        </w:rPr>
        <w:t>d</w:t>
      </w:r>
      <w:r w:rsidRPr="004C730F">
        <w:rPr>
          <w:sz w:val="20"/>
        </w:rPr>
        <w:t xml:space="preserve"> compliance with the SNS requirements by May 30, 2018 through the demonstration process outlined above</w:t>
      </w:r>
    </w:p>
    <w:p w14:paraId="743C12A8" w14:textId="77777777" w:rsidR="00550EAF" w:rsidRDefault="00550EAF" w:rsidP="002B2A1E">
      <w:pPr>
        <w:pStyle w:val="Body"/>
        <w:numPr>
          <w:ilvl w:val="0"/>
          <w:numId w:val="12"/>
        </w:numPr>
        <w:spacing w:after="0"/>
        <w:rPr>
          <w:sz w:val="20"/>
        </w:rPr>
      </w:pPr>
      <w:r w:rsidRPr="004C730F">
        <w:rPr>
          <w:sz w:val="20"/>
        </w:rPr>
        <w:t xml:space="preserve">LEAs that are unable to meet the demonstration requirements through the process outlined above </w:t>
      </w:r>
      <w:r w:rsidR="004904CB">
        <w:rPr>
          <w:sz w:val="20"/>
        </w:rPr>
        <w:t xml:space="preserve">must resubmit their form prior to or during the intake process for the 2019-20 Consolidated </w:t>
      </w:r>
      <w:r w:rsidR="007D5347">
        <w:rPr>
          <w:sz w:val="20"/>
        </w:rPr>
        <w:t>A</w:t>
      </w:r>
      <w:r w:rsidR="004904CB">
        <w:rPr>
          <w:sz w:val="20"/>
        </w:rPr>
        <w:t>pplication</w:t>
      </w:r>
      <w:r w:rsidR="007D5347">
        <w:rPr>
          <w:sz w:val="20"/>
        </w:rPr>
        <w:t xml:space="preserve"> year</w:t>
      </w:r>
    </w:p>
    <w:p w14:paraId="3FA4B570" w14:textId="77777777" w:rsidR="004904CB" w:rsidRDefault="004904CB" w:rsidP="002B2A1E">
      <w:pPr>
        <w:pStyle w:val="Body"/>
        <w:numPr>
          <w:ilvl w:val="0"/>
          <w:numId w:val="12"/>
        </w:numPr>
        <w:spacing w:after="0"/>
        <w:rPr>
          <w:sz w:val="20"/>
        </w:rPr>
      </w:pPr>
      <w:r>
        <w:rPr>
          <w:sz w:val="20"/>
        </w:rPr>
        <w:t>Approval of the SNS demonstration methodology is required for LEAs to access funds</w:t>
      </w:r>
    </w:p>
    <w:p w14:paraId="2CD14DA6" w14:textId="77777777" w:rsidR="002B2A1E" w:rsidRPr="004C730F" w:rsidRDefault="002B2A1E" w:rsidP="002B2A1E">
      <w:pPr>
        <w:pStyle w:val="Body"/>
        <w:spacing w:after="0"/>
        <w:ind w:left="360"/>
        <w:rPr>
          <w:sz w:val="20"/>
        </w:rPr>
      </w:pPr>
    </w:p>
    <w:p w14:paraId="749CA97A" w14:textId="77777777" w:rsidR="00A1688D" w:rsidRDefault="00C424DF" w:rsidP="00960C4E">
      <w:pPr>
        <w:pStyle w:val="Body"/>
        <w:rPr>
          <w:b/>
          <w:sz w:val="20"/>
        </w:rPr>
      </w:pPr>
      <w:r w:rsidRPr="00A1688D">
        <w:rPr>
          <w:b/>
          <w:sz w:val="20"/>
        </w:rPr>
        <w:t>The LEA will not receive substantial approval until CDE is able to verify the information provided upon receiving the LEA’s demonstration.</w:t>
      </w:r>
      <w:r w:rsidR="00A1688D">
        <w:rPr>
          <w:b/>
          <w:sz w:val="20"/>
        </w:rPr>
        <w:t xml:space="preserve">  </w:t>
      </w:r>
    </w:p>
    <w:p w14:paraId="391E94CC" w14:textId="77777777" w:rsidR="004904CB" w:rsidRPr="004C730F" w:rsidRDefault="004904CB" w:rsidP="004904CB">
      <w:pPr>
        <w:pStyle w:val="Heading1"/>
      </w:pPr>
      <w:r>
        <w:t>Change in Approved Methodology</w:t>
      </w:r>
    </w:p>
    <w:p w14:paraId="653F2A1A" w14:textId="77777777" w:rsidR="007D5347" w:rsidRPr="007D5347" w:rsidRDefault="007D5347" w:rsidP="007D5347">
      <w:pPr>
        <w:pStyle w:val="Body"/>
        <w:rPr>
          <w:b/>
          <w:sz w:val="20"/>
        </w:rPr>
      </w:pPr>
      <w:r w:rsidRPr="007D5347">
        <w:rPr>
          <w:sz w:val="20"/>
        </w:rPr>
        <w:t xml:space="preserve">The LEA is required to provide the demonstration requirements to CDE one time for the duration of the Title I, Part A program under the ESSA, unless the LEA adopts or implements a revised methodology for allocating State and local (non-Federal) resources.  </w:t>
      </w:r>
      <w:r w:rsidRPr="007D5347">
        <w:rPr>
          <w:b/>
          <w:sz w:val="20"/>
        </w:rPr>
        <w:t>Upon adoption or implementation of a revised methodology, it is incumbent upon the LEA to provide an updated demonstration of compliance form to the Office of ESEA Programs within the Colorado Department of Education.</w:t>
      </w:r>
    </w:p>
    <w:p w14:paraId="433F1909" w14:textId="77777777" w:rsidR="007E2BFF" w:rsidRPr="00025E6D" w:rsidRDefault="007E2BFF" w:rsidP="00295BAF">
      <w:pPr>
        <w:pStyle w:val="Heading1"/>
      </w:pPr>
      <w:r>
        <w:t>Comparability and Supplement, Not Supplant</w:t>
      </w:r>
    </w:p>
    <w:p w14:paraId="66B05631" w14:textId="77777777" w:rsidR="007E2BFF" w:rsidRPr="001E4FE2" w:rsidRDefault="007E2BFF" w:rsidP="007E2BFF">
      <w:pPr>
        <w:rPr>
          <w:rFonts w:eastAsiaTheme="minorHAnsi" w:cs="Calibri"/>
          <w:color w:val="4E5758"/>
          <w:sz w:val="20"/>
          <w:szCs w:val="22"/>
        </w:rPr>
      </w:pPr>
      <w:r w:rsidRPr="001E4FE2">
        <w:rPr>
          <w:rFonts w:eastAsiaTheme="minorHAnsi" w:cs="Calibri"/>
          <w:color w:val="4E5758"/>
          <w:sz w:val="20"/>
          <w:szCs w:val="22"/>
        </w:rPr>
        <w:t>While comparability and supplement, not supplant requirements both examine how the LEA distributes State and local funds and/or resources to schools, they are separate tests and are intended to measure different aspects of the supplemental nature of Title I, Part A funds.  As such, the demonstration requirements for comparability may not be used to meet the demonstration requirements for supplement, not supplant, or conversely.  The following examples provide scenarios where LEAs may satisfy the requirements of one while violating the requirements of the other.</w:t>
      </w:r>
    </w:p>
    <w:p w14:paraId="15E79389" w14:textId="77777777" w:rsidR="007E2BFF" w:rsidRPr="001E4FE2" w:rsidRDefault="007E2BFF" w:rsidP="007E2BFF">
      <w:pPr>
        <w:rPr>
          <w:rFonts w:eastAsiaTheme="minorHAnsi" w:cs="Calibri"/>
          <w:color w:val="4E5758"/>
          <w:sz w:val="20"/>
          <w:szCs w:val="22"/>
        </w:rPr>
      </w:pPr>
    </w:p>
    <w:p w14:paraId="70139A4D" w14:textId="77777777" w:rsidR="007E2BFF" w:rsidRPr="001E4FE2" w:rsidRDefault="007E2BFF" w:rsidP="007E2BFF">
      <w:pPr>
        <w:rPr>
          <w:rFonts w:eastAsiaTheme="minorHAnsi" w:cs="Calibri"/>
          <w:b/>
          <w:color w:val="4E5758"/>
          <w:sz w:val="20"/>
          <w:szCs w:val="22"/>
        </w:rPr>
      </w:pPr>
      <w:r w:rsidRPr="001E4FE2">
        <w:rPr>
          <w:rFonts w:eastAsiaTheme="minorHAnsi" w:cs="Calibri"/>
          <w:b/>
          <w:color w:val="4E5758"/>
          <w:sz w:val="20"/>
          <w:szCs w:val="22"/>
        </w:rPr>
        <w:t>Example 1:  Supplement, Not Supplant compliance is met, but Comparability is violated</w:t>
      </w:r>
    </w:p>
    <w:p w14:paraId="3B136A45" w14:textId="77777777" w:rsidR="007E2BFF" w:rsidRPr="001E4FE2" w:rsidRDefault="007E2BFF" w:rsidP="007E2BFF">
      <w:pPr>
        <w:rPr>
          <w:rFonts w:eastAsiaTheme="minorHAnsi" w:cs="Calibri"/>
          <w:color w:val="4E5758"/>
          <w:sz w:val="20"/>
          <w:szCs w:val="22"/>
        </w:rPr>
      </w:pPr>
      <w:r w:rsidRPr="001E4FE2">
        <w:rPr>
          <w:rFonts w:eastAsiaTheme="minorHAnsi" w:cs="Calibri"/>
          <w:color w:val="4E5758"/>
          <w:sz w:val="20"/>
          <w:szCs w:val="22"/>
        </w:rPr>
        <w:t>The LEA demonstrates compliance with supplement, not supplant because it can demonstrate that it did not consider the Title I status of schools when distributing State and local funds to schools, however the LEA does not satisfy comparability requirements because the LEA’s non-Title I schools have lower student/instructional staff ratios than its Title I schools.</w:t>
      </w:r>
    </w:p>
    <w:p w14:paraId="72E09AED" w14:textId="77777777" w:rsidR="007E2BFF" w:rsidRPr="001E4FE2" w:rsidRDefault="007E2BFF" w:rsidP="007E2BFF">
      <w:pPr>
        <w:rPr>
          <w:rFonts w:eastAsiaTheme="minorHAnsi" w:cs="Calibri"/>
          <w:color w:val="4E5758"/>
          <w:sz w:val="20"/>
          <w:szCs w:val="22"/>
        </w:rPr>
      </w:pPr>
    </w:p>
    <w:p w14:paraId="2DA46957" w14:textId="77777777" w:rsidR="007E2BFF" w:rsidRPr="001E4FE2" w:rsidRDefault="007E2BFF" w:rsidP="007E2BFF">
      <w:pPr>
        <w:rPr>
          <w:rFonts w:eastAsiaTheme="minorHAnsi" w:cs="Calibri"/>
          <w:b/>
          <w:color w:val="4E5758"/>
          <w:sz w:val="20"/>
          <w:szCs w:val="22"/>
        </w:rPr>
      </w:pPr>
      <w:r w:rsidRPr="001E4FE2">
        <w:rPr>
          <w:rFonts w:eastAsiaTheme="minorHAnsi" w:cs="Calibri"/>
          <w:b/>
          <w:color w:val="4E5758"/>
          <w:sz w:val="20"/>
          <w:szCs w:val="22"/>
        </w:rPr>
        <w:t>Example 2:  Comparability compliance is met, but Supplement, Not Supplant is violated</w:t>
      </w:r>
    </w:p>
    <w:p w14:paraId="1769F02C" w14:textId="77777777" w:rsidR="007E2BFF" w:rsidRDefault="007E2BFF" w:rsidP="007E2BFF">
      <w:pPr>
        <w:rPr>
          <w:rFonts w:eastAsiaTheme="minorHAnsi" w:cs="Calibri"/>
          <w:color w:val="4E5758"/>
          <w:sz w:val="20"/>
          <w:szCs w:val="22"/>
        </w:rPr>
      </w:pPr>
      <w:r w:rsidRPr="001E4FE2">
        <w:rPr>
          <w:rFonts w:eastAsiaTheme="minorHAnsi" w:cs="Calibri"/>
          <w:color w:val="4E5758"/>
          <w:sz w:val="20"/>
          <w:szCs w:val="22"/>
        </w:rPr>
        <w:t>The LEA demonstrates compliance with comparability through student/instructional staff ratios, however the LEA does not satisfy supplement, not supplant requirements because additional State/local funding is provided to non-Title I schools for technology purchases but not to Title I schools because the LEA expects the Title I school to pay for those technology purchases with Title I, Part A funds.</w:t>
      </w:r>
    </w:p>
    <w:p w14:paraId="562F78FD" w14:textId="77777777" w:rsidR="002F6C0D" w:rsidRPr="004C730F" w:rsidRDefault="008106E3" w:rsidP="00295BAF">
      <w:pPr>
        <w:pStyle w:val="Heading1"/>
      </w:pPr>
      <w:r w:rsidRPr="004C730F">
        <w:t>Questions</w:t>
      </w:r>
    </w:p>
    <w:p w14:paraId="764153CE" w14:textId="77777777" w:rsidR="00AE7E7C" w:rsidRDefault="003F5022" w:rsidP="008106E3">
      <w:pPr>
        <w:pStyle w:val="Body"/>
        <w:rPr>
          <w:sz w:val="20"/>
        </w:rPr>
      </w:pPr>
      <w:r>
        <w:rPr>
          <w:sz w:val="20"/>
        </w:rPr>
        <w:t>Questions regarding compliance with the supplement, not supplant demonstration requirement may be directed to the following CDE staff:</w:t>
      </w:r>
    </w:p>
    <w:p w14:paraId="4338F421" w14:textId="77777777" w:rsidR="003F5022" w:rsidRDefault="003F5022" w:rsidP="00291145">
      <w:pPr>
        <w:pStyle w:val="Body"/>
        <w:numPr>
          <w:ilvl w:val="0"/>
          <w:numId w:val="17"/>
        </w:numPr>
        <w:spacing w:after="0"/>
        <w:rPr>
          <w:sz w:val="20"/>
        </w:rPr>
      </w:pPr>
      <w:r>
        <w:rPr>
          <w:sz w:val="20"/>
        </w:rPr>
        <w:t>Questions related to the demonstration requirements, process, or timeline:</w:t>
      </w:r>
      <w:r>
        <w:rPr>
          <w:sz w:val="20"/>
        </w:rPr>
        <w:tab/>
      </w:r>
      <w:r>
        <w:rPr>
          <w:sz w:val="20"/>
        </w:rPr>
        <w:tab/>
      </w:r>
    </w:p>
    <w:p w14:paraId="7AFA7E36" w14:textId="77777777" w:rsidR="003F5022" w:rsidRDefault="00E64794" w:rsidP="00291145">
      <w:pPr>
        <w:pStyle w:val="Body"/>
        <w:spacing w:after="0"/>
        <w:ind w:left="360" w:firstLine="360"/>
        <w:contextualSpacing/>
        <w:rPr>
          <w:sz w:val="20"/>
        </w:rPr>
      </w:pPr>
      <w:r>
        <w:rPr>
          <w:sz w:val="20"/>
        </w:rPr>
        <w:t>Barbara Vassis</w:t>
      </w:r>
    </w:p>
    <w:p w14:paraId="76C8D0DB" w14:textId="77777777" w:rsidR="003F5022" w:rsidRDefault="003F5022" w:rsidP="00291145">
      <w:pPr>
        <w:pStyle w:val="Body"/>
        <w:spacing w:after="0"/>
        <w:ind w:left="360" w:firstLine="360"/>
        <w:contextualSpacing/>
        <w:rPr>
          <w:sz w:val="20"/>
        </w:rPr>
      </w:pPr>
      <w:r>
        <w:rPr>
          <w:sz w:val="20"/>
        </w:rPr>
        <w:t>Office of ESEA Programs</w:t>
      </w:r>
    </w:p>
    <w:p w14:paraId="1101497D" w14:textId="77777777" w:rsidR="003F5022" w:rsidRDefault="003F5022" w:rsidP="00291145">
      <w:pPr>
        <w:pStyle w:val="Body"/>
        <w:spacing w:after="0"/>
        <w:ind w:left="360" w:firstLine="360"/>
        <w:contextualSpacing/>
        <w:rPr>
          <w:sz w:val="20"/>
        </w:rPr>
      </w:pPr>
      <w:r>
        <w:rPr>
          <w:sz w:val="20"/>
        </w:rPr>
        <w:t>Federal Programs Unit</w:t>
      </w:r>
    </w:p>
    <w:p w14:paraId="796CF17C" w14:textId="77777777" w:rsidR="003F5022" w:rsidRDefault="003F5022" w:rsidP="00291145">
      <w:pPr>
        <w:pStyle w:val="Body"/>
        <w:spacing w:after="0"/>
        <w:ind w:left="360" w:firstLine="360"/>
        <w:contextualSpacing/>
        <w:rPr>
          <w:sz w:val="20"/>
        </w:rPr>
      </w:pPr>
      <w:r>
        <w:rPr>
          <w:sz w:val="20"/>
        </w:rPr>
        <w:t>303-866-</w:t>
      </w:r>
      <w:r w:rsidR="00E64794">
        <w:rPr>
          <w:sz w:val="20"/>
        </w:rPr>
        <w:t>6065</w:t>
      </w:r>
    </w:p>
    <w:p w14:paraId="63792146" w14:textId="77777777" w:rsidR="003F5022" w:rsidRDefault="003F78A4" w:rsidP="00291145">
      <w:pPr>
        <w:pStyle w:val="Body"/>
        <w:spacing w:after="0"/>
        <w:ind w:left="360" w:firstLine="360"/>
        <w:contextualSpacing/>
        <w:rPr>
          <w:rStyle w:val="Hyperlink"/>
          <w:sz w:val="20"/>
        </w:rPr>
      </w:pPr>
      <w:hyperlink r:id="rId9" w:history="1">
        <w:r w:rsidR="00C44982" w:rsidRPr="005C1054">
          <w:rPr>
            <w:rStyle w:val="Hyperlink"/>
            <w:sz w:val="20"/>
          </w:rPr>
          <w:t>vassis_b@cde.state.co.us</w:t>
        </w:r>
      </w:hyperlink>
    </w:p>
    <w:p w14:paraId="38FE64C1" w14:textId="77777777" w:rsidR="00291145" w:rsidRDefault="00291145" w:rsidP="003F5022">
      <w:pPr>
        <w:pStyle w:val="Body"/>
        <w:spacing w:after="0"/>
        <w:ind w:left="360" w:firstLine="360"/>
        <w:rPr>
          <w:sz w:val="20"/>
        </w:rPr>
      </w:pPr>
    </w:p>
    <w:p w14:paraId="126C104A" w14:textId="77777777" w:rsidR="003F5022" w:rsidRDefault="003F5022" w:rsidP="00291145">
      <w:pPr>
        <w:pStyle w:val="Body"/>
        <w:numPr>
          <w:ilvl w:val="0"/>
          <w:numId w:val="17"/>
        </w:numPr>
        <w:spacing w:after="0"/>
        <w:rPr>
          <w:sz w:val="20"/>
        </w:rPr>
      </w:pPr>
      <w:r>
        <w:rPr>
          <w:sz w:val="20"/>
        </w:rPr>
        <w:t>Questions related to the description of methodology, budget process, or Financial Transparency documents:</w:t>
      </w:r>
      <w:r>
        <w:rPr>
          <w:sz w:val="20"/>
        </w:rPr>
        <w:tab/>
      </w:r>
    </w:p>
    <w:p w14:paraId="56B9A7FF" w14:textId="77777777" w:rsidR="003F5022" w:rsidRDefault="005110A6" w:rsidP="00291145">
      <w:pPr>
        <w:pStyle w:val="Body"/>
        <w:spacing w:after="0"/>
        <w:ind w:left="720"/>
        <w:rPr>
          <w:sz w:val="20"/>
        </w:rPr>
      </w:pPr>
      <w:r>
        <w:rPr>
          <w:sz w:val="20"/>
        </w:rPr>
        <w:t>Jennifer Okes</w:t>
      </w:r>
    </w:p>
    <w:p w14:paraId="2B6EB58F" w14:textId="77777777" w:rsidR="003F5022" w:rsidRDefault="003F5022" w:rsidP="003F5022">
      <w:pPr>
        <w:pStyle w:val="Body"/>
        <w:spacing w:after="0"/>
        <w:ind w:left="720"/>
        <w:rPr>
          <w:sz w:val="20"/>
        </w:rPr>
      </w:pPr>
      <w:r>
        <w:rPr>
          <w:sz w:val="20"/>
        </w:rPr>
        <w:t>Office of School Finance</w:t>
      </w:r>
    </w:p>
    <w:p w14:paraId="5137F335" w14:textId="77777777" w:rsidR="003F5022" w:rsidRDefault="003F5022" w:rsidP="003F5022">
      <w:pPr>
        <w:pStyle w:val="Body"/>
        <w:spacing w:after="0"/>
        <w:ind w:left="720"/>
        <w:rPr>
          <w:sz w:val="20"/>
        </w:rPr>
      </w:pPr>
      <w:r>
        <w:rPr>
          <w:sz w:val="20"/>
        </w:rPr>
        <w:t>School Finance and Operations Division</w:t>
      </w:r>
    </w:p>
    <w:p w14:paraId="6A7A244C" w14:textId="77777777" w:rsidR="003F5022" w:rsidRDefault="003F5022" w:rsidP="003F5022">
      <w:pPr>
        <w:pStyle w:val="Body"/>
        <w:spacing w:after="0"/>
        <w:ind w:left="720"/>
        <w:rPr>
          <w:sz w:val="20"/>
        </w:rPr>
      </w:pPr>
      <w:r>
        <w:rPr>
          <w:sz w:val="20"/>
        </w:rPr>
        <w:t>303-866-</w:t>
      </w:r>
      <w:r w:rsidR="005110A6">
        <w:rPr>
          <w:sz w:val="20"/>
        </w:rPr>
        <w:t>2996</w:t>
      </w:r>
    </w:p>
    <w:p w14:paraId="6ACF74F6" w14:textId="77777777" w:rsidR="003F5022" w:rsidRDefault="003F78A4" w:rsidP="003F5022">
      <w:pPr>
        <w:pStyle w:val="Body"/>
        <w:spacing w:after="0"/>
        <w:ind w:left="720"/>
        <w:rPr>
          <w:rStyle w:val="Hyperlink"/>
          <w:sz w:val="20"/>
        </w:rPr>
      </w:pPr>
      <w:hyperlink r:id="rId10" w:history="1">
        <w:r w:rsidR="005110A6" w:rsidRPr="00610C39">
          <w:rPr>
            <w:rStyle w:val="Hyperlink"/>
            <w:sz w:val="20"/>
          </w:rPr>
          <w:t>Okes_j@cde.state.co.us</w:t>
        </w:r>
      </w:hyperlink>
    </w:p>
    <w:p w14:paraId="33C6FD26" w14:textId="77777777" w:rsidR="00291145" w:rsidRDefault="00291145" w:rsidP="003F5022">
      <w:pPr>
        <w:pStyle w:val="Body"/>
        <w:spacing w:after="0"/>
        <w:ind w:left="720"/>
        <w:rPr>
          <w:rStyle w:val="Hyperlink"/>
          <w:sz w:val="20"/>
        </w:rPr>
      </w:pPr>
    </w:p>
    <w:p w14:paraId="73EA7757" w14:textId="77777777" w:rsidR="002B2A1E" w:rsidRDefault="002B2A1E" w:rsidP="003F5022">
      <w:pPr>
        <w:pStyle w:val="Body"/>
        <w:spacing w:after="0"/>
        <w:ind w:left="720"/>
        <w:rPr>
          <w:rStyle w:val="Hyperlink"/>
          <w:sz w:val="20"/>
        </w:rPr>
      </w:pPr>
    </w:p>
    <w:p w14:paraId="04F12AF6" w14:textId="77777777" w:rsidR="002B2A1E" w:rsidRDefault="002B2A1E" w:rsidP="003F5022">
      <w:pPr>
        <w:pStyle w:val="Body"/>
        <w:spacing w:after="0"/>
        <w:ind w:left="720"/>
        <w:rPr>
          <w:rStyle w:val="Hyperlink"/>
          <w:sz w:val="20"/>
        </w:rPr>
      </w:pPr>
    </w:p>
    <w:p w14:paraId="3309D7A4" w14:textId="77777777" w:rsidR="002B2A1E" w:rsidRDefault="002B2A1E" w:rsidP="003F5022">
      <w:pPr>
        <w:pStyle w:val="Body"/>
        <w:spacing w:after="0"/>
        <w:ind w:left="720"/>
        <w:rPr>
          <w:rStyle w:val="Hyperlink"/>
          <w:sz w:val="20"/>
        </w:rPr>
      </w:pPr>
    </w:p>
    <w:p w14:paraId="1BA271DE" w14:textId="77777777" w:rsidR="002B2A1E" w:rsidRDefault="002B2A1E" w:rsidP="003F5022">
      <w:pPr>
        <w:pStyle w:val="Body"/>
        <w:spacing w:after="0"/>
        <w:ind w:left="720"/>
        <w:rPr>
          <w:rStyle w:val="Hyperlink"/>
          <w:sz w:val="20"/>
        </w:rPr>
      </w:pPr>
    </w:p>
    <w:p w14:paraId="41F70978" w14:textId="77777777" w:rsidR="002B2A1E" w:rsidRDefault="002B2A1E" w:rsidP="003F5022">
      <w:pPr>
        <w:pStyle w:val="Body"/>
        <w:spacing w:after="0"/>
        <w:ind w:left="720"/>
        <w:rPr>
          <w:rStyle w:val="Hyperlink"/>
          <w:sz w:val="20"/>
        </w:rPr>
      </w:pPr>
    </w:p>
    <w:p w14:paraId="3D3326CC" w14:textId="77777777" w:rsidR="002B2A1E" w:rsidRDefault="002B2A1E" w:rsidP="003F5022">
      <w:pPr>
        <w:pStyle w:val="Body"/>
        <w:spacing w:after="0"/>
        <w:ind w:left="720"/>
        <w:rPr>
          <w:rStyle w:val="Hyperlink"/>
          <w:sz w:val="20"/>
        </w:rPr>
      </w:pPr>
    </w:p>
    <w:p w14:paraId="6E6430A8" w14:textId="77777777" w:rsidR="002B2A1E" w:rsidRDefault="002B2A1E" w:rsidP="003F5022">
      <w:pPr>
        <w:pStyle w:val="Body"/>
        <w:spacing w:after="0"/>
        <w:ind w:left="720"/>
        <w:rPr>
          <w:rStyle w:val="Hyperlink"/>
          <w:sz w:val="20"/>
        </w:rPr>
      </w:pPr>
    </w:p>
    <w:p w14:paraId="14AB80FD" w14:textId="77777777" w:rsidR="002B2A1E" w:rsidRDefault="002B2A1E" w:rsidP="003F5022">
      <w:pPr>
        <w:pStyle w:val="Body"/>
        <w:spacing w:after="0"/>
        <w:ind w:left="720"/>
        <w:rPr>
          <w:rStyle w:val="Hyperlink"/>
          <w:sz w:val="20"/>
        </w:rPr>
      </w:pPr>
    </w:p>
    <w:p w14:paraId="12802961" w14:textId="77777777" w:rsidR="002B2A1E" w:rsidRDefault="002B2A1E" w:rsidP="003F5022">
      <w:pPr>
        <w:pStyle w:val="Body"/>
        <w:spacing w:after="0"/>
        <w:ind w:left="720"/>
        <w:rPr>
          <w:rStyle w:val="Hyperlink"/>
          <w:sz w:val="20"/>
        </w:rPr>
      </w:pPr>
    </w:p>
    <w:p w14:paraId="59C01BF1" w14:textId="77777777" w:rsidR="002B2A1E" w:rsidRDefault="002B2A1E" w:rsidP="003F5022">
      <w:pPr>
        <w:pStyle w:val="Body"/>
        <w:spacing w:after="0"/>
        <w:ind w:left="720"/>
        <w:rPr>
          <w:rStyle w:val="Hyperlink"/>
          <w:sz w:val="20"/>
        </w:rPr>
      </w:pPr>
    </w:p>
    <w:p w14:paraId="39FCE51C" w14:textId="77777777" w:rsidR="00142045" w:rsidRPr="004C730F" w:rsidRDefault="00142045" w:rsidP="00142045">
      <w:pPr>
        <w:pStyle w:val="Footer"/>
        <w:ind w:left="-720"/>
        <w:jc w:val="right"/>
        <w:rPr>
          <w:color w:val="5C6670" w:themeColor="text1"/>
          <w:sz w:val="16"/>
          <w:szCs w:val="18"/>
        </w:rPr>
      </w:pPr>
      <w:r w:rsidRPr="004C730F">
        <w:rPr>
          <w:noProof/>
          <w:sz w:val="20"/>
        </w:rPr>
        <mc:AlternateContent>
          <mc:Choice Requires="wps">
            <w:drawing>
              <wp:inline distT="0" distB="0" distL="0" distR="0" wp14:anchorId="57065FF9" wp14:editId="2A9CA5CE">
                <wp:extent cx="7772400" cy="1092200"/>
                <wp:effectExtent l="0" t="0" r="0" b="0"/>
                <wp:docPr id="1" name="Text Box 1"/>
                <wp:cNvGraphicFramePr/>
                <a:graphic xmlns:a="http://schemas.openxmlformats.org/drawingml/2006/main">
                  <a:graphicData uri="http://schemas.microsoft.com/office/word/2010/wordprocessingShape">
                    <wps:wsp>
                      <wps:cNvSpPr txBox="1"/>
                      <wps:spPr>
                        <a:xfrm>
                          <a:off x="0" y="0"/>
                          <a:ext cx="7772400" cy="1092200"/>
                        </a:xfrm>
                        <a:prstGeom prst="rect">
                          <a:avLst/>
                        </a:prstGeom>
                        <a:solidFill>
                          <a:srgbClr val="6EC4E8"/>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F6AAD" w14:textId="77777777" w:rsidR="00142045" w:rsidRPr="00A91684" w:rsidRDefault="00142045" w:rsidP="00142045">
                            <w:pPr>
                              <w:pStyle w:val="Heading2"/>
                              <w:rPr>
                                <w:color w:val="2E3338" w:themeColor="text1" w:themeShade="80"/>
                                <w:sz w:val="24"/>
                              </w:rPr>
                            </w:pPr>
                            <w:r w:rsidRPr="00A91684">
                              <w:rPr>
                                <w:color w:val="2E3338" w:themeColor="text1" w:themeShade="80"/>
                                <w:sz w:val="24"/>
                              </w:rPr>
                              <w:t>Where can I learn more?</w:t>
                            </w:r>
                          </w:p>
                          <w:p w14:paraId="35DC30A3" w14:textId="77777777" w:rsidR="00142045" w:rsidRPr="00A91684" w:rsidRDefault="00576F22" w:rsidP="00576F22">
                            <w:pPr>
                              <w:pStyle w:val="ListParagraph"/>
                              <w:numPr>
                                <w:ilvl w:val="0"/>
                                <w:numId w:val="10"/>
                              </w:numPr>
                              <w:spacing w:after="120"/>
                              <w:rPr>
                                <w:rFonts w:ascii="Trebuchet MS" w:hAnsi="Trebuchet MS"/>
                                <w:b/>
                                <w:color w:val="2E3338" w:themeColor="text1" w:themeShade="80"/>
                                <w:sz w:val="20"/>
                              </w:rPr>
                            </w:pPr>
                            <w:r w:rsidRPr="00A91684">
                              <w:rPr>
                                <w:color w:val="2E3338" w:themeColor="text1" w:themeShade="80"/>
                                <w:sz w:val="18"/>
                                <w:szCs w:val="22"/>
                              </w:rPr>
                              <w:t xml:space="preserve">For additional </w:t>
                            </w:r>
                            <w:hyperlink r:id="rId11" w:history="1">
                              <w:r w:rsidRPr="00A91684">
                                <w:rPr>
                                  <w:rStyle w:val="Hyperlink"/>
                                  <w:color w:val="2E3338" w:themeColor="text1" w:themeShade="80"/>
                                  <w:sz w:val="18"/>
                                  <w:szCs w:val="22"/>
                                </w:rPr>
                                <w:t>resources</w:t>
                              </w:r>
                            </w:hyperlink>
                            <w:r w:rsidRPr="00A91684">
                              <w:rPr>
                                <w:color w:val="2E3338" w:themeColor="text1" w:themeShade="80"/>
                                <w:sz w:val="18"/>
                                <w:szCs w:val="22"/>
                              </w:rPr>
                              <w:t xml:space="preserve"> related to fiscal requirements under the Every Student Succeeds Act, visit: </w:t>
                            </w:r>
                            <w:r w:rsidRPr="00A91684">
                              <w:rPr>
                                <w:rStyle w:val="Hyperlink"/>
                                <w:color w:val="2E3338" w:themeColor="text1" w:themeShade="80"/>
                                <w:sz w:val="18"/>
                                <w:szCs w:val="22"/>
                                <w:u w:val="none"/>
                              </w:rPr>
                              <w:t>www.cde.state.co.us/fedprograms/ti/a</w:t>
                            </w:r>
                          </w:p>
                          <w:p w14:paraId="5B42A320" w14:textId="77777777" w:rsidR="00142045" w:rsidRPr="00A91684" w:rsidRDefault="003F78A4" w:rsidP="00142045">
                            <w:pPr>
                              <w:pStyle w:val="ListParagraph"/>
                              <w:numPr>
                                <w:ilvl w:val="0"/>
                                <w:numId w:val="6"/>
                              </w:numPr>
                              <w:spacing w:after="120"/>
                              <w:rPr>
                                <w:rFonts w:ascii="Trebuchet MS" w:hAnsi="Trebuchet MS"/>
                                <w:b/>
                                <w:color w:val="2E3338" w:themeColor="text1" w:themeShade="80"/>
                                <w:sz w:val="20"/>
                              </w:rPr>
                            </w:pPr>
                            <w:hyperlink r:id="rId12" w:history="1">
                              <w:r w:rsidR="00142045" w:rsidRPr="00A91684">
                                <w:rPr>
                                  <w:rStyle w:val="Hyperlink"/>
                                  <w:color w:val="2E3338" w:themeColor="text1" w:themeShade="80"/>
                                  <w:sz w:val="18"/>
                                </w:rPr>
                                <w:t>View all CDE fact sheets:</w:t>
                              </w:r>
                            </w:hyperlink>
                            <w:r w:rsidR="00142045" w:rsidRPr="00A91684">
                              <w:rPr>
                                <w:color w:val="2E3338" w:themeColor="text1" w:themeShade="80"/>
                                <w:sz w:val="18"/>
                              </w:rPr>
                              <w:t xml:space="preserve"> </w:t>
                            </w:r>
                            <w:r w:rsidR="00290DEC" w:rsidRPr="00A91684">
                              <w:rPr>
                                <w:rStyle w:val="Hyperlink"/>
                                <w:color w:val="2E3338" w:themeColor="text1" w:themeShade="80"/>
                                <w:sz w:val="18"/>
                                <w:u w:val="none"/>
                              </w:rPr>
                              <w:t>www.cde.state.co.us/communications/factsheetsandfaqs</w:t>
                            </w:r>
                          </w:p>
                          <w:p w14:paraId="2678DF2A" w14:textId="77777777" w:rsidR="00290DEC" w:rsidRPr="00291145" w:rsidRDefault="00290DEC" w:rsidP="00290DEC">
                            <w:pPr>
                              <w:pStyle w:val="ListParagraph"/>
                              <w:spacing w:after="120"/>
                              <w:ind w:left="360"/>
                              <w:rPr>
                                <w:rFonts w:ascii="Trebuchet MS" w:hAnsi="Trebuchet MS"/>
                                <w:b/>
                                <w:color w:val="FFFFFF" w:themeColor="background1"/>
                                <w:sz w:val="20"/>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 w14:anchorId="57065FF9" id="Text Box 1" o:spid="_x0000_s1027" type="#_x0000_t202" style="width:612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" fillcolor="#6ec4e8" stroked="f">
                <v:textbox inset="57.6pt,14.4pt,57.6pt,14.4pt">
                  <w:txbxContent>
                    <w:p w14:paraId="02EF6AAD" w14:textId="77777777" w:rsidR="00142045" w:rsidRPr="00A91684" w:rsidRDefault="00142045" w:rsidP="00142045">
                      <w:pPr>
                        <w:pStyle w:val="Heading2"/>
                        <w:rPr>
                          <w:color w:val="2E3338" w:themeColor="text1" w:themeShade="80"/>
                          <w:sz w:val="24"/>
                        </w:rPr>
                      </w:pPr>
                      <w:r w:rsidRPr="00A91684">
                        <w:rPr>
                          <w:color w:val="2E3338" w:themeColor="text1" w:themeShade="80"/>
                          <w:sz w:val="24"/>
                        </w:rPr>
                        <w:t>Where can I learn more?</w:t>
                      </w:r>
                    </w:p>
                    <w:p w14:paraId="35DC30A3" w14:textId="77777777" w:rsidR="00142045" w:rsidRPr="00A91684" w:rsidRDefault="00576F22" w:rsidP="00576F22">
                      <w:pPr>
                        <w:pStyle w:val="ListParagraph"/>
                        <w:numPr>
                          <w:ilvl w:val="0"/>
                          <w:numId w:val="10"/>
                        </w:numPr>
                        <w:spacing w:after="120"/>
                        <w:rPr>
                          <w:rFonts w:ascii="Trebuchet MS" w:hAnsi="Trebuchet MS"/>
                          <w:b/>
                          <w:color w:val="2E3338" w:themeColor="text1" w:themeShade="80"/>
                          <w:sz w:val="20"/>
                        </w:rPr>
                      </w:pPr>
                      <w:r w:rsidRPr="00A91684">
                        <w:rPr>
                          <w:color w:val="2E3338" w:themeColor="text1" w:themeShade="80"/>
                          <w:sz w:val="18"/>
                          <w:szCs w:val="22"/>
                        </w:rPr>
                        <w:t xml:space="preserve">For additional </w:t>
                      </w:r>
                      <w:hyperlink r:id="rId13" w:history="1">
                        <w:r w:rsidRPr="00A91684">
                          <w:rPr>
                            <w:rStyle w:val="Hyperlink"/>
                            <w:color w:val="2E3338" w:themeColor="text1" w:themeShade="80"/>
                            <w:sz w:val="18"/>
                            <w:szCs w:val="22"/>
                          </w:rPr>
                          <w:t>resources</w:t>
                        </w:r>
                      </w:hyperlink>
                      <w:r w:rsidRPr="00A91684">
                        <w:rPr>
                          <w:color w:val="2E3338" w:themeColor="text1" w:themeShade="80"/>
                          <w:sz w:val="18"/>
                          <w:szCs w:val="22"/>
                        </w:rPr>
                        <w:t xml:space="preserve"> related to fiscal requirements under the Every Student Succeeds Act, visit: </w:t>
                      </w:r>
                      <w:r w:rsidRPr="00A91684">
                        <w:rPr>
                          <w:rStyle w:val="Hyperlink"/>
                          <w:color w:val="2E3338" w:themeColor="text1" w:themeShade="80"/>
                          <w:sz w:val="18"/>
                          <w:szCs w:val="22"/>
                          <w:u w:val="none"/>
                        </w:rPr>
                        <w:t>www.cde.state.co.us/fedprograms/ti/a</w:t>
                      </w:r>
                    </w:p>
                    <w:p w14:paraId="5B42A320" w14:textId="77777777" w:rsidR="00142045" w:rsidRPr="00A91684" w:rsidRDefault="00BA4C68" w:rsidP="00142045">
                      <w:pPr>
                        <w:pStyle w:val="ListParagraph"/>
                        <w:numPr>
                          <w:ilvl w:val="0"/>
                          <w:numId w:val="6"/>
                        </w:numPr>
                        <w:spacing w:after="120"/>
                        <w:rPr>
                          <w:rFonts w:ascii="Trebuchet MS" w:hAnsi="Trebuchet MS"/>
                          <w:b/>
                          <w:color w:val="2E3338" w:themeColor="text1" w:themeShade="80"/>
                          <w:sz w:val="20"/>
                        </w:rPr>
                      </w:pPr>
                      <w:hyperlink r:id="rId14" w:history="1">
                        <w:r w:rsidR="00142045" w:rsidRPr="00A91684">
                          <w:rPr>
                            <w:rStyle w:val="Hyperlink"/>
                            <w:color w:val="2E3338" w:themeColor="text1" w:themeShade="80"/>
                            <w:sz w:val="18"/>
                          </w:rPr>
                          <w:t>View all CDE fact sheets:</w:t>
                        </w:r>
                      </w:hyperlink>
                      <w:r w:rsidR="00142045" w:rsidRPr="00A91684">
                        <w:rPr>
                          <w:color w:val="2E3338" w:themeColor="text1" w:themeShade="80"/>
                          <w:sz w:val="18"/>
                        </w:rPr>
                        <w:t xml:space="preserve"> </w:t>
                      </w:r>
                      <w:r w:rsidR="00290DEC" w:rsidRPr="00A91684">
                        <w:rPr>
                          <w:rStyle w:val="Hyperlink"/>
                          <w:color w:val="2E3338" w:themeColor="text1" w:themeShade="80"/>
                          <w:sz w:val="18"/>
                          <w:u w:val="none"/>
                        </w:rPr>
                        <w:t>www.cde.state.co.us/communications/factsheetsandfaqs</w:t>
                      </w:r>
                    </w:p>
                    <w:p w14:paraId="2678DF2A" w14:textId="77777777" w:rsidR="00290DEC" w:rsidRPr="00291145" w:rsidRDefault="00290DEC" w:rsidP="00290DEC">
                      <w:pPr>
                        <w:pStyle w:val="ListParagraph"/>
                        <w:spacing w:after="120"/>
                        <w:ind w:left="360"/>
                        <w:rPr>
                          <w:rFonts w:ascii="Trebuchet MS" w:hAnsi="Trebuchet MS"/>
                          <w:b/>
                          <w:color w:val="FFFFFF" w:themeColor="background1"/>
                          <w:sz w:val="20"/>
                        </w:rPr>
                      </w:pPr>
                    </w:p>
                  </w:txbxContent>
                </v:textbox>
                <w10:anchorlock/>
              </v:shape>
            </w:pict>
          </mc:Fallback>
        </mc:AlternateContent>
      </w:r>
    </w:p>
    <w:p w14:paraId="35EE46FA" w14:textId="77777777" w:rsidR="00290DEC" w:rsidRPr="00E97930" w:rsidRDefault="007E2BFF" w:rsidP="00295BAF">
      <w:pPr>
        <w:pStyle w:val="Heading1"/>
      </w:pPr>
      <w:r>
        <w:br w:type="page"/>
      </w:r>
      <w:r w:rsidR="00290DEC" w:rsidRPr="00E97930">
        <w:lastRenderedPageBreak/>
        <w:t>Supplement, Not Supplant Under the Every Student Succeeds Act:  Demonstration of Compliance</w:t>
      </w:r>
    </w:p>
    <w:p w14:paraId="1125BC91" w14:textId="77777777" w:rsidR="00B0215B" w:rsidRDefault="00B0215B" w:rsidP="00290DEC">
      <w:pPr>
        <w:jc w:val="center"/>
        <w:rPr>
          <w:b/>
        </w:rPr>
      </w:pPr>
    </w:p>
    <w:p w14:paraId="6FBFAEAF" w14:textId="77777777" w:rsidR="00B0215B" w:rsidRPr="00B0215B" w:rsidRDefault="00B0215B" w:rsidP="00B0215B">
      <w:pPr>
        <w:rPr>
          <w:b/>
          <w:u w:val="single"/>
        </w:rPr>
      </w:pPr>
      <w:r>
        <w:rPr>
          <w:b/>
        </w:rPr>
        <w:t xml:space="preserve">LEA Name: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ab/>
        <w:t xml:space="preserve">LEA Code: </w:t>
      </w:r>
      <w:r>
        <w:rPr>
          <w:b/>
          <w:u w:val="single"/>
        </w:rPr>
        <w:tab/>
      </w:r>
      <w:r>
        <w:rPr>
          <w:b/>
          <w:u w:val="single"/>
        </w:rPr>
        <w:tab/>
      </w:r>
      <w:r>
        <w:rPr>
          <w:b/>
          <w:u w:val="single"/>
        </w:rPr>
        <w:tab/>
      </w:r>
      <w:r>
        <w:rPr>
          <w:b/>
          <w:u w:val="single"/>
        </w:rPr>
        <w:tab/>
      </w:r>
    </w:p>
    <w:p w14:paraId="279D6FA1" w14:textId="77777777" w:rsidR="00290DEC" w:rsidRPr="00290DEC" w:rsidRDefault="00290DEC" w:rsidP="00290DEC">
      <w:pPr>
        <w:jc w:val="center"/>
      </w:pPr>
    </w:p>
    <w:p w14:paraId="5DD0374C" w14:textId="77777777" w:rsidR="00B0215B" w:rsidRPr="003A5E18" w:rsidRDefault="00B0215B" w:rsidP="003A5E18">
      <w:pPr>
        <w:pStyle w:val="Body"/>
        <w:numPr>
          <w:ilvl w:val="0"/>
          <w:numId w:val="19"/>
        </w:numPr>
        <w:rPr>
          <w:b/>
          <w:color w:val="auto"/>
          <w:sz w:val="20"/>
          <w:u w:val="single"/>
        </w:rPr>
      </w:pPr>
      <w:r w:rsidRPr="003A5E18">
        <w:rPr>
          <w:b/>
          <w:color w:val="auto"/>
          <w:sz w:val="20"/>
          <w:u w:val="single"/>
        </w:rPr>
        <w:t>Purpose</w:t>
      </w:r>
    </w:p>
    <w:p w14:paraId="17E64736" w14:textId="77777777" w:rsidR="00290DEC" w:rsidRPr="00B0215B" w:rsidRDefault="00B0215B" w:rsidP="00E97713">
      <w:pPr>
        <w:pStyle w:val="Body"/>
        <w:ind w:left="360"/>
        <w:jc w:val="both"/>
        <w:rPr>
          <w:b/>
          <w:color w:val="auto"/>
          <w:sz w:val="20"/>
        </w:rPr>
      </w:pPr>
      <w:r>
        <w:rPr>
          <w:color w:val="auto"/>
          <w:sz w:val="20"/>
        </w:rPr>
        <w:t>The purpose of this form is to collect the required information necessary for CDE to</w:t>
      </w:r>
      <w:r w:rsidR="00290DEC" w:rsidRPr="00290DEC">
        <w:rPr>
          <w:color w:val="auto"/>
          <w:sz w:val="20"/>
        </w:rPr>
        <w:t xml:space="preserve"> verify that each </w:t>
      </w:r>
      <w:r>
        <w:rPr>
          <w:color w:val="auto"/>
          <w:sz w:val="20"/>
        </w:rPr>
        <w:t>local education agency (</w:t>
      </w:r>
      <w:r w:rsidR="00290DEC" w:rsidRPr="00290DEC">
        <w:rPr>
          <w:color w:val="auto"/>
          <w:sz w:val="20"/>
        </w:rPr>
        <w:t>LEA</w:t>
      </w:r>
      <w:r>
        <w:rPr>
          <w:color w:val="auto"/>
          <w:sz w:val="20"/>
        </w:rPr>
        <w:t>)</w:t>
      </w:r>
      <w:r w:rsidR="00290DEC" w:rsidRPr="00290DEC">
        <w:rPr>
          <w:color w:val="auto"/>
          <w:sz w:val="20"/>
        </w:rPr>
        <w:t xml:space="preserve"> is in compliance with the demonstration requirements regarding SNS under the </w:t>
      </w:r>
      <w:r>
        <w:rPr>
          <w:color w:val="auto"/>
          <w:sz w:val="20"/>
        </w:rPr>
        <w:t>Elementary and Secondary Education Act (ESEA), as reauthorized by the</w:t>
      </w:r>
      <w:r w:rsidRPr="00290DEC">
        <w:rPr>
          <w:color w:val="auto"/>
          <w:sz w:val="20"/>
        </w:rPr>
        <w:t xml:space="preserve"> </w:t>
      </w:r>
      <w:r>
        <w:rPr>
          <w:color w:val="auto"/>
          <w:sz w:val="20"/>
        </w:rPr>
        <w:t>Every Student Succeeds Act of 2015 (ESSA)</w:t>
      </w:r>
      <w:r w:rsidR="00290DEC" w:rsidRPr="00290DEC">
        <w:rPr>
          <w:color w:val="auto"/>
          <w:sz w:val="20"/>
        </w:rPr>
        <w:t xml:space="preserve">.  To ensure all LEAs in Colorado meet these requirements, each LEA </w:t>
      </w:r>
      <w:r>
        <w:rPr>
          <w:color w:val="auto"/>
          <w:sz w:val="20"/>
        </w:rPr>
        <w:t>must</w:t>
      </w:r>
      <w:r w:rsidR="00290DEC" w:rsidRPr="00290DEC">
        <w:rPr>
          <w:color w:val="auto"/>
          <w:sz w:val="20"/>
        </w:rPr>
        <w:t xml:space="preserve"> submit the following:</w:t>
      </w:r>
    </w:p>
    <w:p w14:paraId="7846ABF8" w14:textId="77777777" w:rsidR="00290DEC" w:rsidRPr="00290DEC" w:rsidRDefault="00290DEC" w:rsidP="00E97713">
      <w:pPr>
        <w:pStyle w:val="Body"/>
        <w:numPr>
          <w:ilvl w:val="0"/>
          <w:numId w:val="18"/>
        </w:numPr>
        <w:ind w:left="720"/>
        <w:jc w:val="both"/>
        <w:rPr>
          <w:color w:val="auto"/>
          <w:sz w:val="20"/>
        </w:rPr>
      </w:pPr>
      <w:r w:rsidRPr="00290DEC">
        <w:rPr>
          <w:color w:val="auto"/>
          <w:sz w:val="20"/>
        </w:rPr>
        <w:t>An assurance stating the LEA is in compliance with the provisions of section 1118(b) of the</w:t>
      </w:r>
      <w:r>
        <w:rPr>
          <w:color w:val="auto"/>
          <w:sz w:val="20"/>
        </w:rPr>
        <w:t xml:space="preserve"> Elementary and Secondary Education Act (ESEA), as reauthorized by the</w:t>
      </w:r>
      <w:r w:rsidRPr="00290DEC">
        <w:rPr>
          <w:color w:val="auto"/>
          <w:sz w:val="20"/>
        </w:rPr>
        <w:t xml:space="preserve"> </w:t>
      </w:r>
      <w:r>
        <w:rPr>
          <w:color w:val="auto"/>
          <w:sz w:val="20"/>
        </w:rPr>
        <w:t>Every Student Succeeds Act of 2015 (ESSA)</w:t>
      </w:r>
      <w:r w:rsidRPr="00290DEC">
        <w:rPr>
          <w:color w:val="auto"/>
          <w:sz w:val="20"/>
        </w:rPr>
        <w:t>;</w:t>
      </w:r>
    </w:p>
    <w:p w14:paraId="4A4042A1" w14:textId="77777777" w:rsidR="00290DEC" w:rsidRPr="00290DEC" w:rsidRDefault="00290DEC" w:rsidP="00E97713">
      <w:pPr>
        <w:pStyle w:val="Body"/>
        <w:numPr>
          <w:ilvl w:val="0"/>
          <w:numId w:val="18"/>
        </w:numPr>
        <w:ind w:left="720"/>
        <w:jc w:val="both"/>
        <w:rPr>
          <w:color w:val="auto"/>
          <w:sz w:val="20"/>
        </w:rPr>
      </w:pPr>
      <w:r w:rsidRPr="00290DEC">
        <w:rPr>
          <w:color w:val="auto"/>
          <w:sz w:val="20"/>
        </w:rPr>
        <w:t>An indication of the type of methodology the LEA has adopted and is implementing in regard to the allocation of State and local (non-Federal) funds to all schools; and,</w:t>
      </w:r>
    </w:p>
    <w:p w14:paraId="1E48E5F2" w14:textId="77777777" w:rsidR="00290DEC" w:rsidRDefault="00290DEC" w:rsidP="00E97713">
      <w:pPr>
        <w:pStyle w:val="Body"/>
        <w:numPr>
          <w:ilvl w:val="0"/>
          <w:numId w:val="18"/>
        </w:numPr>
        <w:ind w:left="720"/>
        <w:jc w:val="both"/>
        <w:rPr>
          <w:color w:val="auto"/>
          <w:sz w:val="20"/>
        </w:rPr>
      </w:pPr>
      <w:r w:rsidRPr="00290DEC">
        <w:rPr>
          <w:color w:val="auto"/>
          <w:sz w:val="20"/>
        </w:rPr>
        <w:t xml:space="preserve">A narrative description of the methodology </w:t>
      </w:r>
      <w:r w:rsidRPr="00290DEC">
        <w:rPr>
          <w:i/>
          <w:color w:val="auto"/>
          <w:sz w:val="20"/>
        </w:rPr>
        <w:t>or</w:t>
      </w:r>
      <w:r w:rsidRPr="00290DEC">
        <w:rPr>
          <w:color w:val="auto"/>
          <w:sz w:val="20"/>
        </w:rPr>
        <w:t xml:space="preserve"> a reference to the LEA’s Financial Transparency document in which the methodology is described.</w:t>
      </w:r>
    </w:p>
    <w:p w14:paraId="6DAA2504" w14:textId="77777777" w:rsidR="0021372A" w:rsidRPr="0021372A" w:rsidRDefault="0021372A" w:rsidP="0021372A">
      <w:pPr>
        <w:pStyle w:val="Body"/>
        <w:ind w:left="360"/>
        <w:rPr>
          <w:i/>
          <w:color w:val="auto"/>
          <w:sz w:val="20"/>
        </w:rPr>
      </w:pPr>
      <w:r w:rsidRPr="0021372A">
        <w:rPr>
          <w:i/>
          <w:color w:val="auto"/>
          <w:sz w:val="20"/>
        </w:rPr>
        <w:t>Note:  The LEA is required to provide the demonstration requirements to CDE one time for the duration of the Title I, Part A program under the ESSA, unless the LEA adopts or implements a revised methodology for allocating State and local (non-Federal) resources.  Upon adoption or implementation of a revised methodology, it is incumbent upon the LEA to provide an updated demonstration of compliance form to the Office of ESEA Programs within the Colorado Department of Education.</w:t>
      </w:r>
    </w:p>
    <w:p w14:paraId="335AFBD2" w14:textId="77777777" w:rsidR="00B0215B" w:rsidRPr="003A5E18" w:rsidRDefault="00B0215B" w:rsidP="00E97713">
      <w:pPr>
        <w:pStyle w:val="Body"/>
        <w:numPr>
          <w:ilvl w:val="0"/>
          <w:numId w:val="19"/>
        </w:numPr>
        <w:jc w:val="both"/>
        <w:rPr>
          <w:color w:val="auto"/>
          <w:sz w:val="20"/>
          <w:u w:val="single"/>
        </w:rPr>
      </w:pPr>
      <w:r w:rsidRPr="003A5E18">
        <w:rPr>
          <w:b/>
          <w:color w:val="auto"/>
          <w:sz w:val="20"/>
          <w:u w:val="single"/>
        </w:rPr>
        <w:t>Instructions</w:t>
      </w:r>
    </w:p>
    <w:p w14:paraId="447B7A62" w14:textId="77777777" w:rsidR="00B0215B" w:rsidRDefault="00B0215B" w:rsidP="00E97713">
      <w:pPr>
        <w:pStyle w:val="Body"/>
        <w:ind w:left="360"/>
        <w:jc w:val="both"/>
        <w:rPr>
          <w:color w:val="auto"/>
          <w:sz w:val="20"/>
        </w:rPr>
      </w:pPr>
      <w:r w:rsidRPr="003A5E18">
        <w:rPr>
          <w:b/>
          <w:color w:val="auto"/>
          <w:sz w:val="20"/>
        </w:rPr>
        <w:t xml:space="preserve">Every LEA must submit an executed Supplement, Not Supplant Demonstration of Compliance </w:t>
      </w:r>
      <w:r w:rsidR="002E58AB">
        <w:rPr>
          <w:b/>
          <w:color w:val="auto"/>
          <w:sz w:val="20"/>
        </w:rPr>
        <w:t>upon a change in the adoption and implementation or revision of the methodology for allocating State and local (non-Federal) resources.</w:t>
      </w:r>
    </w:p>
    <w:p w14:paraId="5012EC4C" w14:textId="77777777" w:rsidR="00B0215B" w:rsidRPr="00B0215B" w:rsidRDefault="00B0215B" w:rsidP="00E97713">
      <w:pPr>
        <w:pStyle w:val="Body"/>
        <w:ind w:left="360"/>
        <w:jc w:val="both"/>
        <w:rPr>
          <w:color w:val="auto"/>
          <w:sz w:val="20"/>
        </w:rPr>
      </w:pPr>
      <w:r>
        <w:rPr>
          <w:color w:val="auto"/>
          <w:sz w:val="20"/>
        </w:rPr>
        <w:t xml:space="preserve">A copy of this form must be duly executed by the President of the School Board or Board of Directors and submitted to: </w:t>
      </w:r>
      <w:hyperlink r:id="rId15" w:history="1">
        <w:r w:rsidRPr="00E70CD6">
          <w:rPr>
            <w:rStyle w:val="Hyperlink"/>
            <w:sz w:val="20"/>
          </w:rPr>
          <w:t>consolidatedapplications@cde.state.co.us</w:t>
        </w:r>
      </w:hyperlink>
      <w:r w:rsidR="00E97713">
        <w:rPr>
          <w:color w:val="auto"/>
          <w:sz w:val="20"/>
        </w:rPr>
        <w:t>.</w:t>
      </w:r>
      <w:r>
        <w:rPr>
          <w:color w:val="auto"/>
          <w:sz w:val="20"/>
        </w:rPr>
        <w:t xml:space="preserve">  </w:t>
      </w:r>
      <w:r w:rsidRPr="00B0215B">
        <w:rPr>
          <w:color w:val="auto"/>
          <w:sz w:val="20"/>
        </w:rPr>
        <w:t xml:space="preserve">Upon submitting the required materials, CDE will verify the information provided to ensure the LEA is in compliance with the ESSA requirements.  </w:t>
      </w:r>
    </w:p>
    <w:p w14:paraId="010012A1" w14:textId="77777777" w:rsidR="003A5E18" w:rsidRPr="003A5E18" w:rsidRDefault="003A5E18" w:rsidP="00E97713">
      <w:pPr>
        <w:pStyle w:val="ListParagraph"/>
        <w:numPr>
          <w:ilvl w:val="0"/>
          <w:numId w:val="19"/>
        </w:numPr>
        <w:jc w:val="both"/>
      </w:pPr>
      <w:r>
        <w:rPr>
          <w:b/>
          <w:u w:val="single"/>
        </w:rPr>
        <w:t>Demonstration</w:t>
      </w:r>
    </w:p>
    <w:p w14:paraId="7AD756FE" w14:textId="77777777" w:rsidR="00E97713" w:rsidRPr="0021372A" w:rsidRDefault="00E97713" w:rsidP="00E97713">
      <w:pPr>
        <w:ind w:left="360"/>
        <w:jc w:val="both"/>
        <w:rPr>
          <w:rFonts w:eastAsiaTheme="minorHAnsi" w:cs="Calibri"/>
          <w:sz w:val="20"/>
          <w:szCs w:val="22"/>
        </w:rPr>
      </w:pPr>
      <w:r w:rsidRPr="0021372A">
        <w:rPr>
          <w:rFonts w:eastAsiaTheme="minorHAnsi" w:cs="Calibri"/>
          <w:sz w:val="20"/>
          <w:szCs w:val="22"/>
        </w:rPr>
        <w:t>In consideration of participating in</w:t>
      </w:r>
      <w:r w:rsidR="00A15F13" w:rsidRPr="0021372A">
        <w:rPr>
          <w:rFonts w:eastAsiaTheme="minorHAnsi" w:cs="Calibri"/>
          <w:sz w:val="20"/>
          <w:szCs w:val="22"/>
        </w:rPr>
        <w:t xml:space="preserve"> a</w:t>
      </w:r>
      <w:r w:rsidRPr="0021372A">
        <w:rPr>
          <w:rFonts w:eastAsiaTheme="minorHAnsi" w:cs="Calibri"/>
          <w:sz w:val="20"/>
          <w:szCs w:val="22"/>
        </w:rPr>
        <w:t xml:space="preserve"> Title I, Part A</w:t>
      </w:r>
      <w:r w:rsidR="00A15F13" w:rsidRPr="0021372A">
        <w:rPr>
          <w:rFonts w:eastAsiaTheme="minorHAnsi" w:cs="Calibri"/>
          <w:sz w:val="20"/>
          <w:szCs w:val="22"/>
        </w:rPr>
        <w:t xml:space="preserve"> </w:t>
      </w:r>
      <w:r w:rsidRPr="0021372A">
        <w:rPr>
          <w:rFonts w:eastAsiaTheme="minorHAnsi" w:cs="Calibri"/>
          <w:sz w:val="20"/>
          <w:szCs w:val="22"/>
        </w:rPr>
        <w:t>program</w:t>
      </w:r>
      <w:r w:rsidR="00A15F13" w:rsidRPr="0021372A">
        <w:rPr>
          <w:rFonts w:eastAsiaTheme="minorHAnsi" w:cs="Calibri"/>
          <w:sz w:val="20"/>
          <w:szCs w:val="22"/>
        </w:rPr>
        <w:t>(</w:t>
      </w:r>
      <w:r w:rsidRPr="0021372A">
        <w:rPr>
          <w:rFonts w:eastAsiaTheme="minorHAnsi" w:cs="Calibri"/>
          <w:sz w:val="20"/>
          <w:szCs w:val="22"/>
        </w:rPr>
        <w:t>s</w:t>
      </w:r>
      <w:r w:rsidR="00A15F13" w:rsidRPr="0021372A">
        <w:rPr>
          <w:rFonts w:eastAsiaTheme="minorHAnsi" w:cs="Calibri"/>
          <w:sz w:val="20"/>
          <w:szCs w:val="22"/>
        </w:rPr>
        <w:t>)</w:t>
      </w:r>
      <w:r w:rsidRPr="0021372A">
        <w:rPr>
          <w:rFonts w:eastAsiaTheme="minorHAnsi" w:cs="Calibri"/>
          <w:sz w:val="20"/>
          <w:szCs w:val="22"/>
        </w:rPr>
        <w:t xml:space="preserve"> for which Federal funds are made available and of receiving Federal funds to carry out any such program</w:t>
      </w:r>
      <w:r w:rsidR="00A15F13" w:rsidRPr="0021372A">
        <w:rPr>
          <w:rFonts w:eastAsiaTheme="minorHAnsi" w:cs="Calibri"/>
          <w:sz w:val="20"/>
          <w:szCs w:val="22"/>
        </w:rPr>
        <w:t>(s)</w:t>
      </w:r>
      <w:r w:rsidRPr="0021372A">
        <w:rPr>
          <w:rFonts w:eastAsiaTheme="minorHAnsi" w:cs="Calibri"/>
          <w:sz w:val="20"/>
          <w:szCs w:val="22"/>
        </w:rPr>
        <w:t xml:space="preserve">, the board of directors of </w:t>
      </w:r>
      <w:r w:rsidR="0021372A">
        <w:rPr>
          <w:rFonts w:eastAsiaTheme="minorHAnsi" w:cs="Calibri"/>
          <w:sz w:val="20"/>
          <w:szCs w:val="22"/>
          <w:u w:val="single"/>
        </w:rPr>
        <w:tab/>
      </w:r>
      <w:r w:rsidR="0021372A">
        <w:rPr>
          <w:rFonts w:eastAsiaTheme="minorHAnsi" w:cs="Calibri"/>
          <w:sz w:val="20"/>
          <w:szCs w:val="22"/>
          <w:u w:val="single"/>
        </w:rPr>
        <w:tab/>
      </w:r>
      <w:r w:rsidR="0021372A">
        <w:rPr>
          <w:rFonts w:eastAsiaTheme="minorHAnsi" w:cs="Calibri"/>
          <w:sz w:val="20"/>
          <w:szCs w:val="22"/>
          <w:u w:val="single"/>
        </w:rPr>
        <w:tab/>
      </w:r>
      <w:r w:rsidR="0021372A">
        <w:rPr>
          <w:rFonts w:eastAsiaTheme="minorHAnsi" w:cs="Calibri"/>
          <w:sz w:val="20"/>
          <w:szCs w:val="22"/>
          <w:u w:val="single"/>
        </w:rPr>
        <w:tab/>
      </w:r>
      <w:r w:rsidR="0021372A">
        <w:rPr>
          <w:rFonts w:eastAsiaTheme="minorHAnsi" w:cs="Calibri"/>
          <w:sz w:val="20"/>
          <w:szCs w:val="22"/>
          <w:u w:val="single"/>
        </w:rPr>
        <w:tab/>
      </w:r>
      <w:r w:rsidR="0021372A">
        <w:rPr>
          <w:rFonts w:eastAsiaTheme="minorHAnsi" w:cs="Calibri"/>
          <w:sz w:val="20"/>
          <w:szCs w:val="22"/>
          <w:u w:val="single"/>
        </w:rPr>
        <w:tab/>
      </w:r>
      <w:r w:rsidRPr="0021372A">
        <w:rPr>
          <w:rFonts w:eastAsiaTheme="minorHAnsi" w:cs="Calibri"/>
          <w:sz w:val="20"/>
          <w:szCs w:val="22"/>
        </w:rPr>
        <w:t xml:space="preserve"> (LEA)</w:t>
      </w:r>
      <w:r w:rsidR="00FC752E" w:rsidRPr="0021372A">
        <w:rPr>
          <w:rFonts w:eastAsiaTheme="minorHAnsi" w:cs="Calibri"/>
          <w:sz w:val="20"/>
          <w:szCs w:val="22"/>
        </w:rPr>
        <w:t>,</w:t>
      </w:r>
      <w:r w:rsidRPr="0021372A">
        <w:rPr>
          <w:rFonts w:eastAsiaTheme="minorHAnsi" w:cs="Calibri"/>
          <w:sz w:val="20"/>
          <w:szCs w:val="22"/>
        </w:rPr>
        <w:t xml:space="preserve"> </w:t>
      </w:r>
      <w:r w:rsidR="0021372A">
        <w:rPr>
          <w:rFonts w:eastAsiaTheme="minorHAnsi" w:cs="Calibri"/>
          <w:sz w:val="20"/>
          <w:szCs w:val="22"/>
        </w:rPr>
        <w:t>b</w:t>
      </w:r>
      <w:r w:rsidRPr="0021372A">
        <w:rPr>
          <w:rFonts w:eastAsiaTheme="minorHAnsi" w:cs="Calibri"/>
          <w:sz w:val="20"/>
          <w:szCs w:val="22"/>
        </w:rPr>
        <w:t xml:space="preserve">y action at its meeting on </w:t>
      </w:r>
      <w:r w:rsidRPr="0021372A">
        <w:rPr>
          <w:rFonts w:eastAsiaTheme="minorHAnsi" w:cs="Calibri"/>
          <w:sz w:val="20"/>
          <w:szCs w:val="22"/>
          <w:u w:val="single"/>
        </w:rPr>
        <w:tab/>
      </w:r>
      <w:r w:rsidRPr="0021372A">
        <w:rPr>
          <w:rFonts w:eastAsiaTheme="minorHAnsi" w:cs="Calibri"/>
          <w:sz w:val="20"/>
          <w:szCs w:val="22"/>
          <w:u w:val="single"/>
        </w:rPr>
        <w:tab/>
      </w:r>
      <w:r w:rsidRPr="0021372A">
        <w:rPr>
          <w:rFonts w:eastAsiaTheme="minorHAnsi" w:cs="Calibri"/>
          <w:sz w:val="20"/>
          <w:szCs w:val="22"/>
          <w:u w:val="single"/>
        </w:rPr>
        <w:tab/>
      </w:r>
      <w:r w:rsidRPr="0021372A">
        <w:rPr>
          <w:rFonts w:eastAsiaTheme="minorHAnsi" w:cs="Calibri"/>
          <w:sz w:val="20"/>
          <w:szCs w:val="22"/>
          <w:u w:val="single"/>
        </w:rPr>
        <w:tab/>
      </w:r>
      <w:r w:rsidRPr="0021372A">
        <w:rPr>
          <w:rFonts w:eastAsiaTheme="minorHAnsi" w:cs="Calibri"/>
          <w:sz w:val="20"/>
          <w:szCs w:val="22"/>
        </w:rPr>
        <w:t>, 20</w:t>
      </w:r>
      <w:r w:rsidR="004904CB">
        <w:rPr>
          <w:rFonts w:eastAsiaTheme="minorHAnsi" w:cs="Calibri"/>
          <w:sz w:val="20"/>
          <w:szCs w:val="22"/>
        </w:rPr>
        <w:t>____</w:t>
      </w:r>
      <w:r w:rsidRPr="0021372A">
        <w:rPr>
          <w:rFonts w:eastAsiaTheme="minorHAnsi" w:cs="Calibri"/>
          <w:sz w:val="20"/>
          <w:szCs w:val="22"/>
        </w:rPr>
        <w:t xml:space="preserve">, provides the following to the Colorado Department of Education: </w:t>
      </w:r>
    </w:p>
    <w:p w14:paraId="32314A6F" w14:textId="77777777" w:rsidR="0020551C" w:rsidRDefault="0020551C" w:rsidP="0020551C">
      <w:pPr>
        <w:ind w:left="360"/>
        <w:jc w:val="both"/>
        <w:rPr>
          <w:rFonts w:eastAsiaTheme="minorHAnsi" w:cs="Calibri"/>
          <w:i/>
          <w:sz w:val="20"/>
          <w:szCs w:val="22"/>
        </w:rPr>
      </w:pPr>
    </w:p>
    <w:p w14:paraId="28014297" w14:textId="77777777" w:rsidR="007E2BFF" w:rsidRDefault="0020551C" w:rsidP="0020551C">
      <w:pPr>
        <w:ind w:left="360"/>
        <w:jc w:val="both"/>
        <w:rPr>
          <w:rFonts w:eastAsiaTheme="minorHAnsi" w:cs="Calibri"/>
          <w:i/>
          <w:sz w:val="20"/>
          <w:szCs w:val="22"/>
        </w:rPr>
      </w:pPr>
      <w:r w:rsidRPr="0020551C">
        <w:rPr>
          <w:rFonts w:eastAsiaTheme="minorHAnsi" w:cs="Calibri"/>
          <w:i/>
          <w:sz w:val="20"/>
          <w:szCs w:val="22"/>
        </w:rPr>
        <w:t>The LEA need only complete section a. or b. below, as applicable.</w:t>
      </w:r>
    </w:p>
    <w:p w14:paraId="53647285" w14:textId="77777777" w:rsidR="0020551C" w:rsidRPr="0020551C" w:rsidRDefault="0020551C" w:rsidP="0020551C">
      <w:pPr>
        <w:ind w:left="360"/>
        <w:jc w:val="both"/>
        <w:rPr>
          <w:rFonts w:eastAsiaTheme="minorHAnsi" w:cs="Calibri"/>
          <w:i/>
          <w:sz w:val="20"/>
          <w:szCs w:val="22"/>
        </w:rPr>
      </w:pPr>
    </w:p>
    <w:p w14:paraId="4F8A4616" w14:textId="77777777" w:rsidR="007E2BFF" w:rsidRPr="007E2BFF" w:rsidRDefault="0020551C" w:rsidP="007E2BFF">
      <w:pPr>
        <w:pStyle w:val="ListParagraph"/>
        <w:numPr>
          <w:ilvl w:val="0"/>
          <w:numId w:val="21"/>
        </w:numPr>
        <w:jc w:val="both"/>
        <w:rPr>
          <w:rFonts w:eastAsiaTheme="minorHAnsi" w:cs="Calibri"/>
          <w:sz w:val="20"/>
          <w:szCs w:val="22"/>
        </w:rPr>
      </w:pPr>
      <w:r>
        <w:rPr>
          <w:rFonts w:eastAsiaTheme="minorHAnsi" w:cs="Calibri"/>
          <w:b/>
          <w:sz w:val="20"/>
          <w:szCs w:val="22"/>
        </w:rPr>
        <w:t xml:space="preserve">For </w:t>
      </w:r>
      <w:r w:rsidR="007E2BFF" w:rsidRPr="00633CC3">
        <w:rPr>
          <w:rFonts w:eastAsiaTheme="minorHAnsi" w:cs="Calibri"/>
          <w:b/>
          <w:sz w:val="20"/>
          <w:szCs w:val="22"/>
        </w:rPr>
        <w:t>LEAs with a single school code</w:t>
      </w:r>
      <w:r w:rsidR="007E2BFF">
        <w:rPr>
          <w:rFonts w:eastAsiaTheme="minorHAnsi" w:cs="Calibri"/>
          <w:sz w:val="20"/>
          <w:szCs w:val="22"/>
        </w:rPr>
        <w:t xml:space="preserve"> </w:t>
      </w:r>
      <w:r w:rsidR="00633CC3">
        <w:rPr>
          <w:rFonts w:eastAsiaTheme="minorHAnsi" w:cs="Calibri"/>
          <w:sz w:val="20"/>
          <w:szCs w:val="22"/>
        </w:rPr>
        <w:t>(</w:t>
      </w:r>
      <w:r w:rsidR="00633CC3" w:rsidRPr="0020551C">
        <w:rPr>
          <w:b/>
          <w:sz w:val="20"/>
        </w:rPr>
        <w:t>i.e. Elementary, Middle and High School levels all have the same school code)</w:t>
      </w:r>
      <w:r>
        <w:rPr>
          <w:b/>
          <w:sz w:val="20"/>
        </w:rPr>
        <w:t>:</w:t>
      </w:r>
    </w:p>
    <w:p w14:paraId="06AF97CE" w14:textId="77777777" w:rsidR="00290DEC" w:rsidRDefault="00290DEC" w:rsidP="00E97713">
      <w:pPr>
        <w:pStyle w:val="ListParagraph"/>
        <w:numPr>
          <w:ilvl w:val="0"/>
          <w:numId w:val="20"/>
        </w:numPr>
        <w:jc w:val="both"/>
        <w:rPr>
          <w:rFonts w:eastAsiaTheme="minorHAnsi" w:cs="Calibri"/>
          <w:sz w:val="20"/>
          <w:szCs w:val="22"/>
        </w:rPr>
      </w:pPr>
      <w:r w:rsidRPr="0021372A">
        <w:rPr>
          <w:rFonts w:eastAsiaTheme="minorHAnsi" w:cs="Calibri"/>
          <w:sz w:val="20"/>
          <w:szCs w:val="22"/>
        </w:rPr>
        <w:t xml:space="preserve">The LEA </w:t>
      </w:r>
      <w:r w:rsidR="00E97713" w:rsidRPr="0021372A">
        <w:rPr>
          <w:rFonts w:eastAsiaTheme="minorHAnsi" w:cs="Calibri"/>
          <w:sz w:val="20"/>
          <w:szCs w:val="22"/>
        </w:rPr>
        <w:t xml:space="preserve">assures that it is </w:t>
      </w:r>
      <w:r w:rsidRPr="0021372A">
        <w:rPr>
          <w:rFonts w:eastAsiaTheme="minorHAnsi" w:cs="Calibri"/>
          <w:sz w:val="20"/>
          <w:szCs w:val="22"/>
        </w:rPr>
        <w:t xml:space="preserve">in compliance with the </w:t>
      </w:r>
      <w:r w:rsidR="00E97713" w:rsidRPr="0021372A">
        <w:rPr>
          <w:rFonts w:eastAsiaTheme="minorHAnsi" w:cs="Calibri"/>
          <w:sz w:val="20"/>
          <w:szCs w:val="22"/>
        </w:rPr>
        <w:t xml:space="preserve">supplement, not supplant </w:t>
      </w:r>
      <w:r w:rsidRPr="0021372A">
        <w:rPr>
          <w:rFonts w:eastAsiaTheme="minorHAnsi" w:cs="Calibri"/>
          <w:sz w:val="20"/>
          <w:szCs w:val="22"/>
        </w:rPr>
        <w:t>provisions within section 1118(b) of</w:t>
      </w:r>
      <w:r w:rsidR="00FC752E" w:rsidRPr="0021372A">
        <w:rPr>
          <w:rFonts w:eastAsiaTheme="minorHAnsi" w:cs="Calibri"/>
          <w:sz w:val="20"/>
          <w:szCs w:val="22"/>
        </w:rPr>
        <w:t>, and referenced throughout,</w:t>
      </w:r>
      <w:r w:rsidRPr="0021372A">
        <w:rPr>
          <w:rFonts w:eastAsiaTheme="minorHAnsi" w:cs="Calibri"/>
          <w:sz w:val="20"/>
          <w:szCs w:val="22"/>
        </w:rPr>
        <w:t xml:space="preserve"> the E</w:t>
      </w:r>
      <w:r w:rsidR="00E97713" w:rsidRPr="0021372A">
        <w:rPr>
          <w:rFonts w:eastAsiaTheme="minorHAnsi" w:cs="Calibri"/>
          <w:sz w:val="20"/>
          <w:szCs w:val="22"/>
        </w:rPr>
        <w:t>very Student Succeeds Act.</w:t>
      </w:r>
    </w:p>
    <w:p w14:paraId="195F7D33" w14:textId="77777777" w:rsidR="007E2BFF" w:rsidRDefault="00507F8B" w:rsidP="007E2BFF">
      <w:pPr>
        <w:pStyle w:val="ListParagraph"/>
        <w:ind w:left="1128"/>
        <w:jc w:val="both"/>
        <w:rPr>
          <w:rFonts w:eastAsiaTheme="minorHAnsi" w:cs="Calibri"/>
          <w:b/>
          <w:i/>
          <w:sz w:val="20"/>
          <w:szCs w:val="22"/>
        </w:rPr>
      </w:pPr>
      <w:r>
        <w:rPr>
          <w:rFonts w:eastAsiaTheme="minorHAnsi" w:cs="Calibri"/>
          <w:b/>
          <w:i/>
          <w:sz w:val="20"/>
          <w:szCs w:val="22"/>
        </w:rPr>
        <w:t>No further action is required beyond the assurance.</w:t>
      </w:r>
    </w:p>
    <w:p w14:paraId="7F52CC50" w14:textId="77777777" w:rsidR="00507F8B" w:rsidRDefault="00507F8B" w:rsidP="007E2BFF">
      <w:pPr>
        <w:pStyle w:val="ListParagraph"/>
        <w:ind w:left="1128"/>
        <w:jc w:val="both"/>
        <w:rPr>
          <w:rFonts w:eastAsiaTheme="minorHAnsi" w:cs="Calibri"/>
          <w:b/>
          <w:i/>
          <w:sz w:val="20"/>
          <w:szCs w:val="22"/>
        </w:rPr>
      </w:pPr>
    </w:p>
    <w:p w14:paraId="26752182" w14:textId="77777777" w:rsidR="00507F8B" w:rsidRPr="0020551C" w:rsidRDefault="00507F8B" w:rsidP="0020551C">
      <w:pPr>
        <w:jc w:val="both"/>
        <w:rPr>
          <w:rFonts w:eastAsiaTheme="minorHAnsi" w:cs="Calibri"/>
          <w:b/>
          <w:i/>
          <w:sz w:val="20"/>
          <w:szCs w:val="22"/>
        </w:rPr>
      </w:pPr>
    </w:p>
    <w:p w14:paraId="76934939" w14:textId="77777777" w:rsidR="007E2BFF" w:rsidRPr="007E2BFF" w:rsidRDefault="0020551C" w:rsidP="007E2BFF">
      <w:pPr>
        <w:pStyle w:val="ListParagraph"/>
        <w:numPr>
          <w:ilvl w:val="0"/>
          <w:numId w:val="21"/>
        </w:numPr>
        <w:jc w:val="both"/>
        <w:rPr>
          <w:rFonts w:eastAsiaTheme="minorHAnsi" w:cs="Calibri"/>
          <w:sz w:val="20"/>
          <w:szCs w:val="22"/>
        </w:rPr>
      </w:pPr>
      <w:r>
        <w:rPr>
          <w:rFonts w:eastAsiaTheme="minorHAnsi" w:cs="Calibri"/>
          <w:b/>
          <w:sz w:val="20"/>
          <w:szCs w:val="22"/>
        </w:rPr>
        <w:t xml:space="preserve">For </w:t>
      </w:r>
      <w:r w:rsidR="007E2BFF" w:rsidRPr="00633CC3">
        <w:rPr>
          <w:rFonts w:eastAsiaTheme="minorHAnsi" w:cs="Calibri"/>
          <w:b/>
          <w:sz w:val="20"/>
          <w:szCs w:val="22"/>
        </w:rPr>
        <w:t>LEAs</w:t>
      </w:r>
      <w:r w:rsidR="00633CC3" w:rsidRPr="00633CC3">
        <w:rPr>
          <w:rFonts w:eastAsiaTheme="minorHAnsi" w:cs="Calibri"/>
          <w:b/>
          <w:sz w:val="20"/>
          <w:szCs w:val="22"/>
        </w:rPr>
        <w:t xml:space="preserve"> with more than one school </w:t>
      </w:r>
      <w:r w:rsidR="00633CC3" w:rsidRPr="0020551C">
        <w:rPr>
          <w:rFonts w:eastAsiaTheme="minorHAnsi" w:cs="Calibri"/>
          <w:b/>
          <w:sz w:val="20"/>
          <w:szCs w:val="22"/>
        </w:rPr>
        <w:t>code (i.e. the LEA has multiple schools with different school codes)</w:t>
      </w:r>
      <w:r w:rsidRPr="0020551C">
        <w:rPr>
          <w:rFonts w:eastAsiaTheme="minorHAnsi" w:cs="Calibri"/>
          <w:b/>
          <w:sz w:val="20"/>
          <w:szCs w:val="22"/>
        </w:rPr>
        <w:t>:</w:t>
      </w:r>
    </w:p>
    <w:p w14:paraId="0B6CF71D" w14:textId="77777777" w:rsidR="007E2BFF" w:rsidRDefault="007E2BFF" w:rsidP="007E2BFF">
      <w:pPr>
        <w:pStyle w:val="ListParagraph"/>
        <w:numPr>
          <w:ilvl w:val="0"/>
          <w:numId w:val="20"/>
        </w:numPr>
        <w:jc w:val="both"/>
        <w:rPr>
          <w:rFonts w:eastAsiaTheme="minorHAnsi" w:cs="Calibri"/>
          <w:sz w:val="20"/>
          <w:szCs w:val="22"/>
        </w:rPr>
      </w:pPr>
      <w:r w:rsidRPr="0021372A">
        <w:rPr>
          <w:rFonts w:eastAsiaTheme="minorHAnsi" w:cs="Calibri"/>
          <w:sz w:val="20"/>
          <w:szCs w:val="22"/>
        </w:rPr>
        <w:t>The LEA assures that it is in compliance with the supplement, not supplant provisions within section 1118(b) of, and referenced throughout, the Every Student Succeeds Act.</w:t>
      </w:r>
    </w:p>
    <w:p w14:paraId="6E50BA1F" w14:textId="77777777" w:rsidR="007E2BFF" w:rsidRDefault="007E2BFF" w:rsidP="007E2BFF">
      <w:pPr>
        <w:pStyle w:val="ListParagraph"/>
        <w:ind w:left="1128"/>
        <w:jc w:val="both"/>
        <w:rPr>
          <w:rFonts w:eastAsiaTheme="minorHAnsi" w:cs="Calibri"/>
          <w:sz w:val="20"/>
          <w:szCs w:val="22"/>
        </w:rPr>
      </w:pPr>
    </w:p>
    <w:p w14:paraId="2A012602" w14:textId="77777777" w:rsidR="00E97713" w:rsidRPr="0021372A" w:rsidRDefault="00E97713" w:rsidP="00E97713">
      <w:pPr>
        <w:pStyle w:val="ListParagraph"/>
        <w:numPr>
          <w:ilvl w:val="0"/>
          <w:numId w:val="20"/>
        </w:numPr>
        <w:jc w:val="both"/>
        <w:rPr>
          <w:rFonts w:eastAsiaTheme="minorHAnsi" w:cs="Calibri"/>
          <w:sz w:val="20"/>
          <w:szCs w:val="22"/>
        </w:rPr>
      </w:pPr>
      <w:r w:rsidRPr="0021372A">
        <w:rPr>
          <w:rFonts w:eastAsiaTheme="minorHAnsi" w:cs="Calibri"/>
          <w:sz w:val="20"/>
          <w:szCs w:val="22"/>
        </w:rPr>
        <w:t>The LEA assures that it has adopted and implemented the following methodology to allocate State and local (non-Federal) funds to all schools in the LEA, regardless of Title I status (select only one):</w:t>
      </w:r>
    </w:p>
    <w:p w14:paraId="091BE030" w14:textId="77777777" w:rsidR="00E97713" w:rsidRPr="0021372A" w:rsidRDefault="00E97713" w:rsidP="00E97713">
      <w:pPr>
        <w:pStyle w:val="Body"/>
        <w:numPr>
          <w:ilvl w:val="1"/>
          <w:numId w:val="20"/>
        </w:numPr>
        <w:spacing w:after="0"/>
        <w:ind w:left="1843"/>
        <w:rPr>
          <w:color w:val="auto"/>
          <w:sz w:val="20"/>
        </w:rPr>
      </w:pPr>
      <w:r w:rsidRPr="0021372A">
        <w:rPr>
          <w:color w:val="auto"/>
          <w:sz w:val="20"/>
        </w:rPr>
        <w:t>Distribution of State and local (non-Federal) resources based on the characteristics of the students</w:t>
      </w:r>
    </w:p>
    <w:p w14:paraId="0D745387" w14:textId="77777777" w:rsidR="00E97713" w:rsidRPr="0021372A" w:rsidRDefault="00E97713" w:rsidP="00E97713">
      <w:pPr>
        <w:pStyle w:val="Body"/>
        <w:numPr>
          <w:ilvl w:val="1"/>
          <w:numId w:val="20"/>
        </w:numPr>
        <w:spacing w:after="0"/>
        <w:ind w:left="1843"/>
        <w:rPr>
          <w:color w:val="auto"/>
          <w:sz w:val="20"/>
        </w:rPr>
      </w:pPr>
      <w:r w:rsidRPr="0021372A">
        <w:rPr>
          <w:color w:val="auto"/>
          <w:sz w:val="20"/>
        </w:rPr>
        <w:lastRenderedPageBreak/>
        <w:t>Distribution of State and local (non-Federal) resources based on staffing and supplies</w:t>
      </w:r>
    </w:p>
    <w:p w14:paraId="42B51D76" w14:textId="77777777" w:rsidR="00D21725" w:rsidRDefault="00D21725" w:rsidP="004E69C8">
      <w:pPr>
        <w:pStyle w:val="Body"/>
        <w:numPr>
          <w:ilvl w:val="1"/>
          <w:numId w:val="20"/>
        </w:numPr>
        <w:spacing w:after="0"/>
        <w:ind w:left="1843"/>
        <w:rPr>
          <w:color w:val="auto"/>
          <w:sz w:val="20"/>
        </w:rPr>
      </w:pPr>
      <w:r w:rsidRPr="00D21725">
        <w:rPr>
          <w:color w:val="auto"/>
          <w:sz w:val="20"/>
        </w:rPr>
        <w:t>Distribution of State and local (non-Federal) resources based on a combination of the characteristics of the students and staffing and supplies</w:t>
      </w:r>
    </w:p>
    <w:p w14:paraId="39381348" w14:textId="77777777" w:rsidR="00E97713" w:rsidRPr="00D21725" w:rsidRDefault="00E97713" w:rsidP="004E69C8">
      <w:pPr>
        <w:pStyle w:val="Body"/>
        <w:numPr>
          <w:ilvl w:val="1"/>
          <w:numId w:val="20"/>
        </w:numPr>
        <w:spacing w:after="0"/>
        <w:ind w:left="1843"/>
        <w:rPr>
          <w:color w:val="auto"/>
          <w:sz w:val="20"/>
        </w:rPr>
      </w:pPr>
      <w:r w:rsidRPr="00D21725">
        <w:rPr>
          <w:color w:val="auto"/>
          <w:sz w:val="20"/>
        </w:rPr>
        <w:t xml:space="preserve">Other, as adopted and implemented by the LEA </w:t>
      </w:r>
    </w:p>
    <w:p w14:paraId="37487BB6" w14:textId="77777777" w:rsidR="003F501C" w:rsidRPr="0021372A" w:rsidRDefault="003F501C" w:rsidP="003F501C">
      <w:pPr>
        <w:pStyle w:val="Body"/>
        <w:spacing w:after="0"/>
        <w:ind w:left="1128"/>
        <w:rPr>
          <w:color w:val="auto"/>
          <w:sz w:val="20"/>
        </w:rPr>
      </w:pPr>
    </w:p>
    <w:p w14:paraId="72BEC4B0" w14:textId="77777777" w:rsidR="00FC752E" w:rsidRPr="004904CB" w:rsidRDefault="003F501C" w:rsidP="004904CB">
      <w:pPr>
        <w:pStyle w:val="Body"/>
        <w:numPr>
          <w:ilvl w:val="0"/>
          <w:numId w:val="20"/>
        </w:numPr>
        <w:spacing w:after="0"/>
        <w:rPr>
          <w:color w:val="auto"/>
          <w:sz w:val="20"/>
        </w:rPr>
      </w:pPr>
      <w:r w:rsidRPr="0021372A">
        <w:rPr>
          <w:color w:val="auto"/>
          <w:sz w:val="20"/>
        </w:rPr>
        <w:t xml:space="preserve">The LEA has provided </w:t>
      </w:r>
      <w:r w:rsidR="00FC752E" w:rsidRPr="0021372A">
        <w:rPr>
          <w:color w:val="auto"/>
          <w:sz w:val="20"/>
        </w:rPr>
        <w:t>a narr</w:t>
      </w:r>
      <w:r w:rsidR="004904CB">
        <w:rPr>
          <w:color w:val="auto"/>
          <w:sz w:val="20"/>
        </w:rPr>
        <w:t xml:space="preserve">ative description of either the </w:t>
      </w:r>
      <w:r w:rsidRPr="004904CB">
        <w:rPr>
          <w:color w:val="auto"/>
          <w:sz w:val="20"/>
        </w:rPr>
        <w:t>LEA’s methodology or a reference to the LEA’s Financial Transparency document in which the methodology is described</w:t>
      </w:r>
      <w:r w:rsidR="00FC752E" w:rsidRPr="004904CB">
        <w:rPr>
          <w:color w:val="auto"/>
          <w:sz w:val="20"/>
        </w:rPr>
        <w:t>,</w:t>
      </w:r>
    </w:p>
    <w:p w14:paraId="1B8C9065" w14:textId="77777777" w:rsidR="00FC752E" w:rsidRPr="0021372A" w:rsidRDefault="00FC752E" w:rsidP="00FC752E">
      <w:pPr>
        <w:pStyle w:val="Body"/>
        <w:spacing w:after="0"/>
        <w:ind w:left="1170"/>
        <w:rPr>
          <w:rFonts w:eastAsiaTheme="minorEastAsia" w:cstheme="minorBidi"/>
          <w:i/>
          <w:color w:val="auto"/>
          <w:sz w:val="20"/>
          <w:szCs w:val="24"/>
        </w:rPr>
      </w:pPr>
      <w:r w:rsidRPr="0021372A">
        <w:rPr>
          <w:rFonts w:eastAsiaTheme="minorEastAsia" w:cstheme="minorBidi"/>
          <w:i/>
          <w:color w:val="auto"/>
          <w:sz w:val="20"/>
          <w:szCs w:val="24"/>
        </w:rPr>
        <w:t xml:space="preserve">Note:  The LEA may provide the narrative description, as selected, in the text box </w:t>
      </w:r>
      <w:r w:rsidR="00CA1865">
        <w:rPr>
          <w:rFonts w:eastAsiaTheme="minorEastAsia" w:cstheme="minorBidi"/>
          <w:i/>
          <w:color w:val="auto"/>
          <w:sz w:val="20"/>
          <w:szCs w:val="24"/>
        </w:rPr>
        <w:t>below</w:t>
      </w:r>
      <w:r w:rsidRPr="0021372A">
        <w:rPr>
          <w:rFonts w:eastAsiaTheme="minorEastAsia" w:cstheme="minorBidi"/>
          <w:i/>
          <w:color w:val="auto"/>
          <w:sz w:val="20"/>
          <w:szCs w:val="24"/>
        </w:rPr>
        <w:t xml:space="preserve"> or may attach an addendum hereto.</w:t>
      </w:r>
    </w:p>
    <w:p w14:paraId="7A8C414A" w14:textId="77777777" w:rsidR="003F501C" w:rsidRPr="003F501C" w:rsidRDefault="00CA1865" w:rsidP="00FC752E">
      <w:pPr>
        <w:pStyle w:val="Body"/>
        <w:spacing w:after="0"/>
        <w:ind w:left="1128"/>
        <w:rPr>
          <w:rFonts w:eastAsiaTheme="minorEastAsia" w:cstheme="minorBidi"/>
          <w:color w:val="auto"/>
          <w:szCs w:val="24"/>
        </w:rPr>
      </w:pPr>
      <w:r w:rsidRPr="0021372A">
        <w:rPr>
          <w:noProof/>
          <w:color w:val="auto"/>
          <w:sz w:val="20"/>
        </w:rPr>
        <mc:AlternateContent>
          <mc:Choice Requires="wps">
            <w:drawing>
              <wp:anchor distT="45720" distB="45720" distL="114300" distR="114300" simplePos="0" relativeHeight="251658752" behindDoc="0" locked="0" layoutInCell="1" allowOverlap="1" wp14:anchorId="56919B36" wp14:editId="2AFC5C7B">
                <wp:simplePos x="0" y="0"/>
                <wp:positionH relativeFrom="margin">
                  <wp:posOffset>723900</wp:posOffset>
                </wp:positionH>
                <wp:positionV relativeFrom="paragraph">
                  <wp:posOffset>67310</wp:posOffset>
                </wp:positionV>
                <wp:extent cx="6121400" cy="1314450"/>
                <wp:effectExtent l="0" t="0" r="12700" b="19050"/>
                <wp:wrapSquare wrapText="bothSides"/>
                <wp:docPr id="217" name="Text Box 2" descr="This text box permits the LEA to type a description of the methodology or a plan to come into compliance with the supplement, not supplant provisions." title="Narrative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314450"/>
                        </a:xfrm>
                        <a:prstGeom prst="rect">
                          <a:avLst/>
                        </a:prstGeom>
                        <a:solidFill>
                          <a:srgbClr val="FFFFFF"/>
                        </a:solidFill>
                        <a:ln w="9525">
                          <a:solidFill>
                            <a:srgbClr val="000000"/>
                          </a:solidFill>
                          <a:miter lim="800000"/>
                          <a:headEnd/>
                          <a:tailEnd/>
                        </a:ln>
                      </wps:spPr>
                      <wps:txbx>
                        <w:txbxContent>
                          <w:p w14:paraId="172D6560" w14:textId="77777777" w:rsidR="003F501C" w:rsidRPr="007E2BFF" w:rsidRDefault="003F501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19B36" id="Text Box 2" o:spid="_x0000_s1028" type="#_x0000_t202" alt="Title: Narrative Description - Description: This text box permits the LEA to type a description of the methodology or a plan to come into compliance with the supplement, not supplant provisions." style="position:absolute;left:0;text-align:left;margin-left:57pt;margin-top:5.3pt;width:482pt;height:10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">
                <v:textbox>
                  <w:txbxContent>
                    <w:p w14:paraId="172D6560" w14:textId="77777777" w:rsidR="003F501C" w:rsidRPr="007E2BFF" w:rsidRDefault="003F501C">
                      <w:pPr>
                        <w:rPr>
                          <w:sz w:val="18"/>
                        </w:rPr>
                      </w:pPr>
                    </w:p>
                  </w:txbxContent>
                </v:textbox>
                <w10:wrap type="square" anchorx="margin"/>
              </v:shape>
            </w:pict>
          </mc:Fallback>
        </mc:AlternateContent>
      </w:r>
    </w:p>
    <w:p w14:paraId="71B1A279" w14:textId="77777777" w:rsidR="00E97713" w:rsidRDefault="003F501C" w:rsidP="003F501C">
      <w:pPr>
        <w:ind w:left="720"/>
        <w:rPr>
          <w:rFonts w:eastAsiaTheme="minorHAnsi" w:cs="Calibri"/>
          <w:b/>
          <w:color w:val="4E5758"/>
          <w:sz w:val="20"/>
          <w:szCs w:val="22"/>
        </w:rPr>
      </w:pPr>
      <w:r>
        <w:rPr>
          <w:rFonts w:eastAsiaTheme="minorHAnsi" w:cs="Calibri"/>
          <w:b/>
          <w:color w:val="4E5758"/>
          <w:sz w:val="20"/>
          <w:szCs w:val="22"/>
        </w:rPr>
        <w:t xml:space="preserve">This form shall remain in effect for the duration of Title I, Part A as authorized under the Every Student Succeeds Act, unless the LEA adopts or implements </w:t>
      </w:r>
      <w:r w:rsidR="00FC752E">
        <w:rPr>
          <w:rFonts w:eastAsiaTheme="minorHAnsi" w:cs="Calibri"/>
          <w:b/>
          <w:color w:val="4E5758"/>
          <w:sz w:val="20"/>
          <w:szCs w:val="22"/>
        </w:rPr>
        <w:t xml:space="preserve">a new or revised </w:t>
      </w:r>
      <w:r>
        <w:rPr>
          <w:rFonts w:eastAsiaTheme="minorHAnsi" w:cs="Calibri"/>
          <w:b/>
          <w:color w:val="4E5758"/>
          <w:sz w:val="20"/>
          <w:szCs w:val="22"/>
        </w:rPr>
        <w:t xml:space="preserve">methodology for allocating State and local (non-Federal) funds during such time.  Upon adoption or implementation of </w:t>
      </w:r>
      <w:r w:rsidR="00FC752E">
        <w:rPr>
          <w:rFonts w:eastAsiaTheme="minorHAnsi" w:cs="Calibri"/>
          <w:b/>
          <w:color w:val="4E5758"/>
          <w:sz w:val="20"/>
          <w:szCs w:val="22"/>
        </w:rPr>
        <w:t>a revised</w:t>
      </w:r>
      <w:r>
        <w:rPr>
          <w:rFonts w:eastAsiaTheme="minorHAnsi" w:cs="Calibri"/>
          <w:b/>
          <w:color w:val="4E5758"/>
          <w:sz w:val="20"/>
          <w:szCs w:val="22"/>
        </w:rPr>
        <w:t xml:space="preserve"> methodology, it is incumbent upon the LEA to provide an updated demonstration of compliance form to the Office of ESEA Programs within the Colorado Department of Education.</w:t>
      </w:r>
    </w:p>
    <w:p w14:paraId="46B3000E" w14:textId="77777777" w:rsidR="003F501C" w:rsidRDefault="003F501C" w:rsidP="003F501C">
      <w:pPr>
        <w:ind w:left="720"/>
        <w:rPr>
          <w:rFonts w:eastAsiaTheme="minorHAnsi" w:cs="Calibri"/>
          <w:b/>
          <w:color w:val="4E5758"/>
          <w:sz w:val="20"/>
          <w:szCs w:val="22"/>
        </w:rPr>
      </w:pPr>
    </w:p>
    <w:p w14:paraId="5C15FBEA" w14:textId="77777777" w:rsidR="003F501C" w:rsidRDefault="003F501C" w:rsidP="003F501C">
      <w:pPr>
        <w:ind w:left="720"/>
        <w:rPr>
          <w:rFonts w:eastAsiaTheme="minorHAnsi" w:cs="Calibri"/>
          <w:b/>
          <w:color w:val="4E5758"/>
          <w:sz w:val="20"/>
          <w:szCs w:val="22"/>
        </w:rPr>
      </w:pPr>
      <w:r>
        <w:rPr>
          <w:rFonts w:eastAsiaTheme="minorHAnsi" w:cs="Calibri"/>
          <w:b/>
          <w:color w:val="4E5758"/>
          <w:sz w:val="20"/>
          <w:szCs w:val="22"/>
        </w:rPr>
        <w:t>Compliance with the provisions of these assurances and descriptions, including any addenda or external documents referenced herein, constitutes a condition of continued receipt of Federal financial assistance and is binding upon the LEA, its successors, transferees and assignees for the duration of the program.</w:t>
      </w:r>
    </w:p>
    <w:p w14:paraId="526E3040" w14:textId="77777777" w:rsidR="003F501C" w:rsidRDefault="003F501C" w:rsidP="003F501C">
      <w:pPr>
        <w:ind w:left="720"/>
        <w:rPr>
          <w:rFonts w:eastAsiaTheme="minorHAnsi" w:cs="Calibri"/>
          <w:b/>
          <w:color w:val="4E5758"/>
          <w:sz w:val="20"/>
          <w:szCs w:val="22"/>
        </w:rPr>
      </w:pPr>
    </w:p>
    <w:p w14:paraId="683DE4D5" w14:textId="77777777" w:rsidR="003F501C" w:rsidRDefault="003F501C" w:rsidP="003F501C">
      <w:pPr>
        <w:ind w:left="720"/>
        <w:rPr>
          <w:rFonts w:eastAsiaTheme="minorHAnsi" w:cs="Calibri"/>
          <w:b/>
          <w:color w:val="4E5758"/>
          <w:sz w:val="20"/>
          <w:szCs w:val="22"/>
        </w:rPr>
      </w:pPr>
      <w:r>
        <w:rPr>
          <w:rFonts w:eastAsiaTheme="minorHAnsi" w:cs="Calibri"/>
          <w:b/>
          <w:color w:val="4E5758"/>
          <w:sz w:val="20"/>
          <w:szCs w:val="22"/>
        </w:rPr>
        <w:t>In the event of failure to comply with these conditions, it is understood that funds can be terminated and the right to receive further assistance may be denied.</w:t>
      </w:r>
    </w:p>
    <w:p w14:paraId="2980BA90" w14:textId="77777777" w:rsidR="003F501C" w:rsidRDefault="003F501C" w:rsidP="003F501C">
      <w:pPr>
        <w:ind w:left="720"/>
        <w:rPr>
          <w:rFonts w:eastAsiaTheme="minorHAnsi" w:cs="Calibri"/>
          <w:b/>
          <w:color w:val="4E5758"/>
          <w:sz w:val="20"/>
          <w:szCs w:val="22"/>
        </w:rPr>
      </w:pPr>
    </w:p>
    <w:p w14:paraId="4A81F177" w14:textId="77777777" w:rsidR="00324338" w:rsidRPr="00324338" w:rsidRDefault="00324338" w:rsidP="003F501C">
      <w:pPr>
        <w:ind w:left="720"/>
        <w:rPr>
          <w:rFonts w:eastAsiaTheme="minorHAnsi" w:cs="Calibri"/>
          <w:b/>
          <w:color w:val="4E5758"/>
          <w:sz w:val="20"/>
          <w:szCs w:val="22"/>
          <w:u w:val="single"/>
        </w:rPr>
      </w:pP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p>
    <w:p w14:paraId="7619432F" w14:textId="77777777" w:rsidR="003F501C" w:rsidRDefault="00324338" w:rsidP="003F501C">
      <w:pPr>
        <w:ind w:left="720"/>
        <w:rPr>
          <w:rFonts w:eastAsiaTheme="minorHAnsi" w:cs="Calibri"/>
          <w:b/>
          <w:color w:val="4E5758"/>
          <w:sz w:val="20"/>
          <w:szCs w:val="22"/>
          <w:u w:val="single"/>
        </w:rPr>
      </w:pPr>
      <w:r>
        <w:rPr>
          <w:rFonts w:eastAsiaTheme="minorHAnsi" w:cs="Calibri"/>
          <w:color w:val="4E5758"/>
          <w:sz w:val="20"/>
          <w:szCs w:val="22"/>
        </w:rPr>
        <w:t>Name of Board President (LEA)</w:t>
      </w:r>
    </w:p>
    <w:p w14:paraId="423363ED" w14:textId="77777777" w:rsidR="00324338" w:rsidRDefault="00324338" w:rsidP="003F501C">
      <w:pPr>
        <w:ind w:left="720"/>
        <w:rPr>
          <w:rFonts w:eastAsiaTheme="minorHAnsi" w:cs="Calibri"/>
          <w:b/>
          <w:color w:val="4E5758"/>
          <w:sz w:val="20"/>
          <w:szCs w:val="22"/>
          <w:u w:val="single"/>
        </w:rPr>
      </w:pPr>
    </w:p>
    <w:p w14:paraId="488D4CB2" w14:textId="77777777" w:rsidR="00324338" w:rsidRDefault="00324338" w:rsidP="003F501C">
      <w:pPr>
        <w:ind w:left="720"/>
        <w:rPr>
          <w:rFonts w:eastAsiaTheme="minorHAnsi" w:cs="Calibri"/>
          <w:b/>
          <w:color w:val="4E5758"/>
          <w:sz w:val="20"/>
          <w:szCs w:val="22"/>
        </w:rPr>
      </w:pP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r>
        <w:rPr>
          <w:rFonts w:eastAsiaTheme="minorHAnsi" w:cs="Calibri"/>
          <w:b/>
          <w:color w:val="4E5758"/>
          <w:sz w:val="20"/>
          <w:szCs w:val="22"/>
          <w:u w:val="single"/>
        </w:rPr>
        <w:tab/>
      </w:r>
    </w:p>
    <w:p w14:paraId="6FC41B15" w14:textId="77777777" w:rsidR="00324338" w:rsidRDefault="00324338" w:rsidP="003F501C">
      <w:pPr>
        <w:ind w:left="720"/>
        <w:rPr>
          <w:rFonts w:eastAsiaTheme="minorHAnsi" w:cs="Calibri"/>
          <w:color w:val="4E5758"/>
          <w:sz w:val="20"/>
          <w:szCs w:val="22"/>
        </w:rPr>
      </w:pPr>
      <w:r>
        <w:rPr>
          <w:rFonts w:eastAsiaTheme="minorHAnsi" w:cs="Calibri"/>
          <w:color w:val="4E5758"/>
          <w:sz w:val="20"/>
          <w:szCs w:val="22"/>
        </w:rPr>
        <w:t>Signature of Board President (LEA)</w:t>
      </w:r>
    </w:p>
    <w:p w14:paraId="514FED56" w14:textId="77777777" w:rsidR="00324338" w:rsidRDefault="00324338" w:rsidP="003F501C">
      <w:pPr>
        <w:ind w:left="720"/>
        <w:rPr>
          <w:rFonts w:eastAsiaTheme="minorHAnsi" w:cs="Calibri"/>
          <w:color w:val="4E5758"/>
          <w:sz w:val="20"/>
          <w:szCs w:val="22"/>
        </w:rPr>
      </w:pPr>
    </w:p>
    <w:p w14:paraId="0250EE10" w14:textId="77777777" w:rsidR="00324338" w:rsidRDefault="00324338" w:rsidP="003F501C">
      <w:pPr>
        <w:ind w:left="720"/>
        <w:rPr>
          <w:rFonts w:eastAsiaTheme="minorHAnsi" w:cs="Calibri"/>
          <w:color w:val="4E5758"/>
          <w:sz w:val="20"/>
          <w:szCs w:val="22"/>
        </w:rPr>
      </w:pPr>
      <w:r>
        <w:rPr>
          <w:rFonts w:eastAsiaTheme="minorHAnsi" w:cs="Calibri"/>
          <w:color w:val="4E5758"/>
          <w:sz w:val="20"/>
          <w:szCs w:val="22"/>
          <w:u w:val="single"/>
        </w:rPr>
        <w:tab/>
      </w:r>
      <w:r>
        <w:rPr>
          <w:rFonts w:eastAsiaTheme="minorHAnsi" w:cs="Calibri"/>
          <w:color w:val="4E5758"/>
          <w:sz w:val="20"/>
          <w:szCs w:val="22"/>
          <w:u w:val="single"/>
        </w:rPr>
        <w:tab/>
      </w:r>
      <w:r>
        <w:rPr>
          <w:rFonts w:eastAsiaTheme="minorHAnsi" w:cs="Calibri"/>
          <w:color w:val="4E5758"/>
          <w:sz w:val="20"/>
          <w:szCs w:val="22"/>
          <w:u w:val="single"/>
        </w:rPr>
        <w:tab/>
      </w:r>
      <w:r>
        <w:rPr>
          <w:rFonts w:eastAsiaTheme="minorHAnsi" w:cs="Calibri"/>
          <w:color w:val="4E5758"/>
          <w:sz w:val="20"/>
          <w:szCs w:val="22"/>
          <w:u w:val="single"/>
        </w:rPr>
        <w:tab/>
      </w:r>
      <w:r>
        <w:rPr>
          <w:rFonts w:eastAsiaTheme="minorHAnsi" w:cs="Calibri"/>
          <w:color w:val="4E5758"/>
          <w:sz w:val="20"/>
          <w:szCs w:val="22"/>
          <w:u w:val="single"/>
        </w:rPr>
        <w:tab/>
      </w:r>
    </w:p>
    <w:p w14:paraId="75C98BEA" w14:textId="77777777" w:rsidR="00324338" w:rsidRPr="00324338" w:rsidRDefault="00324338" w:rsidP="003F501C">
      <w:pPr>
        <w:ind w:left="720"/>
        <w:rPr>
          <w:rFonts w:eastAsiaTheme="minorHAnsi" w:cs="Calibri"/>
          <w:color w:val="4E5758"/>
          <w:sz w:val="20"/>
          <w:szCs w:val="22"/>
        </w:rPr>
      </w:pPr>
      <w:r>
        <w:rPr>
          <w:rFonts w:eastAsiaTheme="minorHAnsi" w:cs="Calibri"/>
          <w:color w:val="4E5758"/>
          <w:sz w:val="20"/>
          <w:szCs w:val="22"/>
        </w:rPr>
        <w:t>Date</w:t>
      </w:r>
    </w:p>
    <w:sectPr w:rsidR="00324338" w:rsidRPr="00324338" w:rsidSect="00B0215B">
      <w:headerReference w:type="default" r:id="rId16"/>
      <w:footerReference w:type="default" r:id="rId17"/>
      <w:headerReference w:type="first" r:id="rId18"/>
      <w:footerReference w:type="first" r:id="rId19"/>
      <w:pgSz w:w="12240" w:h="15840"/>
      <w:pgMar w:top="1440" w:right="720" w:bottom="288" w:left="720" w:header="1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D708B" w14:textId="77777777" w:rsidR="00BA4C68" w:rsidRDefault="00BA4C68" w:rsidP="00715744">
      <w:r>
        <w:separator/>
      </w:r>
    </w:p>
    <w:p w14:paraId="393355F2" w14:textId="77777777" w:rsidR="00BA4C68" w:rsidRDefault="00BA4C68"/>
  </w:endnote>
  <w:endnote w:type="continuationSeparator" w:id="0">
    <w:p w14:paraId="7D2AC8A4" w14:textId="77777777" w:rsidR="00BA4C68" w:rsidRDefault="00BA4C68" w:rsidP="00715744">
      <w:r>
        <w:continuationSeparator/>
      </w:r>
    </w:p>
    <w:p w14:paraId="6D602C92" w14:textId="77777777" w:rsidR="00BA4C68" w:rsidRDefault="00BA4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89734" w14:textId="2D6E8A66" w:rsidR="004423DE" w:rsidRDefault="00327572" w:rsidP="002B3B48">
    <w:pPr>
      <w:pStyle w:val="Footer"/>
      <w:jc w:val="right"/>
      <w:rPr>
        <w:color w:val="5C6670" w:themeColor="text1"/>
        <w:sz w:val="18"/>
        <w:szCs w:val="18"/>
      </w:rPr>
    </w:pPr>
    <w:r>
      <w:rPr>
        <w:color w:val="5C6670" w:themeColor="text1"/>
        <w:sz w:val="18"/>
        <w:szCs w:val="18"/>
      </w:rPr>
      <w:t>December</w:t>
    </w:r>
    <w:r w:rsidR="007D5347">
      <w:rPr>
        <w:color w:val="5C6670" w:themeColor="text1"/>
        <w:sz w:val="18"/>
        <w:szCs w:val="18"/>
      </w:rPr>
      <w:t xml:space="preserve"> 2019</w:t>
    </w:r>
  </w:p>
  <w:p w14:paraId="1A0D96F6" w14:textId="77777777"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29FC1" w14:textId="69B37C64" w:rsidR="006533BE" w:rsidRPr="00715744" w:rsidRDefault="00327572" w:rsidP="000C244F">
    <w:pPr>
      <w:pStyle w:val="Footer"/>
      <w:jc w:val="right"/>
      <w:rPr>
        <w:color w:val="5C6670" w:themeColor="text1"/>
        <w:sz w:val="18"/>
        <w:szCs w:val="18"/>
      </w:rPr>
    </w:pPr>
    <w:r>
      <w:rPr>
        <w:color w:val="5C6670" w:themeColor="text1"/>
        <w:sz w:val="18"/>
        <w:szCs w:val="18"/>
      </w:rPr>
      <w:t>December</w:t>
    </w:r>
    <w:r w:rsidR="00CC4700">
      <w:rPr>
        <w:color w:val="5C6670" w:themeColor="text1"/>
        <w:sz w:val="18"/>
        <w:szCs w:val="18"/>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9479E" w14:textId="77777777" w:rsidR="00BA4C68" w:rsidRDefault="00BA4C68" w:rsidP="00715744">
      <w:r>
        <w:separator/>
      </w:r>
    </w:p>
    <w:p w14:paraId="744D5E26" w14:textId="77777777" w:rsidR="00BA4C68" w:rsidRDefault="00BA4C68"/>
  </w:footnote>
  <w:footnote w:type="continuationSeparator" w:id="0">
    <w:p w14:paraId="4685AC33" w14:textId="77777777" w:rsidR="00BA4C68" w:rsidRDefault="00BA4C68" w:rsidP="00715744">
      <w:r>
        <w:continuationSeparator/>
      </w:r>
    </w:p>
    <w:p w14:paraId="112C02B0" w14:textId="77777777" w:rsidR="00BA4C68" w:rsidRDefault="00BA4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B23A" w14:textId="77777777" w:rsidR="00D3357A" w:rsidRDefault="00D3357A" w:rsidP="005363FC">
    <w:pPr>
      <w:pStyle w:val="Header"/>
      <w:tabs>
        <w:tab w:val="clear" w:pos="4320"/>
        <w:tab w:val="clear" w:pos="8640"/>
        <w:tab w:val="left" w:pos="1820"/>
        <w:tab w:val="left" w:pos="3440"/>
        <w:tab w:val="left" w:pos="4373"/>
      </w:tabs>
    </w:pPr>
  </w:p>
  <w:p w14:paraId="1FD94BC4" w14:textId="77777777"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4B382CCC" wp14:editId="451B768F">
          <wp:extent cx="876300" cy="457200"/>
          <wp:effectExtent l="0" t="0" r="0" b="0"/>
          <wp:docPr id="12" name="Picture 12"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3C58DF" w14:textId="77777777" w:rsidR="00942392" w:rsidRDefault="00E8452B" w:rsidP="00942392">
    <w:pPr>
      <w:pStyle w:val="Header"/>
      <w:tabs>
        <w:tab w:val="clear" w:pos="4320"/>
        <w:tab w:val="clear" w:pos="8640"/>
        <w:tab w:val="left" w:pos="1820"/>
        <w:tab w:val="left" w:pos="3440"/>
        <w:tab w:val="left" w:pos="4373"/>
      </w:tabs>
      <w:jc w:val="right"/>
    </w:pPr>
    <w:r w:rsidRPr="00A91684">
      <w:rPr>
        <w:rFonts w:ascii="Museo Slab 500" w:hAnsi="Museo Slab 500"/>
        <w:b/>
        <w:bCs/>
        <w:sz w:val="18"/>
        <w:szCs w:val="18"/>
      </w:rPr>
      <w:t>Supplement, Not Supplant:  Demonstration Under the Every Student Succeeds Act</w:t>
    </w:r>
    <w:r w:rsidR="00942392">
      <w:rPr>
        <w:rFonts w:ascii="Museo Slab 500" w:hAnsi="Museo Slab 500"/>
        <w:b/>
        <w:bCs/>
        <w:color w:val="919BA5" w:themeColor="text1" w:themeTint="A6"/>
        <w:sz w:val="18"/>
        <w:szCs w:val="18"/>
      </w:rPr>
      <w:tab/>
    </w:r>
    <w:r w:rsidR="00942392" w:rsidRPr="00A91684">
      <w:rPr>
        <w:b/>
        <w:color w:val="2E3338" w:themeColor="text1" w:themeShade="80"/>
        <w:szCs w:val="20"/>
      </w:rPr>
      <w:fldChar w:fldCharType="begin"/>
    </w:r>
    <w:r w:rsidR="00942392" w:rsidRPr="00A91684">
      <w:rPr>
        <w:b/>
        <w:color w:val="2E3338" w:themeColor="text1" w:themeShade="80"/>
        <w:szCs w:val="20"/>
      </w:rPr>
      <w:instrText xml:space="preserve"> PAGE   \* MERGEFORMAT </w:instrText>
    </w:r>
    <w:r w:rsidR="00942392" w:rsidRPr="00A91684">
      <w:rPr>
        <w:b/>
        <w:color w:val="2E3338" w:themeColor="text1" w:themeShade="80"/>
        <w:szCs w:val="20"/>
      </w:rPr>
      <w:fldChar w:fldCharType="separate"/>
    </w:r>
    <w:r w:rsidR="00AE1F4E" w:rsidRPr="00A91684">
      <w:rPr>
        <w:b/>
        <w:noProof/>
        <w:color w:val="2E3338" w:themeColor="text1" w:themeShade="80"/>
        <w:szCs w:val="20"/>
      </w:rPr>
      <w:t>2</w:t>
    </w:r>
    <w:r w:rsidR="00942392" w:rsidRPr="00A91684">
      <w:rPr>
        <w:b/>
        <w:color w:val="2E3338" w:themeColor="text1" w:themeShade="80"/>
        <w:szCs w:val="20"/>
      </w:rPr>
      <w:fldChar w:fldCharType="end"/>
    </w:r>
  </w:p>
  <w:p w14:paraId="1C2A4578" w14:textId="77777777" w:rsidR="006533BE" w:rsidRDefault="003F78A4" w:rsidP="005363FC">
    <w:pPr>
      <w:pStyle w:val="Header"/>
      <w:tabs>
        <w:tab w:val="clear" w:pos="4320"/>
        <w:tab w:val="clear" w:pos="8640"/>
        <w:tab w:val="left" w:pos="4373"/>
      </w:tabs>
    </w:pPr>
    <w:r>
      <w:pict w14:anchorId="49A02DBB">
        <v:rect id="_x0000_i1025" style="width:540pt;height:1pt" o:hralign="center" o:hrstd="t" o:hr="t" fillcolor="#aaa"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1FCE" w14:textId="1257D68B" w:rsidR="00DD5FA3" w:rsidRDefault="00F9472E" w:rsidP="004423DE">
    <w:pPr>
      <w:pStyle w:val="Header"/>
      <w:ind w:left="-720"/>
    </w:pPr>
    <w:r>
      <w:rPr>
        <w:noProof/>
      </w:rPr>
      <w:drawing>
        <wp:anchor distT="0" distB="0" distL="114300" distR="114300" simplePos="0" relativeHeight="251671552" behindDoc="0" locked="0" layoutInCell="1" allowOverlap="1" wp14:anchorId="4ECE58A1" wp14:editId="42D2735F">
          <wp:simplePos x="0" y="0"/>
          <wp:positionH relativeFrom="column">
            <wp:posOffset>-289560</wp:posOffset>
          </wp:positionH>
          <wp:positionV relativeFrom="paragraph">
            <wp:posOffset>1294130</wp:posOffset>
          </wp:positionV>
          <wp:extent cx="1343025" cy="685800"/>
          <wp:effectExtent l="0" t="0" r="9525" b="0"/>
          <wp:wrapNone/>
          <wp:docPr id="7" name="Picture 7" descr="EDAC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466" cy="6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6E3" w:rsidRPr="00587144">
      <w:rPr>
        <w:rFonts w:eastAsia="Calibri" w:cs="Times New Roman"/>
        <w:noProof/>
        <w:szCs w:val="22"/>
      </w:rPr>
      <mc:AlternateContent>
        <mc:Choice Requires="wps">
          <w:drawing>
            <wp:anchor distT="0" distB="0" distL="114300" distR="114300" simplePos="0" relativeHeight="251669504" behindDoc="0" locked="0" layoutInCell="1" allowOverlap="1" wp14:anchorId="5EEAFE0A" wp14:editId="10A0F0B2">
              <wp:simplePos x="0" y="0"/>
              <wp:positionH relativeFrom="page">
                <wp:align>left</wp:align>
              </wp:positionH>
              <wp:positionV relativeFrom="paragraph">
                <wp:posOffset>353060</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14:paraId="7B6ADBCD" w14:textId="77777777" w:rsidR="00DD5FA3" w:rsidRPr="00587144" w:rsidRDefault="0034006F" w:rsidP="000603F3">
                          <w:pPr>
                            <w:pStyle w:val="Heading2"/>
                            <w:ind w:left="720"/>
                          </w:pPr>
                          <w:r>
                            <w:t>Supplement, Not Supplant</w:t>
                          </w:r>
                        </w:p>
                        <w:p w14:paraId="4D7F456D" w14:textId="35E44C82" w:rsidR="00DD5FA3" w:rsidRPr="00587144" w:rsidRDefault="0034006F" w:rsidP="001A50C0">
                          <w:pPr>
                            <w:pStyle w:val="Heading2"/>
                            <w:ind w:left="720"/>
                          </w:pPr>
                          <w:r>
                            <w:t>Demonstration under the Every Student Succeeds 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EAFE0A" id="_x0000_t202" coordsize="21600,21600" o:spt="202" path="m,l,21600r21600,l21600,xe">
              <v:stroke joinstyle="miter"/>
              <v:path gradientshapeok="t" o:connecttype="rect"/>
            </v:shapetype>
            <v:shape id="Text Box 10" o:spid="_x0000_s1029" type="#_x0000_t202" style="position:absolute;left:0;text-align:left;margin-left:0;margin-top:27.8pt;width:590.4pt;height:66.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" filled="f" stroked="f" strokeweight=".5pt">
              <v:textbox inset="0,0,0,0">
                <w:txbxContent>
                  <w:p w14:paraId="7B6ADBCD" w14:textId="77777777" w:rsidR="00DD5FA3" w:rsidRPr="00587144" w:rsidRDefault="0034006F" w:rsidP="000603F3">
                    <w:pPr>
                      <w:pStyle w:val="Heading2"/>
                      <w:ind w:left="720"/>
                    </w:pPr>
                    <w:r>
                      <w:t>Supplement, Not Supplant</w:t>
                    </w:r>
                  </w:p>
                  <w:p w14:paraId="4D7F456D" w14:textId="35E44C82" w:rsidR="00DD5FA3" w:rsidRPr="00587144" w:rsidRDefault="0034006F" w:rsidP="001A50C0">
                    <w:pPr>
                      <w:pStyle w:val="Heading2"/>
                      <w:ind w:left="720"/>
                    </w:pPr>
                    <w:r>
                      <w:t>Demonstration under the Every Student Succeeds Act</w:t>
                    </w:r>
                  </w:p>
                </w:txbxContent>
              </v:textbox>
              <w10:wrap anchorx="page"/>
            </v:shape>
          </w:pict>
        </mc:Fallback>
      </mc:AlternateContent>
    </w:r>
    <w:r w:rsidR="008106E3" w:rsidRPr="00FB2F6E">
      <w:rPr>
        <w:noProof/>
      </w:rPr>
      <mc:AlternateContent>
        <mc:Choice Requires="wps">
          <w:drawing>
            <wp:anchor distT="0" distB="0" distL="114300" distR="114300" simplePos="0" relativeHeight="251670528" behindDoc="0" locked="0" layoutInCell="1" allowOverlap="1" wp14:anchorId="1602FD19" wp14:editId="7EEADA48">
              <wp:simplePos x="0" y="0"/>
              <wp:positionH relativeFrom="page">
                <wp:align>left</wp:align>
              </wp:positionH>
              <wp:positionV relativeFrom="paragraph">
                <wp:posOffset>635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14:paraId="158403DC" w14:textId="77777777"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02FD19" id="Text Box 9" o:spid="_x0000_s1030" type="#_x0000_t202" style="position:absolute;left:0;text-align:left;margin-left:0;margin-top:.05pt;width:270pt;height:30.0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" filled="f" stroked="f" strokeweight=".5pt">
              <v:textbox inset="0,0,0,0">
                <w:txbxContent>
                  <w:p w14:paraId="158403DC" w14:textId="77777777" w:rsidR="004423DE" w:rsidRPr="002E5F0E" w:rsidRDefault="004423DE" w:rsidP="00C703E3">
                    <w:pPr>
                      <w:pStyle w:val="Heading3"/>
                      <w:tabs>
                        <w:tab w:val="left" w:pos="720"/>
                      </w:tabs>
                      <w:spacing w:before="360"/>
                      <w:ind w:left="720"/>
                    </w:pPr>
                    <w:r>
                      <w:t>COLORADO DEPARTMENT OF EDUCATION</w:t>
                    </w:r>
                  </w:p>
                </w:txbxContent>
              </v:textbox>
              <w10:wrap anchorx="page"/>
            </v:shape>
          </w:pict>
        </mc:Fallback>
      </mc:AlternateContent>
    </w:r>
    <w:r w:rsidR="00D869AC">
      <w:rPr>
        <w:noProof/>
      </w:rPr>
      <w:drawing>
        <wp:anchor distT="0" distB="0" distL="114300" distR="114300" simplePos="0" relativeHeight="251668480" behindDoc="1" locked="1" layoutInCell="0" allowOverlap="0" wp14:anchorId="233A36D4" wp14:editId="4E86BD45">
          <wp:simplePos x="0" y="0"/>
          <wp:positionH relativeFrom="page">
            <wp:align>left</wp:align>
          </wp:positionH>
          <wp:positionV relativeFrom="page">
            <wp:posOffset>6350</wp:posOffset>
          </wp:positionV>
          <wp:extent cx="7909560" cy="1856232"/>
          <wp:effectExtent l="0" t="0" r="0" b="0"/>
          <wp:wrapTopAndBottom/>
          <wp:docPr id="13" name="Picture 13"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2">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038A770B"/>
    <w:multiLevelType w:val="hybridMultilevel"/>
    <w:tmpl w:val="85768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A5A3A"/>
    <w:multiLevelType w:val="hybridMultilevel"/>
    <w:tmpl w:val="6C5448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A36E9"/>
    <w:multiLevelType w:val="hybridMultilevel"/>
    <w:tmpl w:val="8494C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3A6072"/>
    <w:multiLevelType w:val="hybridMultilevel"/>
    <w:tmpl w:val="795E88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5C6002"/>
    <w:multiLevelType w:val="hybridMultilevel"/>
    <w:tmpl w:val="5C0231AA"/>
    <w:lvl w:ilvl="0" w:tplc="5AE6BD58">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A331AA"/>
    <w:multiLevelType w:val="hybridMultilevel"/>
    <w:tmpl w:val="56183C50"/>
    <w:lvl w:ilvl="0" w:tplc="FC341092">
      <w:start w:val="1"/>
      <w:numFmt w:val="bullet"/>
      <w:lvlText w:val=""/>
      <w:lvlJc w:val="left"/>
      <w:pPr>
        <w:ind w:left="1128"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 w15:restartNumberingAfterBreak="0">
    <w:nsid w:val="5C36466C"/>
    <w:multiLevelType w:val="hybridMultilevel"/>
    <w:tmpl w:val="C90441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C40931"/>
    <w:multiLevelType w:val="hybridMultilevel"/>
    <w:tmpl w:val="1F3A5CF4"/>
    <w:lvl w:ilvl="0" w:tplc="6854EA0C">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rPr>
        <w:rFonts w:hint="default"/>
      </w:rPr>
    </w:lvl>
    <w:lvl w:ilvl="2" w:tplc="8EB8B01A" w:tentative="1">
      <w:start w:val="1"/>
      <w:numFmt w:val="decimal"/>
      <w:lvlText w:val="%3."/>
      <w:lvlJc w:val="left"/>
      <w:pPr>
        <w:tabs>
          <w:tab w:val="num" w:pos="2160"/>
        </w:tabs>
        <w:ind w:left="2160" w:hanging="360"/>
      </w:pPr>
    </w:lvl>
    <w:lvl w:ilvl="3" w:tplc="883A95A6" w:tentative="1">
      <w:start w:val="1"/>
      <w:numFmt w:val="decimal"/>
      <w:lvlText w:val="%4."/>
      <w:lvlJc w:val="left"/>
      <w:pPr>
        <w:tabs>
          <w:tab w:val="num" w:pos="2880"/>
        </w:tabs>
        <w:ind w:left="2880" w:hanging="360"/>
      </w:pPr>
    </w:lvl>
    <w:lvl w:ilvl="4" w:tplc="96C69A9E" w:tentative="1">
      <w:start w:val="1"/>
      <w:numFmt w:val="decimal"/>
      <w:lvlText w:val="%5."/>
      <w:lvlJc w:val="left"/>
      <w:pPr>
        <w:tabs>
          <w:tab w:val="num" w:pos="3600"/>
        </w:tabs>
        <w:ind w:left="3600" w:hanging="360"/>
      </w:pPr>
    </w:lvl>
    <w:lvl w:ilvl="5" w:tplc="312E12E4" w:tentative="1">
      <w:start w:val="1"/>
      <w:numFmt w:val="decimal"/>
      <w:lvlText w:val="%6."/>
      <w:lvlJc w:val="left"/>
      <w:pPr>
        <w:tabs>
          <w:tab w:val="num" w:pos="4320"/>
        </w:tabs>
        <w:ind w:left="4320" w:hanging="360"/>
      </w:pPr>
    </w:lvl>
    <w:lvl w:ilvl="6" w:tplc="34DC5048" w:tentative="1">
      <w:start w:val="1"/>
      <w:numFmt w:val="decimal"/>
      <w:lvlText w:val="%7."/>
      <w:lvlJc w:val="left"/>
      <w:pPr>
        <w:tabs>
          <w:tab w:val="num" w:pos="5040"/>
        </w:tabs>
        <w:ind w:left="5040" w:hanging="360"/>
      </w:pPr>
    </w:lvl>
    <w:lvl w:ilvl="7" w:tplc="494E9B38" w:tentative="1">
      <w:start w:val="1"/>
      <w:numFmt w:val="decimal"/>
      <w:lvlText w:val="%8."/>
      <w:lvlJc w:val="left"/>
      <w:pPr>
        <w:tabs>
          <w:tab w:val="num" w:pos="5760"/>
        </w:tabs>
        <w:ind w:left="5760" w:hanging="360"/>
      </w:pPr>
    </w:lvl>
    <w:lvl w:ilvl="8" w:tplc="1EC6FFB4" w:tentative="1">
      <w:start w:val="1"/>
      <w:numFmt w:val="decimal"/>
      <w:lvlText w:val="%9."/>
      <w:lvlJc w:val="left"/>
      <w:pPr>
        <w:tabs>
          <w:tab w:val="num" w:pos="6480"/>
        </w:tabs>
        <w:ind w:left="6480" w:hanging="360"/>
      </w:pPr>
    </w:lvl>
  </w:abstractNum>
  <w:abstractNum w:abstractNumId="10" w15:restartNumberingAfterBreak="0">
    <w:nsid w:val="62287356"/>
    <w:multiLevelType w:val="hybridMultilevel"/>
    <w:tmpl w:val="6836608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86A6C"/>
    <w:multiLevelType w:val="hybridMultilevel"/>
    <w:tmpl w:val="2CA87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78D31845"/>
    <w:multiLevelType w:val="hybridMultilevel"/>
    <w:tmpl w:val="5C0231AA"/>
    <w:lvl w:ilvl="0" w:tplc="5AE6BD58">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3"/>
  </w:num>
  <w:num w:numId="3">
    <w:abstractNumId w:val="15"/>
  </w:num>
  <w:num w:numId="4">
    <w:abstractNumId w:val="13"/>
  </w:num>
  <w:num w:numId="5">
    <w:abstractNumId w:val="15"/>
  </w:num>
  <w:num w:numId="6">
    <w:abstractNumId w:val="6"/>
  </w:num>
  <w:num w:numId="7">
    <w:abstractNumId w:val="11"/>
  </w:num>
  <w:num w:numId="8">
    <w:abstractNumId w:val="0"/>
  </w:num>
  <w:num w:numId="9">
    <w:abstractNumId w:val="17"/>
  </w:num>
  <w:num w:numId="10">
    <w:abstractNumId w:val="12"/>
  </w:num>
  <w:num w:numId="11">
    <w:abstractNumId w:val="9"/>
  </w:num>
  <w:num w:numId="12">
    <w:abstractNumId w:val="3"/>
  </w:num>
  <w:num w:numId="13">
    <w:abstractNumId w:val="2"/>
  </w:num>
  <w:num w:numId="14">
    <w:abstractNumId w:val="4"/>
  </w:num>
  <w:num w:numId="15">
    <w:abstractNumId w:val="1"/>
  </w:num>
  <w:num w:numId="16">
    <w:abstractNumId w:val="16"/>
  </w:num>
  <w:num w:numId="17">
    <w:abstractNumId w:val="8"/>
  </w:num>
  <w:num w:numId="18">
    <w:abstractNumId w:val="5"/>
  </w:num>
  <w:num w:numId="19">
    <w:abstractNumId w:val="10"/>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FA3"/>
    <w:rsid w:val="000143AA"/>
    <w:rsid w:val="000208B1"/>
    <w:rsid w:val="00024AA7"/>
    <w:rsid w:val="0004746F"/>
    <w:rsid w:val="000603F3"/>
    <w:rsid w:val="00080280"/>
    <w:rsid w:val="000B7AEE"/>
    <w:rsid w:val="000C244F"/>
    <w:rsid w:val="00100C29"/>
    <w:rsid w:val="001076C1"/>
    <w:rsid w:val="00142045"/>
    <w:rsid w:val="001472C2"/>
    <w:rsid w:val="0016007D"/>
    <w:rsid w:val="00164D7C"/>
    <w:rsid w:val="00186D02"/>
    <w:rsid w:val="001A39C8"/>
    <w:rsid w:val="001A50C0"/>
    <w:rsid w:val="001D283A"/>
    <w:rsid w:val="001D318A"/>
    <w:rsid w:val="001F4AE6"/>
    <w:rsid w:val="001F678E"/>
    <w:rsid w:val="00202E11"/>
    <w:rsid w:val="0020551C"/>
    <w:rsid w:val="0021372A"/>
    <w:rsid w:val="002213A7"/>
    <w:rsid w:val="0026412F"/>
    <w:rsid w:val="002821B7"/>
    <w:rsid w:val="00290DEC"/>
    <w:rsid w:val="00291145"/>
    <w:rsid w:val="00294F34"/>
    <w:rsid w:val="00295BAF"/>
    <w:rsid w:val="0029762E"/>
    <w:rsid w:val="00297951"/>
    <w:rsid w:val="002B2A1E"/>
    <w:rsid w:val="002B3B48"/>
    <w:rsid w:val="002B7FBD"/>
    <w:rsid w:val="002E58AB"/>
    <w:rsid w:val="002F062C"/>
    <w:rsid w:val="002F6C0D"/>
    <w:rsid w:val="00324338"/>
    <w:rsid w:val="00327572"/>
    <w:rsid w:val="0034006F"/>
    <w:rsid w:val="00381C34"/>
    <w:rsid w:val="003A4EAB"/>
    <w:rsid w:val="003A5E18"/>
    <w:rsid w:val="003C72EC"/>
    <w:rsid w:val="003F05D0"/>
    <w:rsid w:val="003F0D6B"/>
    <w:rsid w:val="003F42F9"/>
    <w:rsid w:val="003F501C"/>
    <w:rsid w:val="003F5022"/>
    <w:rsid w:val="003F78A4"/>
    <w:rsid w:val="004110D1"/>
    <w:rsid w:val="004155D4"/>
    <w:rsid w:val="0042335A"/>
    <w:rsid w:val="004423DE"/>
    <w:rsid w:val="00445416"/>
    <w:rsid w:val="00476E78"/>
    <w:rsid w:val="00481A14"/>
    <w:rsid w:val="004904CB"/>
    <w:rsid w:val="0049770E"/>
    <w:rsid w:val="004A2EF8"/>
    <w:rsid w:val="004C3022"/>
    <w:rsid w:val="004C730F"/>
    <w:rsid w:val="00502671"/>
    <w:rsid w:val="00507F8B"/>
    <w:rsid w:val="005110A6"/>
    <w:rsid w:val="005363FC"/>
    <w:rsid w:val="00540578"/>
    <w:rsid w:val="005414AF"/>
    <w:rsid w:val="00546AAC"/>
    <w:rsid w:val="00550EAF"/>
    <w:rsid w:val="005640E4"/>
    <w:rsid w:val="0057352B"/>
    <w:rsid w:val="00576F22"/>
    <w:rsid w:val="00587144"/>
    <w:rsid w:val="005C0951"/>
    <w:rsid w:val="005D4FA4"/>
    <w:rsid w:val="00624562"/>
    <w:rsid w:val="00633510"/>
    <w:rsid w:val="00633CC3"/>
    <w:rsid w:val="006461F0"/>
    <w:rsid w:val="006533BE"/>
    <w:rsid w:val="00655E8B"/>
    <w:rsid w:val="006D0275"/>
    <w:rsid w:val="00715744"/>
    <w:rsid w:val="00724804"/>
    <w:rsid w:val="00731C9D"/>
    <w:rsid w:val="00736A92"/>
    <w:rsid w:val="00745D7A"/>
    <w:rsid w:val="0079066B"/>
    <w:rsid w:val="00797D8E"/>
    <w:rsid w:val="007B38CB"/>
    <w:rsid w:val="007D5347"/>
    <w:rsid w:val="007E1FD0"/>
    <w:rsid w:val="007E2BFF"/>
    <w:rsid w:val="00802F47"/>
    <w:rsid w:val="008106E3"/>
    <w:rsid w:val="00821179"/>
    <w:rsid w:val="008428F4"/>
    <w:rsid w:val="00846456"/>
    <w:rsid w:val="00872AA3"/>
    <w:rsid w:val="008B1330"/>
    <w:rsid w:val="008C5486"/>
    <w:rsid w:val="008D1EE1"/>
    <w:rsid w:val="008D2E01"/>
    <w:rsid w:val="008E1B8D"/>
    <w:rsid w:val="0090312E"/>
    <w:rsid w:val="00942392"/>
    <w:rsid w:val="00960C4E"/>
    <w:rsid w:val="0098790E"/>
    <w:rsid w:val="009B3797"/>
    <w:rsid w:val="009C66FE"/>
    <w:rsid w:val="009D184D"/>
    <w:rsid w:val="00A15F13"/>
    <w:rsid w:val="00A1688D"/>
    <w:rsid w:val="00A16A16"/>
    <w:rsid w:val="00A43611"/>
    <w:rsid w:val="00A827B0"/>
    <w:rsid w:val="00A87371"/>
    <w:rsid w:val="00A91684"/>
    <w:rsid w:val="00AA71C5"/>
    <w:rsid w:val="00AA7976"/>
    <w:rsid w:val="00AC1803"/>
    <w:rsid w:val="00AD1AD2"/>
    <w:rsid w:val="00AE1F4E"/>
    <w:rsid w:val="00AE7E7C"/>
    <w:rsid w:val="00AF6335"/>
    <w:rsid w:val="00B0215B"/>
    <w:rsid w:val="00B13C59"/>
    <w:rsid w:val="00B325B0"/>
    <w:rsid w:val="00B50833"/>
    <w:rsid w:val="00B75D0F"/>
    <w:rsid w:val="00B82660"/>
    <w:rsid w:val="00B86445"/>
    <w:rsid w:val="00BA2515"/>
    <w:rsid w:val="00BA4C68"/>
    <w:rsid w:val="00BB17E4"/>
    <w:rsid w:val="00BD6DE7"/>
    <w:rsid w:val="00BF62CD"/>
    <w:rsid w:val="00BF6834"/>
    <w:rsid w:val="00C424DF"/>
    <w:rsid w:val="00C42D23"/>
    <w:rsid w:val="00C4391D"/>
    <w:rsid w:val="00C44982"/>
    <w:rsid w:val="00C50F78"/>
    <w:rsid w:val="00C52331"/>
    <w:rsid w:val="00C56BAF"/>
    <w:rsid w:val="00C7031E"/>
    <w:rsid w:val="00C703E3"/>
    <w:rsid w:val="00C74E47"/>
    <w:rsid w:val="00CA1865"/>
    <w:rsid w:val="00CA487A"/>
    <w:rsid w:val="00CB09FF"/>
    <w:rsid w:val="00CB0A4C"/>
    <w:rsid w:val="00CC2F33"/>
    <w:rsid w:val="00CC4700"/>
    <w:rsid w:val="00D1749B"/>
    <w:rsid w:val="00D21725"/>
    <w:rsid w:val="00D319FB"/>
    <w:rsid w:val="00D3357A"/>
    <w:rsid w:val="00D42D69"/>
    <w:rsid w:val="00D515B8"/>
    <w:rsid w:val="00D869AC"/>
    <w:rsid w:val="00D93ED1"/>
    <w:rsid w:val="00DB46F9"/>
    <w:rsid w:val="00DD5FA3"/>
    <w:rsid w:val="00DE084E"/>
    <w:rsid w:val="00E01FAE"/>
    <w:rsid w:val="00E23FAD"/>
    <w:rsid w:val="00E311AE"/>
    <w:rsid w:val="00E64794"/>
    <w:rsid w:val="00E8452B"/>
    <w:rsid w:val="00E92333"/>
    <w:rsid w:val="00E97713"/>
    <w:rsid w:val="00E97930"/>
    <w:rsid w:val="00F02FFF"/>
    <w:rsid w:val="00F43ECA"/>
    <w:rsid w:val="00F70D5B"/>
    <w:rsid w:val="00F75245"/>
    <w:rsid w:val="00F7612F"/>
    <w:rsid w:val="00F9472E"/>
    <w:rsid w:val="00F94F78"/>
    <w:rsid w:val="00FB2F6E"/>
    <w:rsid w:val="00FC752E"/>
    <w:rsid w:val="00FD1B96"/>
    <w:rsid w:val="00FF3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C56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456"/>
    <w:rPr>
      <w:rFonts w:ascii="Calibri" w:hAnsi="Calibri"/>
      <w:sz w:val="22"/>
    </w:rPr>
  </w:style>
  <w:style w:type="paragraph" w:styleId="Heading1">
    <w:name w:val="heading 1"/>
    <w:basedOn w:val="Heading2"/>
    <w:next w:val="Normal"/>
    <w:link w:val="Heading1Char"/>
    <w:autoRedefine/>
    <w:uiPriority w:val="9"/>
    <w:qFormat/>
    <w:rsid w:val="00295BAF"/>
    <w:pPr>
      <w:jc w:val="center"/>
      <w:outlineLvl w:val="0"/>
    </w:pPr>
    <w:rPr>
      <w:rFonts w:ascii="Trebuchet MS" w:hAnsi="Trebuchet MS"/>
      <w:noProof/>
      <w:color w:val="auto"/>
      <w:sz w:val="24"/>
      <w:szCs w:val="24"/>
      <w:u w:val="single"/>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val="0"/>
      <w:sz w:val="36"/>
      <w:szCs w:val="36"/>
    </w:rPr>
  </w:style>
  <w:style w:type="character" w:customStyle="1" w:styleId="Heading1Char">
    <w:name w:val="Heading 1 Char"/>
    <w:basedOn w:val="DefaultParagraphFont"/>
    <w:link w:val="Heading1"/>
    <w:uiPriority w:val="9"/>
    <w:rsid w:val="00295BAF"/>
    <w:rPr>
      <w:rFonts w:ascii="Trebuchet MS" w:eastAsiaTheme="majorEastAsia" w:hAnsi="Trebuchet MS" w:cstheme="majorBidi"/>
      <w:b/>
      <w:bCs/>
      <w:noProof/>
      <w:u w:val="single"/>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spacing w:before="480"/>
      <w:outlineLvl w:val="9"/>
    </w:pPr>
    <w:rPr>
      <w:rFonts w:asciiTheme="majorHAnsi" w:hAnsiTheme="majorHAnsi"/>
      <w:b w:val="0"/>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table" w:customStyle="1" w:styleId="ListTable3-Accent11">
    <w:name w:val="List Table 3 - Accent 11"/>
    <w:basedOn w:val="TableNormal"/>
    <w:uiPriority w:val="48"/>
    <w:rsid w:val="00164D7C"/>
    <w:tblPr>
      <w:tblStyleRowBandSize w:val="1"/>
      <w:tblStyleColBandSize w:val="1"/>
      <w:tblBorders>
        <w:top w:val="single" w:sz="4" w:space="0" w:color="488BC9" w:themeColor="accent1"/>
        <w:left w:val="single" w:sz="4" w:space="0" w:color="488BC9" w:themeColor="accent1"/>
        <w:bottom w:val="single" w:sz="4" w:space="0" w:color="488BC9" w:themeColor="accent1"/>
        <w:right w:val="single" w:sz="4" w:space="0" w:color="488BC9" w:themeColor="accent1"/>
      </w:tblBorders>
    </w:tblPr>
    <w:tblStylePr w:type="firstRow">
      <w:rPr>
        <w:b/>
        <w:bCs/>
        <w:color w:val="FFFFFF" w:themeColor="background1"/>
      </w:rPr>
      <w:tblPr/>
      <w:tcPr>
        <w:shd w:val="clear" w:color="auto" w:fill="488BC9" w:themeFill="accent1"/>
      </w:tcPr>
    </w:tblStylePr>
    <w:tblStylePr w:type="lastRow">
      <w:rPr>
        <w:b/>
        <w:bCs/>
      </w:rPr>
      <w:tblPr/>
      <w:tcPr>
        <w:tcBorders>
          <w:top w:val="double" w:sz="4" w:space="0" w:color="488B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8BC9" w:themeColor="accent1"/>
          <w:right w:val="single" w:sz="4" w:space="0" w:color="488BC9" w:themeColor="accent1"/>
        </w:tcBorders>
      </w:tcPr>
    </w:tblStylePr>
    <w:tblStylePr w:type="band1Horz">
      <w:tblPr/>
      <w:tcPr>
        <w:tcBorders>
          <w:top w:val="single" w:sz="4" w:space="0" w:color="488BC9" w:themeColor="accent1"/>
          <w:bottom w:val="single" w:sz="4" w:space="0" w:color="488B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8BC9" w:themeColor="accent1"/>
          <w:left w:val="nil"/>
        </w:tcBorders>
      </w:tcPr>
    </w:tblStylePr>
    <w:tblStylePr w:type="swCell">
      <w:tblPr/>
      <w:tcPr>
        <w:tcBorders>
          <w:top w:val="double" w:sz="4" w:space="0" w:color="488BC9" w:themeColor="accent1"/>
          <w:right w:val="nil"/>
        </w:tcBorders>
      </w:tcPr>
    </w:tblStylePr>
  </w:style>
  <w:style w:type="table" w:customStyle="1" w:styleId="GridTable3-Accent11">
    <w:name w:val="Grid Table 3 - Accent 11"/>
    <w:basedOn w:val="TableNormal"/>
    <w:uiPriority w:val="48"/>
    <w:rsid w:val="004C730F"/>
    <w:tblPr>
      <w:tblStyleRowBandSize w:val="1"/>
      <w:tblStyleColBandSize w:val="1"/>
      <w:tblBorders>
        <w:top w:val="single" w:sz="4" w:space="0" w:color="91B9DE" w:themeColor="accent1" w:themeTint="99"/>
        <w:left w:val="single" w:sz="4" w:space="0" w:color="91B9DE" w:themeColor="accent1" w:themeTint="99"/>
        <w:bottom w:val="single" w:sz="4" w:space="0" w:color="91B9DE" w:themeColor="accent1" w:themeTint="99"/>
        <w:right w:val="single" w:sz="4" w:space="0" w:color="91B9DE" w:themeColor="accent1" w:themeTint="99"/>
        <w:insideH w:val="single" w:sz="4" w:space="0" w:color="91B9DE" w:themeColor="accent1" w:themeTint="99"/>
        <w:insideV w:val="single" w:sz="4" w:space="0" w:color="91B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4" w:themeFill="accent1" w:themeFillTint="33"/>
      </w:tcPr>
    </w:tblStylePr>
    <w:tblStylePr w:type="band1Horz">
      <w:tblPr/>
      <w:tcPr>
        <w:shd w:val="clear" w:color="auto" w:fill="DAE7F4" w:themeFill="accent1" w:themeFillTint="33"/>
      </w:tcPr>
    </w:tblStylePr>
    <w:tblStylePr w:type="neCell">
      <w:tblPr/>
      <w:tcPr>
        <w:tcBorders>
          <w:bottom w:val="single" w:sz="4" w:space="0" w:color="91B9DE" w:themeColor="accent1" w:themeTint="99"/>
        </w:tcBorders>
      </w:tcPr>
    </w:tblStylePr>
    <w:tblStylePr w:type="nwCell">
      <w:tblPr/>
      <w:tcPr>
        <w:tcBorders>
          <w:bottom w:val="single" w:sz="4" w:space="0" w:color="91B9DE" w:themeColor="accent1" w:themeTint="99"/>
        </w:tcBorders>
      </w:tcPr>
    </w:tblStylePr>
    <w:tblStylePr w:type="seCell">
      <w:tblPr/>
      <w:tcPr>
        <w:tcBorders>
          <w:top w:val="single" w:sz="4" w:space="0" w:color="91B9DE" w:themeColor="accent1" w:themeTint="99"/>
        </w:tcBorders>
      </w:tcPr>
    </w:tblStylePr>
    <w:tblStylePr w:type="swCell">
      <w:tblPr/>
      <w:tcPr>
        <w:tcBorders>
          <w:top w:val="single" w:sz="4" w:space="0" w:color="91B9DE" w:themeColor="accent1" w:themeTint="99"/>
        </w:tcBorders>
      </w:tcPr>
    </w:tblStylePr>
  </w:style>
  <w:style w:type="table" w:customStyle="1" w:styleId="GridTable2-Accent11">
    <w:name w:val="Grid Table 2 - Accent 11"/>
    <w:basedOn w:val="TableNormal"/>
    <w:uiPriority w:val="47"/>
    <w:rsid w:val="004C730F"/>
    <w:tblPr>
      <w:tblStyleRowBandSize w:val="1"/>
      <w:tblStyleColBandSize w:val="1"/>
      <w:tblBorders>
        <w:top w:val="single" w:sz="2" w:space="0" w:color="91B9DE" w:themeColor="accent1" w:themeTint="99"/>
        <w:bottom w:val="single" w:sz="2" w:space="0" w:color="91B9DE" w:themeColor="accent1" w:themeTint="99"/>
        <w:insideH w:val="single" w:sz="2" w:space="0" w:color="91B9DE" w:themeColor="accent1" w:themeTint="99"/>
        <w:insideV w:val="single" w:sz="2" w:space="0" w:color="91B9DE" w:themeColor="accent1" w:themeTint="99"/>
      </w:tblBorders>
    </w:tblPr>
    <w:tblStylePr w:type="firstRow">
      <w:rPr>
        <w:b/>
        <w:bCs/>
      </w:rPr>
      <w:tblPr/>
      <w:tcPr>
        <w:tcBorders>
          <w:top w:val="nil"/>
          <w:bottom w:val="single" w:sz="12" w:space="0" w:color="91B9DE" w:themeColor="accent1" w:themeTint="99"/>
          <w:insideH w:val="nil"/>
          <w:insideV w:val="nil"/>
        </w:tcBorders>
        <w:shd w:val="clear" w:color="auto" w:fill="FFFFFF" w:themeFill="background1"/>
      </w:tcPr>
    </w:tblStylePr>
    <w:tblStylePr w:type="lastRow">
      <w:rPr>
        <w:b/>
        <w:bCs/>
      </w:rPr>
      <w:tblPr/>
      <w:tcPr>
        <w:tcBorders>
          <w:top w:val="double" w:sz="2" w:space="0" w:color="91B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table" w:customStyle="1" w:styleId="ListTable1Light-Accent11">
    <w:name w:val="List Table 1 Light - Accent 11"/>
    <w:basedOn w:val="TableNormal"/>
    <w:uiPriority w:val="46"/>
    <w:rsid w:val="00E8452B"/>
    <w:tblPr>
      <w:tblStyleRowBandSize w:val="1"/>
      <w:tblStyleColBandSize w:val="1"/>
    </w:tblPr>
    <w:tblStylePr w:type="firstRow">
      <w:rPr>
        <w:b/>
        <w:bCs/>
      </w:rPr>
      <w:tblPr/>
      <w:tcPr>
        <w:tcBorders>
          <w:bottom w:val="single" w:sz="4" w:space="0" w:color="91B9DE" w:themeColor="accent1" w:themeTint="99"/>
        </w:tcBorders>
      </w:tcPr>
    </w:tblStylePr>
    <w:tblStylePr w:type="lastRow">
      <w:rPr>
        <w:b/>
        <w:bCs/>
      </w:rPr>
      <w:tblPr/>
      <w:tcPr>
        <w:tcBorders>
          <w:top w:val="single" w:sz="4" w:space="0" w:color="91B9DE" w:themeColor="accent1" w:themeTint="99"/>
        </w:tcBorders>
      </w:tcPr>
    </w:tblStylePr>
    <w:tblStylePr w:type="firstCol">
      <w:rPr>
        <w:b/>
        <w:bCs/>
      </w:rPr>
    </w:tblStylePr>
    <w:tblStylePr w:type="lastCol">
      <w:rPr>
        <w:b/>
        <w:bCs/>
      </w:rPr>
    </w:tblStylePr>
    <w:tblStylePr w:type="band1Vert">
      <w:tblPr/>
      <w:tcPr>
        <w:shd w:val="clear" w:color="auto" w:fill="DAE7F4" w:themeFill="accent1" w:themeFillTint="33"/>
      </w:tcPr>
    </w:tblStylePr>
    <w:tblStylePr w:type="band1Horz">
      <w:tblPr/>
      <w:tcPr>
        <w:shd w:val="clear" w:color="auto" w:fill="DAE7F4" w:themeFill="accent1" w:themeFillTint="33"/>
      </w:tcPr>
    </w:tblStylePr>
  </w:style>
  <w:style w:type="table" w:customStyle="1" w:styleId="GridTable1Light-Accent11">
    <w:name w:val="Grid Table 1 Light - Accent 11"/>
    <w:basedOn w:val="TableNormal"/>
    <w:uiPriority w:val="46"/>
    <w:rsid w:val="00E8452B"/>
    <w:tblPr>
      <w:tblStyleRowBandSize w:val="1"/>
      <w:tblStyleColBandSize w:val="1"/>
      <w:tblBorders>
        <w:top w:val="single" w:sz="4" w:space="0" w:color="B5D0E9" w:themeColor="accent1" w:themeTint="66"/>
        <w:left w:val="single" w:sz="4" w:space="0" w:color="B5D0E9" w:themeColor="accent1" w:themeTint="66"/>
        <w:bottom w:val="single" w:sz="4" w:space="0" w:color="B5D0E9" w:themeColor="accent1" w:themeTint="66"/>
        <w:right w:val="single" w:sz="4" w:space="0" w:color="B5D0E9" w:themeColor="accent1" w:themeTint="66"/>
        <w:insideH w:val="single" w:sz="4" w:space="0" w:color="B5D0E9" w:themeColor="accent1" w:themeTint="66"/>
        <w:insideV w:val="single" w:sz="4" w:space="0" w:color="B5D0E9" w:themeColor="accent1" w:themeTint="66"/>
      </w:tblBorders>
    </w:tblPr>
    <w:tblStylePr w:type="firstRow">
      <w:rPr>
        <w:b/>
        <w:bCs/>
      </w:rPr>
      <w:tblPr/>
      <w:tcPr>
        <w:tcBorders>
          <w:bottom w:val="single" w:sz="12" w:space="0" w:color="91B9DE" w:themeColor="accent1" w:themeTint="99"/>
        </w:tcBorders>
      </w:tcPr>
    </w:tblStylePr>
    <w:tblStylePr w:type="lastRow">
      <w:rPr>
        <w:b/>
        <w:bCs/>
      </w:rPr>
      <w:tblPr/>
      <w:tcPr>
        <w:tcBorders>
          <w:top w:val="double" w:sz="2" w:space="0" w:color="91B9DE"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95BAF"/>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184305">
      <w:bodyDiv w:val="1"/>
      <w:marLeft w:val="0"/>
      <w:marRight w:val="0"/>
      <w:marTop w:val="0"/>
      <w:marBottom w:val="0"/>
      <w:divBdr>
        <w:top w:val="none" w:sz="0" w:space="0" w:color="auto"/>
        <w:left w:val="none" w:sz="0" w:space="0" w:color="auto"/>
        <w:bottom w:val="none" w:sz="0" w:space="0" w:color="auto"/>
        <w:right w:val="none" w:sz="0" w:space="0" w:color="auto"/>
      </w:divBdr>
      <w:divsChild>
        <w:div w:id="1852715608">
          <w:marLeft w:val="1008"/>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gov/policy/elsec/guid/eseatitleiswguidance.pdf" TargetMode="External"/><Relationship Id="rId13" Type="http://schemas.openxmlformats.org/officeDocument/2006/relationships/hyperlink" Target="http://www.cde.state.co.us/fedprograms/ti/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de.state.co.us/communications/factsheetsandfaq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e.state.co.us/fedprograms/ti/a" TargetMode="External"/><Relationship Id="rId5" Type="http://schemas.openxmlformats.org/officeDocument/2006/relationships/webSettings" Target="webSettings.xml"/><Relationship Id="rId15" Type="http://schemas.openxmlformats.org/officeDocument/2006/relationships/hyperlink" Target="mailto:consolidatedapplications@cde.state.co.us" TargetMode="External"/><Relationship Id="rId10" Type="http://schemas.openxmlformats.org/officeDocument/2006/relationships/hyperlink" Target="mailto:Okes_j@cde.state.co.u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ssis_b@cde.state.co.us" TargetMode="External"/><Relationship Id="rId14" Type="http://schemas.openxmlformats.org/officeDocument/2006/relationships/hyperlink" Target="http://www.cde.state.co.us/communications/factsheetsand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tif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22EE3-FDCF-4B7D-B39D-725F966D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3068</Words>
  <Characters>16874</Characters>
  <Application>Microsoft Office Word</Application>
  <DocSecurity>0</DocSecurity>
  <Lines>344</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2019-12-10T19:11:00Z</dcterms:created>
  <dcterms:modified xsi:type="dcterms:W3CDTF">2019-12-10T19:19:00Z</dcterms:modified>
</cp:coreProperties>
</file>