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F2D" w:rsidRDefault="002C42EF" w:rsidP="00F44F2D">
      <w:pPr>
        <w:pStyle w:val="HeadingMuseo"/>
      </w:pPr>
      <w:r>
        <w:rPr>
          <w:noProof/>
        </w:rPr>
        <mc:AlternateContent>
          <mc:Choice Requires="wps">
            <w:drawing>
              <wp:anchor distT="0" distB="0" distL="114300" distR="114300" simplePos="0" relativeHeight="251661312" behindDoc="0" locked="1" layoutInCell="1" allowOverlap="1" wp14:anchorId="4C5E5613" wp14:editId="0F5123D7">
                <wp:simplePos x="0" y="0"/>
                <wp:positionH relativeFrom="margin">
                  <wp:align>left</wp:align>
                </wp:positionH>
                <wp:positionV relativeFrom="margin">
                  <wp:align>top</wp:align>
                </wp:positionV>
                <wp:extent cx="4267200" cy="8001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267200" cy="800100"/>
                        </a:xfrm>
                        <a:prstGeom prst="rect">
                          <a:avLst/>
                        </a:prstGeom>
                        <a:noFill/>
                        <a:ln>
                          <a:noFill/>
                        </a:ln>
                        <a:effectLst/>
                        <a:extLst>
                          <a:ext uri="{C572A759-6A51-4108-AA02-DFA0A04FC94B}">
                            <ma14:wrappingTextBoxFlag xmlns:w15="http://schemas.microsoft.com/office/word/2012/wordm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5C2DE1" w:rsidRPr="009E57FE" w:rsidRDefault="002B33F5">
                            <w:pPr>
                              <w:rPr>
                                <w:sz w:val="40"/>
                                <w:szCs w:val="36"/>
                              </w:rPr>
                            </w:pPr>
                            <w:r w:rsidRPr="009E57FE">
                              <w:rPr>
                                <w:rFonts w:ascii="Museo Slab 500" w:hAnsi="Museo Slab 500"/>
                                <w:color w:val="FFFFFF" w:themeColor="background1"/>
                                <w:sz w:val="36"/>
                                <w:szCs w:val="36"/>
                              </w:rPr>
                              <w:t>Supplement, Not Supplant</w:t>
                            </w:r>
                          </w:p>
                          <w:p w:rsidR="005C2DE1" w:rsidRPr="009E57FE" w:rsidRDefault="002B33F5" w:rsidP="002C42EF">
                            <w:pPr>
                              <w:rPr>
                                <w:rFonts w:ascii="Trebuchet MS" w:hAnsi="Trebuchet MS"/>
                                <w:color w:val="DAE7F4" w:themeColor="accent1" w:themeTint="33"/>
                                <w:sz w:val="28"/>
                                <w:szCs w:val="28"/>
                              </w:rPr>
                            </w:pPr>
                            <w:r w:rsidRPr="009E57FE">
                              <w:rPr>
                                <w:rFonts w:ascii="Trebuchet MS" w:hAnsi="Trebuchet MS"/>
                                <w:color w:val="DAE7F4" w:themeColor="accent1" w:themeTint="33"/>
                                <w:sz w:val="28"/>
                                <w:szCs w:val="28"/>
                              </w:rPr>
                              <w:t xml:space="preserve">Changes </w:t>
                            </w:r>
                            <w:r w:rsidR="003B0BD7">
                              <w:rPr>
                                <w:rFonts w:ascii="Trebuchet MS" w:hAnsi="Trebuchet MS"/>
                                <w:color w:val="DAE7F4" w:themeColor="accent1" w:themeTint="33"/>
                                <w:sz w:val="28"/>
                                <w:szCs w:val="28"/>
                              </w:rPr>
                              <w:t xml:space="preserve">in Title I, Part A </w:t>
                            </w:r>
                            <w:r w:rsidRPr="009E57FE">
                              <w:rPr>
                                <w:rFonts w:ascii="Trebuchet MS" w:hAnsi="Trebuchet MS"/>
                                <w:color w:val="DAE7F4" w:themeColor="accent1" w:themeTint="33"/>
                                <w:sz w:val="28"/>
                                <w:szCs w:val="28"/>
                              </w:rPr>
                              <w:t>under the Every Student Succeeds Act</w:t>
                            </w:r>
                            <w:r w:rsidR="003B0BD7">
                              <w:rPr>
                                <w:rFonts w:ascii="Trebuchet MS" w:hAnsi="Trebuchet MS"/>
                                <w:color w:val="DAE7F4" w:themeColor="accent1" w:themeTint="33"/>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C5E5613" id="_x0000_t202" coordsize="21600,21600" o:spt="202" path="m,l,21600r21600,l21600,xe">
                <v:stroke joinstyle="miter"/>
                <v:path gradientshapeok="t" o:connecttype="rect"/>
              </v:shapetype>
              <v:shape id="Text Box 3" o:spid="_x0000_s1026" type="#_x0000_t202" style="position:absolute;margin-left:0;margin-top:0;width:336pt;height:63pt;z-index:251661312;visibility:visible;mso-wrap-style:square;mso-width-percent:0;mso-wrap-distance-left:9pt;mso-wrap-distance-top:0;mso-wrap-distance-right:9pt;mso-wrap-distance-bottom:0;mso-position-horizontal:left;mso-position-horizontal-relative:margin;mso-position-vertical:top;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" filled="f" stroked="f">
                <v:textbox>
                  <w:txbxContent>
                    <w:p w:rsidR="005C2DE1" w:rsidRPr="009E57FE" w:rsidRDefault="002B33F5">
                      <w:pPr>
                        <w:rPr>
                          <w:sz w:val="40"/>
                          <w:szCs w:val="36"/>
                        </w:rPr>
                      </w:pPr>
                      <w:r w:rsidRPr="009E57FE">
                        <w:rPr>
                          <w:rFonts w:ascii="Museo Slab 500" w:hAnsi="Museo Slab 500"/>
                          <w:color w:val="FFFFFF" w:themeColor="background1"/>
                          <w:sz w:val="36"/>
                          <w:szCs w:val="36"/>
                        </w:rPr>
                        <w:t>Supplement, Not Supplant</w:t>
                      </w:r>
                    </w:p>
                    <w:p w:rsidR="005C2DE1" w:rsidRPr="009E57FE" w:rsidRDefault="002B33F5" w:rsidP="002C42EF">
                      <w:pPr>
                        <w:rPr>
                          <w:rFonts w:ascii="Trebuchet MS" w:hAnsi="Trebuchet MS"/>
                          <w:color w:val="DAE7F4" w:themeColor="accent1" w:themeTint="33"/>
                          <w:sz w:val="28"/>
                          <w:szCs w:val="28"/>
                        </w:rPr>
                      </w:pPr>
                      <w:r w:rsidRPr="009E57FE">
                        <w:rPr>
                          <w:rFonts w:ascii="Trebuchet MS" w:hAnsi="Trebuchet MS"/>
                          <w:color w:val="DAE7F4" w:themeColor="accent1" w:themeTint="33"/>
                          <w:sz w:val="28"/>
                          <w:szCs w:val="28"/>
                        </w:rPr>
                        <w:t xml:space="preserve">Changes </w:t>
                      </w:r>
                      <w:r w:rsidR="003B0BD7">
                        <w:rPr>
                          <w:rFonts w:ascii="Trebuchet MS" w:hAnsi="Trebuchet MS"/>
                          <w:color w:val="DAE7F4" w:themeColor="accent1" w:themeTint="33"/>
                          <w:sz w:val="28"/>
                          <w:szCs w:val="28"/>
                        </w:rPr>
                        <w:t xml:space="preserve">in Title I, Part A </w:t>
                      </w:r>
                      <w:r w:rsidRPr="009E57FE">
                        <w:rPr>
                          <w:rFonts w:ascii="Trebuchet MS" w:hAnsi="Trebuchet MS"/>
                          <w:color w:val="DAE7F4" w:themeColor="accent1" w:themeTint="33"/>
                          <w:sz w:val="28"/>
                          <w:szCs w:val="28"/>
                        </w:rPr>
                        <w:t>under the Every Student Succeeds Act</w:t>
                      </w:r>
                      <w:r w:rsidR="003B0BD7">
                        <w:rPr>
                          <w:rFonts w:ascii="Trebuchet MS" w:hAnsi="Trebuchet MS"/>
                          <w:color w:val="DAE7F4" w:themeColor="accent1" w:themeTint="33"/>
                          <w:sz w:val="28"/>
                          <w:szCs w:val="28"/>
                        </w:rPr>
                        <w:t xml:space="preserve"> </w:t>
                      </w:r>
                    </w:p>
                  </w:txbxContent>
                </v:textbox>
                <w10:wrap type="square" anchorx="margin" anchory="margin"/>
                <w10:anchorlock/>
              </v:shape>
            </w:pict>
          </mc:Fallback>
        </mc:AlternateContent>
      </w:r>
      <w:r>
        <w:rPr>
          <w:noProof/>
        </w:rPr>
        <w:drawing>
          <wp:anchor distT="0" distB="0" distL="114300" distR="114300" simplePos="0" relativeHeight="251660288" behindDoc="0" locked="1" layoutInCell="1" allowOverlap="1" wp14:anchorId="0B0C0CDC" wp14:editId="6BADE6DD">
            <wp:simplePos x="0" y="0"/>
            <wp:positionH relativeFrom="column">
              <wp:posOffset>4381500</wp:posOffset>
            </wp:positionH>
            <wp:positionV relativeFrom="page">
              <wp:posOffset>552450</wp:posOffset>
            </wp:positionV>
            <wp:extent cx="2603500" cy="473075"/>
            <wp:effectExtent l="0" t="0" r="6350" b="3175"/>
            <wp:wrapSquare wrapText="bothSides"/>
            <wp:docPr id="2" name="Picture 2" title="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reverse_color_outline_300_rgb.png"/>
                    <pic:cNvPicPr/>
                  </pic:nvPicPr>
                  <pic:blipFill>
                    <a:blip r:embed="rId9">
                      <a:extLst>
                        <a:ext uri="{28A0092B-C50C-407E-A947-70E740481C1C}">
                          <a14:useLocalDpi xmlns:a14="http://schemas.microsoft.com/office/drawing/2010/main" val="0"/>
                        </a:ext>
                      </a:extLst>
                    </a:blip>
                    <a:stretch>
                      <a:fillRect/>
                    </a:stretch>
                  </pic:blipFill>
                  <pic:spPr>
                    <a:xfrm>
                      <a:off x="0" y="0"/>
                      <a:ext cx="2603500" cy="473075"/>
                    </a:xfrm>
                    <a:prstGeom prst="rect">
                      <a:avLst/>
                    </a:prstGeom>
                    <a:extLst>
                      <a:ext uri="{FAA26D3D-D897-4be2-8F04-BA451C77F1D7}">
                        <ma14:placeholderFlag xmlns:w15="http://schemas.microsoft.com/office/word/2012/wordm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3B56C6">
        <w:rPr>
          <w:noProof/>
        </w:rPr>
        <mc:AlternateContent>
          <mc:Choice Requires="wps">
            <w:drawing>
              <wp:anchor distT="0" distB="0" distL="114300" distR="114300" simplePos="0" relativeHeight="251659264" behindDoc="0" locked="1" layoutInCell="1" allowOverlap="1" wp14:anchorId="4A3DE502" wp14:editId="773A253A">
                <wp:simplePos x="0" y="0"/>
                <wp:positionH relativeFrom="page">
                  <wp:posOffset>0</wp:posOffset>
                </wp:positionH>
                <wp:positionV relativeFrom="page">
                  <wp:posOffset>0</wp:posOffset>
                </wp:positionV>
                <wp:extent cx="7772400" cy="1600200"/>
                <wp:effectExtent l="0" t="0" r="0" b="0"/>
                <wp:wrapThrough wrapText="bothSides">
                  <wp:wrapPolygon edited="0">
                    <wp:start x="0" y="0"/>
                    <wp:lineTo x="0" y="21257"/>
                    <wp:lineTo x="21529" y="21257"/>
                    <wp:lineTo x="21529" y="0"/>
                    <wp:lineTo x="0" y="0"/>
                  </wp:wrapPolygon>
                </wp:wrapThrough>
                <wp:docPr id="1" name="Rectangle 1" title="Decorative Rectangle"/>
                <wp:cNvGraphicFramePr/>
                <a:graphic xmlns:a="http://schemas.openxmlformats.org/drawingml/2006/main">
                  <a:graphicData uri="http://schemas.microsoft.com/office/word/2010/wordprocessingShape">
                    <wps:wsp>
                      <wps:cNvSpPr/>
                      <wps:spPr>
                        <a:xfrm>
                          <a:off x="0" y="0"/>
                          <a:ext cx="7772400" cy="1600200"/>
                        </a:xfrm>
                        <a:prstGeom prst="rect">
                          <a:avLst/>
                        </a:prstGeom>
                        <a:solidFill>
                          <a:schemeClr val="accent1"/>
                        </a:solidFill>
                        <a:ln>
                          <a:noFill/>
                        </a:ln>
                        <a:effectLst/>
                        <a:extLst>
                          <a:ext uri="{FAA26D3D-D897-4be2-8F04-BA451C77F1D7}">
                            <ma14:placeholderFlag xmlns:w15="http://schemas.microsoft.com/office/word/2012/wordm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w15="http://schemas.microsoft.com/office/word/2012/wordm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33BC47" id="Rectangle 1" o:spid="_x0000_s1026" alt="Title: Decorative Rectangle" style="position:absolute;margin-left:0;margin-top:0;width:612pt;height:1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" fillcolor="#488bc9 [3204]" stroked="f" strokeweight=".27778mm">
                <w10:wrap type="through" anchorx="page" anchory="page"/>
                <w10:anchorlock/>
              </v:rect>
            </w:pict>
          </mc:Fallback>
        </mc:AlternateContent>
      </w:r>
      <w:r w:rsidR="009E57FE">
        <w:t>Context</w:t>
      </w:r>
    </w:p>
    <w:p w:rsidR="00F44F2D" w:rsidRDefault="002B33F5" w:rsidP="00F44F2D">
      <w:pPr>
        <w:pStyle w:val="SubheadTrebuchet"/>
      </w:pPr>
      <w:r>
        <w:t xml:space="preserve">Objective </w:t>
      </w:r>
    </w:p>
    <w:p w:rsidR="002B33F5" w:rsidRDefault="00AB7A6A" w:rsidP="002B33F5">
      <w:r>
        <w:t>T</w:t>
      </w:r>
      <w:r w:rsidR="002B33F5">
        <w:t xml:space="preserve">he </w:t>
      </w:r>
      <w:r w:rsidR="001A023E">
        <w:t>members of the Committee of Practitioners (CoP)</w:t>
      </w:r>
      <w:r w:rsidR="002B33F5">
        <w:t xml:space="preserve"> </w:t>
      </w:r>
      <w:r>
        <w:t xml:space="preserve">will </w:t>
      </w:r>
      <w:r w:rsidR="002B33F5">
        <w:t>assist the Colorado Department of Education (CDE) in determining how LEAs</w:t>
      </w:r>
      <w:r w:rsidR="007926E5">
        <w:t xml:space="preserve"> and BOCES</w:t>
      </w:r>
      <w:r w:rsidR="002B33F5">
        <w:t xml:space="preserve"> </w:t>
      </w:r>
      <w:r>
        <w:t xml:space="preserve">will demonstrate their </w:t>
      </w:r>
      <w:r w:rsidR="002B33F5">
        <w:t>method of allocating State and local funds to schools without regard to the school’s Title I status.</w:t>
      </w:r>
    </w:p>
    <w:p w:rsidR="00F44F2D" w:rsidRDefault="002B33F5" w:rsidP="00F44F2D">
      <w:pPr>
        <w:pStyle w:val="SubheadTrebuchet"/>
      </w:pPr>
      <w:r>
        <w:t>Opportunity for Input</w:t>
      </w:r>
    </w:p>
    <w:p w:rsidR="002B33F5" w:rsidRDefault="002B33F5" w:rsidP="002B33F5">
      <w:r>
        <w:t>At the upcoming CoP meeting on October 26, 2017, staff from the Federal Programs Unit within CDE will facilitate a discussion with CoP members regarding the impact of the change in supplement, not supplant (SNS) requirements</w:t>
      </w:r>
      <w:r w:rsidR="003B0BD7">
        <w:t xml:space="preserve"> under Title I, Part A</w:t>
      </w:r>
      <w:r>
        <w:t xml:space="preserve">.   This discussion will inform and refine guidance CDE is preparing to release to the field regarding this change.  We will consider the substance required </w:t>
      </w:r>
      <w:r w:rsidR="003B0BD7">
        <w:t>for demonstration</w:t>
      </w:r>
      <w:r>
        <w:t xml:space="preserve">, as well as the process of demonstration.  Please review the following information provided and, if necessary, contact experts within your LEA or BOCES to assist you in preparing for this conversation.  If you have any questions as you review the information, please contact Colleen Brooks at </w:t>
      </w:r>
      <w:hyperlink r:id="rId10" w:history="1">
        <w:r w:rsidRPr="00FE1402">
          <w:rPr>
            <w:rStyle w:val="Hyperlink"/>
          </w:rPr>
          <w:t>brooks_c@cde.state.co.us</w:t>
        </w:r>
      </w:hyperlink>
      <w:r>
        <w:t xml:space="preserve"> or 303-866-3897.</w:t>
      </w:r>
    </w:p>
    <w:p w:rsidR="00F44F2D" w:rsidRDefault="00F44F2D" w:rsidP="00F44F2D"/>
    <w:p w:rsidR="00BF5460" w:rsidRDefault="002B33F5" w:rsidP="00BF5460">
      <w:pPr>
        <w:pStyle w:val="HeadingMuseo"/>
      </w:pPr>
      <w:r>
        <w:t>Supplement, Not Supplant</w:t>
      </w:r>
    </w:p>
    <w:p w:rsidR="00BF5460" w:rsidRDefault="002B33F5" w:rsidP="00BF5460">
      <w:pPr>
        <w:pStyle w:val="SubheadTrebuchet"/>
      </w:pPr>
      <w:r>
        <w:t>Background</w:t>
      </w:r>
    </w:p>
    <w:p w:rsidR="002B33F5" w:rsidRDefault="002B33F5" w:rsidP="002B33F5">
      <w:r>
        <w:t xml:space="preserve">Under the No Child Left </w:t>
      </w:r>
      <w:proofErr w:type="gramStart"/>
      <w:r>
        <w:t>Behind</w:t>
      </w:r>
      <w:proofErr w:type="gramEnd"/>
      <w:r>
        <w:t xml:space="preserve"> Act of 2001 (NCLB), the SNS requirement was met by </w:t>
      </w:r>
      <w:r w:rsidR="003B0BD7">
        <w:t xml:space="preserve">ensuring individual Title I costs did not fall within </w:t>
      </w:r>
      <w:r>
        <w:t>the p</w:t>
      </w:r>
      <w:r w:rsidR="003B0BD7">
        <w:t>resumptions of supplanting test.</w:t>
      </w:r>
      <w:r>
        <w:t xml:space="preserve"> </w:t>
      </w:r>
      <w:r w:rsidR="003B0BD7">
        <w:t xml:space="preserve"> </w:t>
      </w:r>
      <w:r>
        <w:t>This process assessed whether a particular Title I cost was supplemental and focused on the use of the Title I funds.   Under the presumptions test, a Title I supplanting violation was presumed if Title I, Part A paid for:</w:t>
      </w:r>
    </w:p>
    <w:p w:rsidR="002B33F5" w:rsidRDefault="002B33F5" w:rsidP="002B33F5"/>
    <w:p w:rsidR="002B33F5" w:rsidRPr="00202B7A" w:rsidRDefault="002B33F5" w:rsidP="002B33F5">
      <w:pPr>
        <w:numPr>
          <w:ilvl w:val="0"/>
          <w:numId w:val="17"/>
        </w:numPr>
        <w:spacing w:after="160" w:line="259" w:lineRule="auto"/>
      </w:pPr>
      <w:r w:rsidRPr="00202B7A">
        <w:t>An activity required by federal, state, or local law;</w:t>
      </w:r>
    </w:p>
    <w:p w:rsidR="002B33F5" w:rsidRPr="00202B7A" w:rsidRDefault="002B33F5" w:rsidP="002B33F5">
      <w:pPr>
        <w:numPr>
          <w:ilvl w:val="0"/>
          <w:numId w:val="17"/>
        </w:numPr>
        <w:spacing w:after="160" w:line="259" w:lineRule="auto"/>
      </w:pPr>
      <w:r w:rsidRPr="00202B7A">
        <w:t>An activity that was paid for with state or local funds in the prior year; or</w:t>
      </w:r>
    </w:p>
    <w:p w:rsidR="002B33F5" w:rsidRPr="00202B7A" w:rsidRDefault="002B33F5" w:rsidP="002B33F5">
      <w:pPr>
        <w:numPr>
          <w:ilvl w:val="0"/>
          <w:numId w:val="17"/>
        </w:numPr>
        <w:spacing w:after="160" w:line="259" w:lineRule="auto"/>
      </w:pPr>
      <w:r w:rsidRPr="00202B7A">
        <w:t xml:space="preserve">The same services for Title I students that state and local funds support for non-Title I students. </w:t>
      </w:r>
    </w:p>
    <w:p w:rsidR="002B33F5" w:rsidRDefault="002B33F5" w:rsidP="002B33F5">
      <w:pPr>
        <w:pStyle w:val="Default"/>
        <w:rPr>
          <w:sz w:val="23"/>
          <w:szCs w:val="23"/>
        </w:rPr>
      </w:pPr>
      <w:r w:rsidRPr="00202B7A">
        <w:t>In practice, the three presumptions created confusion about what kinds of costs Title I could support</w:t>
      </w:r>
      <w:r>
        <w:t xml:space="preserve">, </w:t>
      </w:r>
      <w:r>
        <w:rPr>
          <w:sz w:val="23"/>
          <w:szCs w:val="23"/>
        </w:rPr>
        <w:t xml:space="preserve">which sometimes led to fragmented and </w:t>
      </w:r>
      <w:r w:rsidR="003B0BD7">
        <w:rPr>
          <w:sz w:val="23"/>
          <w:szCs w:val="23"/>
        </w:rPr>
        <w:t>mis</w:t>
      </w:r>
      <w:r>
        <w:rPr>
          <w:sz w:val="23"/>
          <w:szCs w:val="23"/>
        </w:rPr>
        <w:t xml:space="preserve">aligned services for students in Title I schools. </w:t>
      </w:r>
    </w:p>
    <w:p w:rsidR="00BF5460" w:rsidRDefault="00BF5460" w:rsidP="00BF5460"/>
    <w:p w:rsidR="00BF5460" w:rsidRDefault="002B33F5" w:rsidP="00BF5460">
      <w:pPr>
        <w:pStyle w:val="SubheadTrebuchet"/>
      </w:pPr>
      <w:r>
        <w:t>Changes</w:t>
      </w:r>
    </w:p>
    <w:p w:rsidR="002B33F5" w:rsidRPr="00202B7A" w:rsidRDefault="002B33F5" w:rsidP="002B33F5">
      <w:r>
        <w:t>In response to concerns regarding SNS, Congress changed the way SNS must be tested in Title I, Part A under the Every Student Succeeds Act of 201</w:t>
      </w:r>
      <w:r w:rsidR="003B0BD7">
        <w:t>5</w:t>
      </w:r>
      <w:r>
        <w:t xml:space="preserve"> (ESSA).  This change shifts the review of Title I, Part A expenses and forgoes the three presumption</w:t>
      </w:r>
      <w:r w:rsidR="003B0BD7">
        <w:t>s</w:t>
      </w:r>
      <w:r>
        <w:t xml:space="preserve"> test.  Alternatively, the SNS test under </w:t>
      </w:r>
      <w:r w:rsidR="003B0BD7">
        <w:t xml:space="preserve">the </w:t>
      </w:r>
      <w:r>
        <w:t xml:space="preserve">ESSA focuses on and requires </w:t>
      </w:r>
      <w:r w:rsidR="007926E5">
        <w:t>LEA</w:t>
      </w:r>
      <w:r>
        <w:t xml:space="preserve">s </w:t>
      </w:r>
      <w:r w:rsidR="00AB7A6A">
        <w:t xml:space="preserve">to demonstrate the </w:t>
      </w:r>
      <w:r>
        <w:t>methodology used to allocate State and local funds to each school receiving Title I assistance to ensure that it is receiving the same amount it would have regardless of whether the school received Title I assistance.  In other words, the updated SNS test reviews the manner in which LEAs allocate State and local funds to schools to ensure Title I schools receive all of the funds they would have received had they not participated in Title I.</w:t>
      </w:r>
    </w:p>
    <w:p w:rsidR="002B33F5" w:rsidRDefault="002B33F5" w:rsidP="002B33F5"/>
    <w:p w:rsidR="002B33F5" w:rsidRPr="00BD571F" w:rsidRDefault="002B33F5" w:rsidP="002B33F5">
      <w:pPr>
        <w:rPr>
          <w:b/>
        </w:rPr>
      </w:pPr>
      <w:r w:rsidRPr="00BD571F">
        <w:rPr>
          <w:b/>
        </w:rPr>
        <w:t>This shift moves away from the review of individual Title I expenses and toward a review of how LEAs allocate State and local funds.</w:t>
      </w:r>
    </w:p>
    <w:p w:rsidR="00BF5460" w:rsidRDefault="00BF5460" w:rsidP="00BF5460"/>
    <w:p w:rsidR="00BD571F" w:rsidRDefault="00BD571F" w:rsidP="00BD571F">
      <w:pPr>
        <w:pStyle w:val="SubheadTrebuchet"/>
      </w:pPr>
      <w:r>
        <w:lastRenderedPageBreak/>
        <w:t>Resources</w:t>
      </w:r>
    </w:p>
    <w:p w:rsidR="00BD571F" w:rsidRDefault="00AB7A6A" w:rsidP="00BD571F">
      <w:r>
        <w:t>T</w:t>
      </w:r>
      <w:r w:rsidR="00BD571F">
        <w:t>he change in SNS under the ESSA shifts toward a review of how State and local resources are allocated to schools.  While the example below demonstrates a methodology based on dollars per student and position, CDE acknowledges that LEAs may apply other meaning to the term “resources” when allocating funds to schools, such as a the amount of FTE granted per school site based on enrollment.   LEAs should consider the most appropriate use of the term “resources” with regard to local context, policies, and initiatives when demonstrating the LEA’s methodology for allocating State and local resources.</w:t>
      </w:r>
    </w:p>
    <w:p w:rsidR="00BD571F" w:rsidRDefault="00BD571F" w:rsidP="00BF5460">
      <w:pPr>
        <w:pStyle w:val="SubheadTrebuchet"/>
      </w:pPr>
    </w:p>
    <w:p w:rsidR="00BF5460" w:rsidRDefault="002B33F5" w:rsidP="00BF5460">
      <w:pPr>
        <w:pStyle w:val="SubheadTrebuchet"/>
      </w:pPr>
      <w:r>
        <w:t>Methodology</w:t>
      </w:r>
    </w:p>
    <w:p w:rsidR="00CA4561" w:rsidRDefault="002B33F5" w:rsidP="00BF5460">
      <w:r>
        <w:t xml:space="preserve">The term “methodology” refers to the manner in which State and local resources are allocated to schools.  In Colorado, this may vary from district to district depending upon local decisions and board policies.  However, under the ESSA, LEAs must demonstrate to CDE that </w:t>
      </w:r>
      <w:r w:rsidRPr="005417CF">
        <w:t xml:space="preserve">the methodology used to allocate State and local funds to each school receiving assistance under </w:t>
      </w:r>
      <w:r w:rsidR="003B0BD7">
        <w:t>Title I</w:t>
      </w:r>
      <w:r w:rsidRPr="005417CF">
        <w:t xml:space="preserve"> ensures that such school receives all of the State and local funds it would otherwise receive if it were not receiving </w:t>
      </w:r>
      <w:r>
        <w:t>Title I, Part A assistance.  In other words,</w:t>
      </w:r>
      <w:r w:rsidR="00BD571F">
        <w:t xml:space="preserve"> LEAs must demonstrate that</w:t>
      </w:r>
      <w:r>
        <w:t xml:space="preserve"> the method for allocating funds must be Title I neutral and give no consideration to whether a school receives Title I assistance or not when allocating State and local funds.</w:t>
      </w:r>
      <w:r w:rsidR="00AE7997">
        <w:t xml:space="preserve"> </w:t>
      </w:r>
    </w:p>
    <w:p w:rsidR="002B33F5" w:rsidRDefault="002B33F5" w:rsidP="00BF5460">
      <w:r>
        <w:t xml:space="preserve">The following </w:t>
      </w:r>
      <w:r w:rsidR="00AB7A6A">
        <w:t>example</w:t>
      </w:r>
      <w:r>
        <w:t xml:space="preserve"> may be useful for understanding how an LEA may demonstrate their methodology:</w:t>
      </w:r>
    </w:p>
    <w:p w:rsidR="002B33F5" w:rsidRDefault="002B33F5" w:rsidP="00BF5460"/>
    <w:p w:rsidR="002B33F5" w:rsidRDefault="002B33F5" w:rsidP="00BF5460">
      <w:pPr>
        <w:rPr>
          <w:b/>
        </w:rPr>
      </w:pPr>
      <w:r>
        <w:tab/>
      </w:r>
      <w:r>
        <w:rPr>
          <w:b/>
        </w:rPr>
        <w:t>Assume:</w:t>
      </w:r>
    </w:p>
    <w:p w:rsidR="002B33F5" w:rsidRDefault="002B33F5" w:rsidP="002B33F5">
      <w:pPr>
        <w:pStyle w:val="ListParagraph"/>
        <w:numPr>
          <w:ilvl w:val="0"/>
          <w:numId w:val="18"/>
        </w:numPr>
        <w:rPr>
          <w:b/>
        </w:rPr>
      </w:pPr>
      <w:r>
        <w:rPr>
          <w:b/>
        </w:rPr>
        <w:t>1 teacher per 22 students ($65,000/teacher)</w:t>
      </w:r>
    </w:p>
    <w:p w:rsidR="002B33F5" w:rsidRDefault="002B33F5" w:rsidP="002B33F5">
      <w:pPr>
        <w:pStyle w:val="ListParagraph"/>
        <w:numPr>
          <w:ilvl w:val="0"/>
          <w:numId w:val="18"/>
        </w:numPr>
        <w:rPr>
          <w:b/>
        </w:rPr>
      </w:pPr>
      <w:r>
        <w:rPr>
          <w:b/>
        </w:rPr>
        <w:t>1 principal/school ($120,000)</w:t>
      </w:r>
    </w:p>
    <w:p w:rsidR="002B33F5" w:rsidRDefault="002B33F5" w:rsidP="002B33F5">
      <w:pPr>
        <w:pStyle w:val="ListParagraph"/>
        <w:numPr>
          <w:ilvl w:val="0"/>
          <w:numId w:val="18"/>
        </w:numPr>
        <w:rPr>
          <w:b/>
        </w:rPr>
      </w:pPr>
      <w:r>
        <w:rPr>
          <w:b/>
        </w:rPr>
        <w:t>1 librarian/school ($65,000)</w:t>
      </w:r>
    </w:p>
    <w:p w:rsidR="002B33F5" w:rsidRDefault="002B33F5" w:rsidP="002B33F5">
      <w:pPr>
        <w:pStyle w:val="ListParagraph"/>
        <w:numPr>
          <w:ilvl w:val="0"/>
          <w:numId w:val="18"/>
        </w:numPr>
        <w:rPr>
          <w:b/>
        </w:rPr>
      </w:pPr>
      <w:r>
        <w:rPr>
          <w:b/>
        </w:rPr>
        <w:t>2 guidance counselors/school ($65,000/guidance counselor)</w:t>
      </w:r>
    </w:p>
    <w:p w:rsidR="002B33F5" w:rsidRDefault="002B33F5" w:rsidP="002B33F5">
      <w:pPr>
        <w:pStyle w:val="ListParagraph"/>
        <w:numPr>
          <w:ilvl w:val="0"/>
          <w:numId w:val="18"/>
        </w:numPr>
        <w:rPr>
          <w:b/>
        </w:rPr>
      </w:pPr>
      <w:r>
        <w:rPr>
          <w:b/>
        </w:rPr>
        <w:t>$825/student for instructional materials and supplies (including technology)</w:t>
      </w:r>
    </w:p>
    <w:p w:rsidR="002B33F5" w:rsidRDefault="002B33F5" w:rsidP="002B33F5">
      <w:pPr>
        <w:rPr>
          <w:b/>
        </w:rPr>
      </w:pPr>
    </w:p>
    <w:p w:rsidR="002B33F5" w:rsidRDefault="002B33F5" w:rsidP="002B33F5">
      <w:pPr>
        <w:ind w:left="720"/>
        <w:rPr>
          <w:b/>
        </w:rPr>
      </w:pPr>
      <w:r>
        <w:rPr>
          <w:b/>
        </w:rPr>
        <w:t>In a schoo</w:t>
      </w:r>
      <w:r w:rsidR="009359C9">
        <w:rPr>
          <w:b/>
        </w:rPr>
        <w:t>l of 450 students, the school would</w:t>
      </w:r>
      <w:r>
        <w:rPr>
          <w:b/>
        </w:rPr>
        <w:t xml:space="preserve"> be expected to receive $2,051,250 in non-Federal</w:t>
      </w:r>
      <w:r w:rsidR="009E57FE">
        <w:rPr>
          <w:b/>
        </w:rPr>
        <w:tab/>
      </w:r>
      <w:r w:rsidR="009E57FE">
        <w:rPr>
          <w:b/>
        </w:rPr>
        <w:tab/>
      </w:r>
      <w:r>
        <w:rPr>
          <w:b/>
        </w:rPr>
        <w:t xml:space="preserve"> resources based on the following calculation:</w:t>
      </w:r>
    </w:p>
    <w:p w:rsidR="002B33F5" w:rsidRDefault="002B33F5" w:rsidP="002B33F5">
      <w:pPr>
        <w:ind w:left="720"/>
        <w:rPr>
          <w:b/>
        </w:rPr>
      </w:pPr>
    </w:p>
    <w:tbl>
      <w:tblPr>
        <w:tblStyle w:val="ListTable3Accen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upplement not supplant table "/>
      </w:tblPr>
      <w:tblGrid>
        <w:gridCol w:w="3600"/>
        <w:gridCol w:w="2878"/>
        <w:gridCol w:w="2342"/>
      </w:tblGrid>
      <w:tr w:rsidR="002B33F5" w:rsidTr="00AE799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00" w:type="dxa"/>
            <w:tcBorders>
              <w:bottom w:val="none" w:sz="0" w:space="0" w:color="auto"/>
              <w:right w:val="none" w:sz="0" w:space="0" w:color="auto"/>
            </w:tcBorders>
          </w:tcPr>
          <w:p w:rsidR="002B33F5" w:rsidRDefault="002B33F5" w:rsidP="002B33F5">
            <w:pPr>
              <w:rPr>
                <w:b w:val="0"/>
              </w:rPr>
            </w:pPr>
            <w:r>
              <w:rPr>
                <w:b w:val="0"/>
              </w:rPr>
              <w:t>Category</w:t>
            </w:r>
          </w:p>
        </w:tc>
        <w:tc>
          <w:tcPr>
            <w:tcW w:w="2878" w:type="dxa"/>
          </w:tcPr>
          <w:p w:rsidR="002B33F5" w:rsidRDefault="002B33F5" w:rsidP="002B33F5">
            <w:pPr>
              <w:cnfStyle w:val="100000000000" w:firstRow="1" w:lastRow="0" w:firstColumn="0" w:lastColumn="0" w:oddVBand="0" w:evenVBand="0" w:oddHBand="0" w:evenHBand="0" w:firstRowFirstColumn="0" w:firstRowLastColumn="0" w:lastRowFirstColumn="0" w:lastRowLastColumn="0"/>
              <w:rPr>
                <w:b w:val="0"/>
              </w:rPr>
            </w:pPr>
            <w:r>
              <w:rPr>
                <w:b w:val="0"/>
              </w:rPr>
              <w:t>Calculation</w:t>
            </w:r>
          </w:p>
        </w:tc>
        <w:tc>
          <w:tcPr>
            <w:tcW w:w="2342" w:type="dxa"/>
          </w:tcPr>
          <w:p w:rsidR="002B33F5" w:rsidRDefault="002B33F5" w:rsidP="002B33F5">
            <w:pPr>
              <w:cnfStyle w:val="100000000000" w:firstRow="1" w:lastRow="0" w:firstColumn="0" w:lastColumn="0" w:oddVBand="0" w:evenVBand="0" w:oddHBand="0" w:evenHBand="0" w:firstRowFirstColumn="0" w:firstRowLastColumn="0" w:lastRowFirstColumn="0" w:lastRowLastColumn="0"/>
              <w:rPr>
                <w:b w:val="0"/>
              </w:rPr>
            </w:pPr>
            <w:r>
              <w:rPr>
                <w:b w:val="0"/>
              </w:rPr>
              <w:t>Amount</w:t>
            </w:r>
          </w:p>
        </w:tc>
      </w:tr>
      <w:tr w:rsidR="002B33F5" w:rsidTr="009E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right w:val="none" w:sz="0" w:space="0" w:color="auto"/>
            </w:tcBorders>
          </w:tcPr>
          <w:p w:rsidR="002B33F5" w:rsidRPr="009E57FE" w:rsidRDefault="002B33F5" w:rsidP="002B33F5">
            <w:r w:rsidRPr="009E57FE">
              <w:t>1 principal</w:t>
            </w:r>
          </w:p>
        </w:tc>
        <w:tc>
          <w:tcPr>
            <w:tcW w:w="2878" w:type="dxa"/>
            <w:tcBorders>
              <w:top w:val="none" w:sz="0" w:space="0" w:color="auto"/>
              <w:bottom w:val="none" w:sz="0" w:space="0" w:color="auto"/>
            </w:tcBorders>
          </w:tcPr>
          <w:p w:rsidR="002B33F5" w:rsidRDefault="002B33F5" w:rsidP="002B33F5">
            <w:pPr>
              <w:cnfStyle w:val="000000100000" w:firstRow="0" w:lastRow="0" w:firstColumn="0" w:lastColumn="0" w:oddVBand="0" w:evenVBand="0" w:oddHBand="1" w:evenHBand="0" w:firstRowFirstColumn="0" w:firstRowLastColumn="0" w:lastRowFirstColumn="0" w:lastRowLastColumn="0"/>
              <w:rPr>
                <w:b/>
              </w:rPr>
            </w:pPr>
            <w:r>
              <w:rPr>
                <w:b/>
              </w:rPr>
              <w:t>1 x $120,000</w:t>
            </w:r>
          </w:p>
        </w:tc>
        <w:tc>
          <w:tcPr>
            <w:tcW w:w="2342" w:type="dxa"/>
            <w:tcBorders>
              <w:top w:val="none" w:sz="0" w:space="0" w:color="auto"/>
              <w:bottom w:val="none" w:sz="0" w:space="0" w:color="auto"/>
            </w:tcBorders>
          </w:tcPr>
          <w:p w:rsidR="002B33F5" w:rsidRDefault="002B33F5" w:rsidP="009E57FE">
            <w:pPr>
              <w:jc w:val="right"/>
              <w:cnfStyle w:val="000000100000" w:firstRow="0" w:lastRow="0" w:firstColumn="0" w:lastColumn="0" w:oddVBand="0" w:evenVBand="0" w:oddHBand="1" w:evenHBand="0" w:firstRowFirstColumn="0" w:firstRowLastColumn="0" w:lastRowFirstColumn="0" w:lastRowLastColumn="0"/>
              <w:rPr>
                <w:b/>
              </w:rPr>
            </w:pPr>
            <w:r>
              <w:rPr>
                <w:b/>
              </w:rPr>
              <w:t>$120,000</w:t>
            </w:r>
          </w:p>
        </w:tc>
      </w:tr>
      <w:tr w:rsidR="002B33F5" w:rsidTr="009E57FE">
        <w:tc>
          <w:tcPr>
            <w:cnfStyle w:val="001000000000" w:firstRow="0" w:lastRow="0" w:firstColumn="1" w:lastColumn="0" w:oddVBand="0" w:evenVBand="0" w:oddHBand="0" w:evenHBand="0" w:firstRowFirstColumn="0" w:firstRowLastColumn="0" w:lastRowFirstColumn="0" w:lastRowLastColumn="0"/>
            <w:tcW w:w="3600" w:type="dxa"/>
            <w:tcBorders>
              <w:right w:val="none" w:sz="0" w:space="0" w:color="auto"/>
            </w:tcBorders>
          </w:tcPr>
          <w:p w:rsidR="002B33F5" w:rsidRPr="009E57FE" w:rsidRDefault="002B33F5" w:rsidP="002B33F5">
            <w:r w:rsidRPr="009E57FE">
              <w:t>1 librarian</w:t>
            </w:r>
          </w:p>
        </w:tc>
        <w:tc>
          <w:tcPr>
            <w:tcW w:w="2878" w:type="dxa"/>
          </w:tcPr>
          <w:p w:rsidR="002B33F5" w:rsidRDefault="002B33F5" w:rsidP="002B33F5">
            <w:pPr>
              <w:cnfStyle w:val="000000000000" w:firstRow="0" w:lastRow="0" w:firstColumn="0" w:lastColumn="0" w:oddVBand="0" w:evenVBand="0" w:oddHBand="0" w:evenHBand="0" w:firstRowFirstColumn="0" w:firstRowLastColumn="0" w:lastRowFirstColumn="0" w:lastRowLastColumn="0"/>
              <w:rPr>
                <w:b/>
              </w:rPr>
            </w:pPr>
            <w:r>
              <w:rPr>
                <w:b/>
              </w:rPr>
              <w:t>1 x $65,000</w:t>
            </w:r>
          </w:p>
        </w:tc>
        <w:tc>
          <w:tcPr>
            <w:tcW w:w="2342" w:type="dxa"/>
          </w:tcPr>
          <w:p w:rsidR="002B33F5" w:rsidRDefault="002B33F5" w:rsidP="009E57FE">
            <w:pPr>
              <w:jc w:val="right"/>
              <w:cnfStyle w:val="000000000000" w:firstRow="0" w:lastRow="0" w:firstColumn="0" w:lastColumn="0" w:oddVBand="0" w:evenVBand="0" w:oddHBand="0" w:evenHBand="0" w:firstRowFirstColumn="0" w:firstRowLastColumn="0" w:lastRowFirstColumn="0" w:lastRowLastColumn="0"/>
              <w:rPr>
                <w:b/>
              </w:rPr>
            </w:pPr>
            <w:r>
              <w:rPr>
                <w:b/>
              </w:rPr>
              <w:t>$65,000</w:t>
            </w:r>
          </w:p>
        </w:tc>
      </w:tr>
      <w:tr w:rsidR="002B33F5" w:rsidTr="009E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Borders>
              <w:top w:val="none" w:sz="0" w:space="0" w:color="auto"/>
              <w:bottom w:val="none" w:sz="0" w:space="0" w:color="auto"/>
              <w:right w:val="none" w:sz="0" w:space="0" w:color="auto"/>
            </w:tcBorders>
          </w:tcPr>
          <w:p w:rsidR="002B33F5" w:rsidRPr="009E57FE" w:rsidRDefault="002B33F5" w:rsidP="002B33F5">
            <w:r w:rsidRPr="009E57FE">
              <w:t>2 guidance counselors</w:t>
            </w:r>
          </w:p>
        </w:tc>
        <w:tc>
          <w:tcPr>
            <w:tcW w:w="2878" w:type="dxa"/>
            <w:tcBorders>
              <w:top w:val="none" w:sz="0" w:space="0" w:color="auto"/>
              <w:bottom w:val="none" w:sz="0" w:space="0" w:color="auto"/>
            </w:tcBorders>
          </w:tcPr>
          <w:p w:rsidR="002B33F5" w:rsidRDefault="002B33F5" w:rsidP="002B33F5">
            <w:pPr>
              <w:cnfStyle w:val="000000100000" w:firstRow="0" w:lastRow="0" w:firstColumn="0" w:lastColumn="0" w:oddVBand="0" w:evenVBand="0" w:oddHBand="1" w:evenHBand="0" w:firstRowFirstColumn="0" w:firstRowLastColumn="0" w:lastRowFirstColumn="0" w:lastRowLastColumn="0"/>
              <w:rPr>
                <w:b/>
              </w:rPr>
            </w:pPr>
            <w:r>
              <w:rPr>
                <w:b/>
              </w:rPr>
              <w:t>2 x $65,000</w:t>
            </w:r>
          </w:p>
        </w:tc>
        <w:tc>
          <w:tcPr>
            <w:tcW w:w="2342" w:type="dxa"/>
            <w:tcBorders>
              <w:top w:val="none" w:sz="0" w:space="0" w:color="auto"/>
              <w:bottom w:val="none" w:sz="0" w:space="0" w:color="auto"/>
            </w:tcBorders>
          </w:tcPr>
          <w:p w:rsidR="002B33F5" w:rsidRDefault="002B33F5" w:rsidP="009E57FE">
            <w:pPr>
              <w:jc w:val="right"/>
              <w:cnfStyle w:val="000000100000" w:firstRow="0" w:lastRow="0" w:firstColumn="0" w:lastColumn="0" w:oddVBand="0" w:evenVBand="0" w:oddHBand="1" w:evenHBand="0" w:firstRowFirstColumn="0" w:firstRowLastColumn="0" w:lastRowFirstColumn="0" w:lastRowLastColumn="0"/>
              <w:rPr>
                <w:b/>
              </w:rPr>
            </w:pPr>
            <w:r>
              <w:rPr>
                <w:b/>
              </w:rPr>
              <w:t>$130,000</w:t>
            </w:r>
          </w:p>
        </w:tc>
      </w:tr>
      <w:tr w:rsidR="002B33F5" w:rsidTr="009E57FE">
        <w:tc>
          <w:tcPr>
            <w:cnfStyle w:val="001000000000" w:firstRow="0" w:lastRow="0" w:firstColumn="1" w:lastColumn="0" w:oddVBand="0" w:evenVBand="0" w:oddHBand="0" w:evenHBand="0" w:firstRowFirstColumn="0" w:firstRowLastColumn="0" w:lastRowFirstColumn="0" w:lastRowLastColumn="0"/>
            <w:tcW w:w="3600" w:type="dxa"/>
          </w:tcPr>
          <w:p w:rsidR="002B33F5" w:rsidRPr="009E57FE" w:rsidRDefault="002B33F5" w:rsidP="002B33F5">
            <w:r w:rsidRPr="009E57FE">
              <w:t>21 teachers</w:t>
            </w:r>
          </w:p>
        </w:tc>
        <w:tc>
          <w:tcPr>
            <w:tcW w:w="2878" w:type="dxa"/>
          </w:tcPr>
          <w:p w:rsidR="002B33F5" w:rsidRDefault="002B33F5" w:rsidP="002B33F5">
            <w:pPr>
              <w:cnfStyle w:val="000000000000" w:firstRow="0" w:lastRow="0" w:firstColumn="0" w:lastColumn="0" w:oddVBand="0" w:evenVBand="0" w:oddHBand="0" w:evenHBand="0" w:firstRowFirstColumn="0" w:firstRowLastColumn="0" w:lastRowFirstColumn="0" w:lastRowLastColumn="0"/>
              <w:rPr>
                <w:b/>
              </w:rPr>
            </w:pPr>
            <w:r>
              <w:rPr>
                <w:b/>
              </w:rPr>
              <w:t>21 x $65,000</w:t>
            </w:r>
          </w:p>
        </w:tc>
        <w:tc>
          <w:tcPr>
            <w:tcW w:w="2342" w:type="dxa"/>
          </w:tcPr>
          <w:p w:rsidR="002B33F5" w:rsidRDefault="002B33F5" w:rsidP="009E57FE">
            <w:pPr>
              <w:jc w:val="right"/>
              <w:cnfStyle w:val="000000000000" w:firstRow="0" w:lastRow="0" w:firstColumn="0" w:lastColumn="0" w:oddVBand="0" w:evenVBand="0" w:oddHBand="0" w:evenHBand="0" w:firstRowFirstColumn="0" w:firstRowLastColumn="0" w:lastRowFirstColumn="0" w:lastRowLastColumn="0"/>
              <w:rPr>
                <w:b/>
              </w:rPr>
            </w:pPr>
            <w:r>
              <w:rPr>
                <w:b/>
              </w:rPr>
              <w:t>$1,365,000</w:t>
            </w:r>
          </w:p>
        </w:tc>
      </w:tr>
      <w:tr w:rsidR="002B33F5" w:rsidTr="009E57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0" w:type="dxa"/>
          </w:tcPr>
          <w:p w:rsidR="002B33F5" w:rsidRPr="009E57FE" w:rsidRDefault="002B33F5" w:rsidP="002B33F5">
            <w:r w:rsidRPr="009E57FE">
              <w:t>Instructional materials and supplies</w:t>
            </w:r>
          </w:p>
        </w:tc>
        <w:tc>
          <w:tcPr>
            <w:tcW w:w="2878" w:type="dxa"/>
          </w:tcPr>
          <w:p w:rsidR="002B33F5" w:rsidRDefault="002B33F5" w:rsidP="002B33F5">
            <w:pPr>
              <w:cnfStyle w:val="000000100000" w:firstRow="0" w:lastRow="0" w:firstColumn="0" w:lastColumn="0" w:oddVBand="0" w:evenVBand="0" w:oddHBand="1" w:evenHBand="0" w:firstRowFirstColumn="0" w:firstRowLastColumn="0" w:lastRowFirstColumn="0" w:lastRowLastColumn="0"/>
              <w:rPr>
                <w:b/>
              </w:rPr>
            </w:pPr>
            <w:r>
              <w:rPr>
                <w:b/>
              </w:rPr>
              <w:t>450 x $825</w:t>
            </w:r>
          </w:p>
        </w:tc>
        <w:tc>
          <w:tcPr>
            <w:tcW w:w="2342" w:type="dxa"/>
            <w:tcBorders>
              <w:bottom w:val="single" w:sz="18" w:space="0" w:color="auto"/>
            </w:tcBorders>
          </w:tcPr>
          <w:p w:rsidR="002B33F5" w:rsidRDefault="002B33F5" w:rsidP="009E57FE">
            <w:pPr>
              <w:jc w:val="right"/>
              <w:cnfStyle w:val="000000100000" w:firstRow="0" w:lastRow="0" w:firstColumn="0" w:lastColumn="0" w:oddVBand="0" w:evenVBand="0" w:oddHBand="1" w:evenHBand="0" w:firstRowFirstColumn="0" w:firstRowLastColumn="0" w:lastRowFirstColumn="0" w:lastRowLastColumn="0"/>
              <w:rPr>
                <w:b/>
              </w:rPr>
            </w:pPr>
            <w:r>
              <w:rPr>
                <w:b/>
              </w:rPr>
              <w:t>$371,250</w:t>
            </w:r>
          </w:p>
        </w:tc>
      </w:tr>
      <w:tr w:rsidR="002B33F5" w:rsidTr="009E57FE">
        <w:tc>
          <w:tcPr>
            <w:cnfStyle w:val="001000000000" w:firstRow="0" w:lastRow="0" w:firstColumn="1" w:lastColumn="0" w:oddVBand="0" w:evenVBand="0" w:oddHBand="0" w:evenHBand="0" w:firstRowFirstColumn="0" w:firstRowLastColumn="0" w:lastRowFirstColumn="0" w:lastRowLastColumn="0"/>
            <w:tcW w:w="3600" w:type="dxa"/>
          </w:tcPr>
          <w:p w:rsidR="002B33F5" w:rsidRDefault="002B33F5" w:rsidP="002B33F5">
            <w:pPr>
              <w:rPr>
                <w:b w:val="0"/>
              </w:rPr>
            </w:pPr>
          </w:p>
        </w:tc>
        <w:tc>
          <w:tcPr>
            <w:tcW w:w="2878" w:type="dxa"/>
            <w:tcBorders>
              <w:right w:val="single" w:sz="18" w:space="0" w:color="auto"/>
            </w:tcBorders>
          </w:tcPr>
          <w:p w:rsidR="002B33F5" w:rsidRDefault="002B33F5" w:rsidP="002B33F5">
            <w:pPr>
              <w:cnfStyle w:val="000000000000" w:firstRow="0" w:lastRow="0" w:firstColumn="0" w:lastColumn="0" w:oddVBand="0" w:evenVBand="0" w:oddHBand="0" w:evenHBand="0" w:firstRowFirstColumn="0" w:firstRowLastColumn="0" w:lastRowFirstColumn="0" w:lastRowLastColumn="0"/>
              <w:rPr>
                <w:b/>
              </w:rPr>
            </w:pPr>
          </w:p>
        </w:tc>
        <w:tc>
          <w:tcPr>
            <w:tcW w:w="2342" w:type="dxa"/>
            <w:tcBorders>
              <w:top w:val="single" w:sz="18" w:space="0" w:color="auto"/>
              <w:left w:val="single" w:sz="18" w:space="0" w:color="auto"/>
              <w:bottom w:val="single" w:sz="18" w:space="0" w:color="auto"/>
              <w:right w:val="single" w:sz="18" w:space="0" w:color="auto"/>
            </w:tcBorders>
            <w:shd w:val="clear" w:color="auto" w:fill="B5D0E9" w:themeFill="accent1" w:themeFillTint="66"/>
          </w:tcPr>
          <w:p w:rsidR="002B33F5" w:rsidRDefault="002B33F5" w:rsidP="009E57FE">
            <w:pPr>
              <w:jc w:val="right"/>
              <w:cnfStyle w:val="000000000000" w:firstRow="0" w:lastRow="0" w:firstColumn="0" w:lastColumn="0" w:oddVBand="0" w:evenVBand="0" w:oddHBand="0" w:evenHBand="0" w:firstRowFirstColumn="0" w:firstRowLastColumn="0" w:lastRowFirstColumn="0" w:lastRowLastColumn="0"/>
              <w:rPr>
                <w:b/>
              </w:rPr>
            </w:pPr>
            <w:r>
              <w:rPr>
                <w:b/>
              </w:rPr>
              <w:t>$2,051,250</w:t>
            </w:r>
          </w:p>
        </w:tc>
      </w:tr>
    </w:tbl>
    <w:p w:rsidR="002B33F5" w:rsidRDefault="002B33F5" w:rsidP="002B33F5">
      <w:pPr>
        <w:ind w:left="720"/>
        <w:rPr>
          <w:b/>
        </w:rPr>
      </w:pPr>
    </w:p>
    <w:p w:rsidR="003B0BD7" w:rsidRDefault="003B0BD7" w:rsidP="002B33F5">
      <w:pPr>
        <w:ind w:left="720"/>
        <w:rPr>
          <w:b/>
        </w:rPr>
      </w:pPr>
      <w:r>
        <w:rPr>
          <w:b/>
        </w:rPr>
        <w:t xml:space="preserve">In this </w:t>
      </w:r>
      <w:r w:rsidR="007926E5">
        <w:rPr>
          <w:b/>
        </w:rPr>
        <w:t>example</w:t>
      </w:r>
      <w:r>
        <w:rPr>
          <w:b/>
        </w:rPr>
        <w:t>, the LEA must distribute non-Federal resources according to the assumptions above to all of its schools, regardless of whether a school receives Title I funds.  However, actual expenditures within each school after the distribution of resources may vary.</w:t>
      </w:r>
    </w:p>
    <w:p w:rsidR="003B0BD7" w:rsidRPr="002B33F5" w:rsidRDefault="003B0BD7" w:rsidP="002B33F5">
      <w:pPr>
        <w:ind w:left="720"/>
        <w:rPr>
          <w:b/>
        </w:rPr>
      </w:pPr>
    </w:p>
    <w:p w:rsidR="00D46E38" w:rsidRDefault="00D46E38" w:rsidP="00D46E38">
      <w:bookmarkStart w:id="0" w:name="_GoBack"/>
      <w:bookmarkEnd w:id="0"/>
    </w:p>
    <w:p w:rsidR="00393C7D" w:rsidRDefault="00393C7D" w:rsidP="002B33F5">
      <w:pPr>
        <w:pStyle w:val="SubheadTrebuchet"/>
      </w:pPr>
    </w:p>
    <w:p w:rsidR="00BD571F" w:rsidRPr="00BD571F" w:rsidRDefault="00BD571F" w:rsidP="00BD571F"/>
    <w:p w:rsidR="00393C7D" w:rsidRDefault="00393C7D" w:rsidP="002B33F5">
      <w:pPr>
        <w:pStyle w:val="SubheadTrebuchet"/>
      </w:pPr>
    </w:p>
    <w:p w:rsidR="002B33F5" w:rsidRDefault="002B33F5" w:rsidP="002B33F5">
      <w:pPr>
        <w:pStyle w:val="SubheadTrebuchet"/>
      </w:pPr>
      <w:r>
        <w:t>Summary</w:t>
      </w:r>
    </w:p>
    <w:p w:rsidR="00CA4561" w:rsidRDefault="002B33F5" w:rsidP="00BF5460">
      <w:r>
        <w:lastRenderedPageBreak/>
        <w:t>The table below is provided as a summary of the preceding information:</w:t>
      </w:r>
    </w:p>
    <w:p w:rsidR="002B33F5" w:rsidRDefault="002B33F5" w:rsidP="00BF5460"/>
    <w:tbl>
      <w:tblPr>
        <w:tblStyle w:val="MediumGrid3-Accent1"/>
        <w:tblW w:w="0" w:type="auto"/>
        <w:tblLook w:val="04A0" w:firstRow="1" w:lastRow="0" w:firstColumn="1" w:lastColumn="0" w:noHBand="0" w:noVBand="1"/>
        <w:tblDescription w:val="supplement not supplant table "/>
      </w:tblPr>
      <w:tblGrid>
        <w:gridCol w:w="2510"/>
        <w:gridCol w:w="4005"/>
        <w:gridCol w:w="4005"/>
      </w:tblGrid>
      <w:tr w:rsidR="002B33F5" w:rsidRPr="00393C7D" w:rsidTr="00AE7997">
        <w:trPr>
          <w:cnfStyle w:val="100000000000" w:firstRow="1" w:lastRow="0" w:firstColumn="0" w:lastColumn="0" w:oddVBand="0" w:evenVBand="0" w:oddHBand="0" w:evenHBand="0" w:firstRowFirstColumn="0" w:firstRowLastColumn="0" w:lastRowFirstColumn="0" w:lastRowLastColumn="0"/>
          <w:trHeight w:val="272"/>
          <w:tblHeader/>
        </w:trPr>
        <w:tc>
          <w:tcPr>
            <w:cnfStyle w:val="001000000000" w:firstRow="0" w:lastRow="0" w:firstColumn="1" w:lastColumn="0" w:oddVBand="0" w:evenVBand="0" w:oddHBand="0" w:evenHBand="0" w:firstRowFirstColumn="0" w:firstRowLastColumn="0" w:lastRowFirstColumn="0" w:lastRowLastColumn="0"/>
            <w:tcW w:w="2510" w:type="dxa"/>
          </w:tcPr>
          <w:p w:rsidR="002B33F5" w:rsidRPr="00393C7D" w:rsidRDefault="002B33F5" w:rsidP="006436F2">
            <w:pPr>
              <w:jc w:val="center"/>
              <w:rPr>
                <w:sz w:val="20"/>
              </w:rPr>
            </w:pPr>
          </w:p>
        </w:tc>
        <w:tc>
          <w:tcPr>
            <w:tcW w:w="4005" w:type="dxa"/>
          </w:tcPr>
          <w:p w:rsidR="002B33F5" w:rsidRPr="00393C7D" w:rsidRDefault="002B33F5" w:rsidP="00FB4725">
            <w:pPr>
              <w:cnfStyle w:val="100000000000" w:firstRow="1" w:lastRow="0" w:firstColumn="0" w:lastColumn="0" w:oddVBand="0" w:evenVBand="0" w:oddHBand="0" w:evenHBand="0" w:firstRowFirstColumn="0" w:firstRowLastColumn="0" w:lastRowFirstColumn="0" w:lastRowLastColumn="0"/>
              <w:rPr>
                <w:sz w:val="20"/>
              </w:rPr>
            </w:pPr>
            <w:r w:rsidRPr="00393C7D">
              <w:rPr>
                <w:sz w:val="20"/>
              </w:rPr>
              <w:t>NCLB</w:t>
            </w:r>
          </w:p>
        </w:tc>
        <w:tc>
          <w:tcPr>
            <w:tcW w:w="4005" w:type="dxa"/>
          </w:tcPr>
          <w:p w:rsidR="002B33F5" w:rsidRPr="00393C7D" w:rsidRDefault="002B33F5" w:rsidP="00FB4725">
            <w:pPr>
              <w:cnfStyle w:val="100000000000" w:firstRow="1" w:lastRow="0" w:firstColumn="0" w:lastColumn="0" w:oddVBand="0" w:evenVBand="0" w:oddHBand="0" w:evenHBand="0" w:firstRowFirstColumn="0" w:firstRowLastColumn="0" w:lastRowFirstColumn="0" w:lastRowLastColumn="0"/>
              <w:rPr>
                <w:sz w:val="20"/>
              </w:rPr>
            </w:pPr>
            <w:r w:rsidRPr="00393C7D">
              <w:rPr>
                <w:sz w:val="20"/>
              </w:rPr>
              <w:t>ESSA</w:t>
            </w:r>
          </w:p>
        </w:tc>
      </w:tr>
      <w:tr w:rsidR="006436F2" w:rsidRPr="00393C7D" w:rsidTr="006436F2">
        <w:trPr>
          <w:cnfStyle w:val="000000100000" w:firstRow="0" w:lastRow="0" w:firstColumn="0" w:lastColumn="0" w:oddVBand="0" w:evenVBand="0" w:oddHBand="1" w:evenHBand="0" w:firstRowFirstColumn="0" w:firstRowLastColumn="0" w:lastRowFirstColumn="0" w:lastRowLastColumn="0"/>
          <w:trHeight w:val="5440"/>
        </w:trPr>
        <w:tc>
          <w:tcPr>
            <w:cnfStyle w:val="001000000000" w:firstRow="0" w:lastRow="0" w:firstColumn="1" w:lastColumn="0" w:oddVBand="0" w:evenVBand="0" w:oddHBand="0" w:evenHBand="0" w:firstRowFirstColumn="0" w:firstRowLastColumn="0" w:lastRowFirstColumn="0" w:lastRowLastColumn="0"/>
            <w:tcW w:w="2510" w:type="dxa"/>
          </w:tcPr>
          <w:p w:rsidR="002B33F5" w:rsidRPr="00393C7D" w:rsidRDefault="002B33F5" w:rsidP="006436F2">
            <w:pPr>
              <w:jc w:val="center"/>
              <w:rPr>
                <w:sz w:val="20"/>
              </w:rPr>
            </w:pPr>
            <w:r w:rsidRPr="00393C7D">
              <w:rPr>
                <w:sz w:val="20"/>
              </w:rPr>
              <w:t>Statutory Requirement</w:t>
            </w:r>
          </w:p>
        </w:tc>
        <w:tc>
          <w:tcPr>
            <w:tcW w:w="4005" w:type="dxa"/>
          </w:tcPr>
          <w:p w:rsidR="002B33F5" w:rsidRPr="00393C7D" w:rsidRDefault="002B33F5" w:rsidP="00FB472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393C7D">
              <w:rPr>
                <w:rFonts w:asciiTheme="minorHAnsi" w:hAnsiTheme="minorHAnsi"/>
                <w:sz w:val="20"/>
                <w:szCs w:val="22"/>
              </w:rPr>
              <w:t>A State educational agency or local educational</w:t>
            </w:r>
            <w:r w:rsidRPr="00393C7D">
              <w:rPr>
                <w:sz w:val="20"/>
              </w:rPr>
              <w:t xml:space="preserve"> </w:t>
            </w:r>
            <w:r w:rsidRPr="00393C7D">
              <w:rPr>
                <w:rFonts w:asciiTheme="minorHAnsi" w:hAnsiTheme="minorHAnsi"/>
                <w:sz w:val="20"/>
                <w:szCs w:val="22"/>
              </w:rPr>
              <w:t xml:space="preserve">agency shall use Federal funds received </w:t>
            </w:r>
            <w:r w:rsidRPr="00393C7D">
              <w:rPr>
                <w:sz w:val="20"/>
              </w:rPr>
              <w:t>u</w:t>
            </w:r>
            <w:r w:rsidRPr="00393C7D">
              <w:rPr>
                <w:rFonts w:asciiTheme="minorHAnsi" w:hAnsiTheme="minorHAnsi"/>
                <w:sz w:val="20"/>
                <w:szCs w:val="22"/>
              </w:rPr>
              <w:t>nder this</w:t>
            </w:r>
            <w:r w:rsidRPr="00393C7D">
              <w:rPr>
                <w:sz w:val="20"/>
              </w:rPr>
              <w:t xml:space="preserve"> </w:t>
            </w:r>
            <w:r w:rsidRPr="00393C7D">
              <w:rPr>
                <w:rFonts w:asciiTheme="minorHAnsi" w:hAnsiTheme="minorHAnsi"/>
                <w:sz w:val="20"/>
                <w:szCs w:val="22"/>
              </w:rPr>
              <w:t xml:space="preserve">part only to </w:t>
            </w:r>
            <w:r w:rsidRPr="00393C7D">
              <w:rPr>
                <w:sz w:val="20"/>
              </w:rPr>
              <w:t>s</w:t>
            </w:r>
            <w:r w:rsidRPr="00393C7D">
              <w:rPr>
                <w:rFonts w:asciiTheme="minorHAnsi" w:hAnsiTheme="minorHAnsi"/>
                <w:sz w:val="20"/>
                <w:szCs w:val="22"/>
              </w:rPr>
              <w:t xml:space="preserve">upplement the funds that </w:t>
            </w:r>
            <w:r w:rsidRPr="00393C7D">
              <w:rPr>
                <w:sz w:val="20"/>
              </w:rPr>
              <w:t>w</w:t>
            </w:r>
            <w:r w:rsidRPr="00393C7D">
              <w:rPr>
                <w:rFonts w:asciiTheme="minorHAnsi" w:hAnsiTheme="minorHAnsi"/>
                <w:sz w:val="20"/>
                <w:szCs w:val="22"/>
              </w:rPr>
              <w:t>ould, in the absence</w:t>
            </w:r>
            <w:r w:rsidRPr="00393C7D">
              <w:rPr>
                <w:sz w:val="20"/>
              </w:rPr>
              <w:t xml:space="preserve"> </w:t>
            </w:r>
            <w:r w:rsidRPr="00393C7D">
              <w:rPr>
                <w:rFonts w:asciiTheme="minorHAnsi" w:hAnsiTheme="minorHAnsi"/>
                <w:sz w:val="20"/>
                <w:szCs w:val="22"/>
              </w:rPr>
              <w:t xml:space="preserve">of such Federal funds, be made </w:t>
            </w:r>
            <w:r w:rsidRPr="00393C7D">
              <w:rPr>
                <w:sz w:val="20"/>
              </w:rPr>
              <w:t>a</w:t>
            </w:r>
            <w:r w:rsidRPr="00393C7D">
              <w:rPr>
                <w:rFonts w:asciiTheme="minorHAnsi" w:hAnsiTheme="minorHAnsi"/>
                <w:sz w:val="20"/>
                <w:szCs w:val="22"/>
              </w:rPr>
              <w:t>vailable from non-Federal</w:t>
            </w:r>
            <w:r w:rsidRPr="00393C7D">
              <w:rPr>
                <w:sz w:val="20"/>
              </w:rPr>
              <w:t xml:space="preserve"> </w:t>
            </w:r>
            <w:r w:rsidRPr="00393C7D">
              <w:rPr>
                <w:rFonts w:asciiTheme="minorHAnsi" w:hAnsiTheme="minorHAnsi"/>
                <w:sz w:val="20"/>
                <w:szCs w:val="22"/>
              </w:rPr>
              <w:t xml:space="preserve">sources for the education of </w:t>
            </w:r>
            <w:r w:rsidRPr="00393C7D">
              <w:rPr>
                <w:sz w:val="20"/>
              </w:rPr>
              <w:t>p</w:t>
            </w:r>
            <w:r w:rsidRPr="00393C7D">
              <w:rPr>
                <w:rFonts w:asciiTheme="minorHAnsi" w:hAnsiTheme="minorHAnsi"/>
                <w:sz w:val="20"/>
                <w:szCs w:val="22"/>
              </w:rPr>
              <w:t>upils participating in programs</w:t>
            </w:r>
            <w:r w:rsidRPr="00393C7D">
              <w:rPr>
                <w:sz w:val="20"/>
              </w:rPr>
              <w:t xml:space="preserve"> </w:t>
            </w:r>
            <w:r w:rsidRPr="00393C7D">
              <w:rPr>
                <w:rFonts w:asciiTheme="minorHAnsi" w:hAnsiTheme="minorHAnsi"/>
                <w:sz w:val="20"/>
                <w:szCs w:val="22"/>
              </w:rPr>
              <w:t>assisted under this part, and not to supplant such funds.</w:t>
            </w:r>
          </w:p>
        </w:tc>
        <w:tc>
          <w:tcPr>
            <w:tcW w:w="4005" w:type="dxa"/>
          </w:tcPr>
          <w:p w:rsidR="002B33F5" w:rsidRPr="00393C7D" w:rsidRDefault="002B33F5" w:rsidP="00FB472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r w:rsidRPr="00393C7D">
              <w:rPr>
                <w:rFonts w:asciiTheme="minorHAnsi" w:hAnsiTheme="minorHAnsi"/>
                <w:sz w:val="20"/>
                <w:szCs w:val="22"/>
              </w:rPr>
              <w:t>A State educational agency or local educational</w:t>
            </w:r>
            <w:r w:rsidRPr="00393C7D">
              <w:rPr>
                <w:sz w:val="20"/>
              </w:rPr>
              <w:t xml:space="preserve"> </w:t>
            </w:r>
            <w:r w:rsidRPr="00393C7D">
              <w:rPr>
                <w:rFonts w:asciiTheme="minorHAnsi" w:hAnsiTheme="minorHAnsi"/>
                <w:sz w:val="20"/>
                <w:szCs w:val="22"/>
              </w:rPr>
              <w:t>agency shall use Federal funds received under this</w:t>
            </w:r>
            <w:r w:rsidRPr="00393C7D">
              <w:rPr>
                <w:sz w:val="20"/>
              </w:rPr>
              <w:t xml:space="preserve"> </w:t>
            </w:r>
            <w:r w:rsidRPr="00393C7D">
              <w:rPr>
                <w:rFonts w:asciiTheme="minorHAnsi" w:hAnsiTheme="minorHAnsi"/>
                <w:sz w:val="20"/>
                <w:szCs w:val="22"/>
              </w:rPr>
              <w:t xml:space="preserve">part only to </w:t>
            </w:r>
            <w:r w:rsidRPr="00393C7D">
              <w:rPr>
                <w:sz w:val="20"/>
              </w:rPr>
              <w:t>s</w:t>
            </w:r>
            <w:r w:rsidRPr="00393C7D">
              <w:rPr>
                <w:rFonts w:asciiTheme="minorHAnsi" w:hAnsiTheme="minorHAnsi"/>
                <w:sz w:val="20"/>
                <w:szCs w:val="22"/>
              </w:rPr>
              <w:t>upplement the funds that would, in the absence</w:t>
            </w:r>
            <w:r w:rsidRPr="00393C7D">
              <w:rPr>
                <w:sz w:val="20"/>
              </w:rPr>
              <w:t xml:space="preserve"> </w:t>
            </w:r>
            <w:r w:rsidRPr="00393C7D">
              <w:rPr>
                <w:rFonts w:asciiTheme="minorHAnsi" w:hAnsiTheme="minorHAnsi"/>
                <w:sz w:val="20"/>
                <w:szCs w:val="22"/>
              </w:rPr>
              <w:t xml:space="preserve">of such Federal funds, be made </w:t>
            </w:r>
            <w:r w:rsidRPr="00393C7D">
              <w:rPr>
                <w:sz w:val="20"/>
              </w:rPr>
              <w:t>a</w:t>
            </w:r>
            <w:r w:rsidRPr="00393C7D">
              <w:rPr>
                <w:rFonts w:asciiTheme="minorHAnsi" w:hAnsiTheme="minorHAnsi"/>
                <w:sz w:val="20"/>
                <w:szCs w:val="22"/>
              </w:rPr>
              <w:t>vailable from State and local</w:t>
            </w:r>
            <w:r w:rsidRPr="00393C7D">
              <w:rPr>
                <w:sz w:val="20"/>
              </w:rPr>
              <w:t xml:space="preserve"> </w:t>
            </w:r>
            <w:r w:rsidRPr="00393C7D">
              <w:rPr>
                <w:rFonts w:asciiTheme="minorHAnsi" w:hAnsiTheme="minorHAnsi"/>
                <w:sz w:val="20"/>
                <w:szCs w:val="22"/>
              </w:rPr>
              <w:t xml:space="preserve">sources for the education of </w:t>
            </w:r>
            <w:r w:rsidRPr="00393C7D">
              <w:rPr>
                <w:sz w:val="20"/>
              </w:rPr>
              <w:t>s</w:t>
            </w:r>
            <w:r w:rsidRPr="00393C7D">
              <w:rPr>
                <w:rFonts w:asciiTheme="minorHAnsi" w:hAnsiTheme="minorHAnsi"/>
                <w:sz w:val="20"/>
                <w:szCs w:val="22"/>
              </w:rPr>
              <w:t xml:space="preserve">tudents participating in </w:t>
            </w:r>
            <w:r w:rsidRPr="00393C7D">
              <w:rPr>
                <w:sz w:val="20"/>
              </w:rPr>
              <w:t>p</w:t>
            </w:r>
            <w:r w:rsidRPr="00393C7D">
              <w:rPr>
                <w:rFonts w:asciiTheme="minorHAnsi" w:hAnsiTheme="minorHAnsi"/>
                <w:sz w:val="20"/>
                <w:szCs w:val="22"/>
              </w:rPr>
              <w:t>rograms</w:t>
            </w:r>
            <w:r w:rsidRPr="00393C7D">
              <w:rPr>
                <w:sz w:val="20"/>
              </w:rPr>
              <w:t xml:space="preserve"> </w:t>
            </w:r>
            <w:r w:rsidRPr="00393C7D">
              <w:rPr>
                <w:rFonts w:asciiTheme="minorHAnsi" w:hAnsiTheme="minorHAnsi"/>
                <w:sz w:val="20"/>
                <w:szCs w:val="22"/>
              </w:rPr>
              <w:t>assisted under this part, and not to supplant such funds.</w:t>
            </w:r>
          </w:p>
          <w:p w:rsidR="002B33F5" w:rsidRPr="00393C7D" w:rsidRDefault="002B33F5" w:rsidP="00FB47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p>
          <w:p w:rsidR="002B33F5" w:rsidRPr="00393C7D" w:rsidRDefault="002B33F5" w:rsidP="00FB472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2"/>
              </w:rPr>
            </w:pPr>
            <w:r w:rsidRPr="00393C7D">
              <w:rPr>
                <w:sz w:val="20"/>
              </w:rPr>
              <w:t>To demonstrate compliance, a</w:t>
            </w:r>
            <w:r w:rsidRPr="00393C7D">
              <w:rPr>
                <w:rFonts w:asciiTheme="minorHAnsi" w:hAnsiTheme="minorHAnsi"/>
                <w:sz w:val="20"/>
                <w:szCs w:val="22"/>
              </w:rPr>
              <w:t xml:space="preserve"> local educational agency shall demonstrate that</w:t>
            </w:r>
            <w:r w:rsidRPr="00393C7D">
              <w:rPr>
                <w:sz w:val="20"/>
              </w:rPr>
              <w:t xml:space="preserve"> </w:t>
            </w:r>
            <w:r w:rsidRPr="00393C7D">
              <w:rPr>
                <w:rFonts w:asciiTheme="minorHAnsi" w:hAnsiTheme="minorHAnsi"/>
                <w:sz w:val="20"/>
                <w:szCs w:val="22"/>
              </w:rPr>
              <w:t xml:space="preserve">the </w:t>
            </w:r>
            <w:r w:rsidRPr="00393C7D">
              <w:rPr>
                <w:sz w:val="20"/>
              </w:rPr>
              <w:t>m</w:t>
            </w:r>
            <w:r w:rsidRPr="00393C7D">
              <w:rPr>
                <w:rFonts w:asciiTheme="minorHAnsi" w:hAnsiTheme="minorHAnsi"/>
                <w:sz w:val="20"/>
                <w:szCs w:val="22"/>
              </w:rPr>
              <w:t>ethodology used to allocate State and local funds to each</w:t>
            </w:r>
            <w:r w:rsidRPr="00393C7D">
              <w:rPr>
                <w:sz w:val="20"/>
              </w:rPr>
              <w:t xml:space="preserve"> </w:t>
            </w:r>
            <w:r w:rsidRPr="00393C7D">
              <w:rPr>
                <w:rFonts w:asciiTheme="minorHAnsi" w:hAnsiTheme="minorHAnsi"/>
                <w:sz w:val="20"/>
                <w:szCs w:val="22"/>
              </w:rPr>
              <w:t>school receiving assistance under this part ensures that such</w:t>
            </w:r>
            <w:r w:rsidRPr="00393C7D">
              <w:rPr>
                <w:sz w:val="20"/>
              </w:rPr>
              <w:t xml:space="preserve"> </w:t>
            </w:r>
            <w:r w:rsidRPr="00393C7D">
              <w:rPr>
                <w:rFonts w:asciiTheme="minorHAnsi" w:hAnsiTheme="minorHAnsi"/>
                <w:sz w:val="20"/>
                <w:szCs w:val="22"/>
              </w:rPr>
              <w:t>school receives all of the State and local funds it would otherwise</w:t>
            </w:r>
            <w:r w:rsidRPr="00393C7D">
              <w:rPr>
                <w:sz w:val="20"/>
              </w:rPr>
              <w:t xml:space="preserve"> </w:t>
            </w:r>
            <w:r w:rsidRPr="00393C7D">
              <w:rPr>
                <w:rFonts w:asciiTheme="minorHAnsi" w:hAnsiTheme="minorHAnsi"/>
                <w:sz w:val="20"/>
                <w:szCs w:val="22"/>
              </w:rPr>
              <w:t>receive if it were not receiving assistance under this part.</w:t>
            </w:r>
          </w:p>
          <w:p w:rsidR="002B33F5" w:rsidRPr="00393C7D" w:rsidRDefault="002B33F5" w:rsidP="00FB4725">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20"/>
              </w:rPr>
            </w:pPr>
          </w:p>
        </w:tc>
      </w:tr>
      <w:tr w:rsidR="002B33F5" w:rsidRPr="00393C7D" w:rsidTr="006436F2">
        <w:trPr>
          <w:trHeight w:val="801"/>
        </w:trPr>
        <w:tc>
          <w:tcPr>
            <w:cnfStyle w:val="001000000000" w:firstRow="0" w:lastRow="0" w:firstColumn="1" w:lastColumn="0" w:oddVBand="0" w:evenVBand="0" w:oddHBand="0" w:evenHBand="0" w:firstRowFirstColumn="0" w:firstRowLastColumn="0" w:lastRowFirstColumn="0" w:lastRowLastColumn="0"/>
            <w:tcW w:w="2510" w:type="dxa"/>
            <w:tcBorders>
              <w:left w:val="nil"/>
              <w:right w:val="nil"/>
            </w:tcBorders>
          </w:tcPr>
          <w:p w:rsidR="002B33F5" w:rsidRPr="00393C7D" w:rsidRDefault="002B33F5" w:rsidP="006436F2">
            <w:pPr>
              <w:jc w:val="center"/>
              <w:rPr>
                <w:sz w:val="20"/>
              </w:rPr>
            </w:pPr>
            <w:r w:rsidRPr="00393C7D">
              <w:rPr>
                <w:sz w:val="20"/>
              </w:rPr>
              <w:t>Method of Review</w:t>
            </w:r>
          </w:p>
        </w:tc>
        <w:tc>
          <w:tcPr>
            <w:tcW w:w="4005" w:type="dxa"/>
            <w:tcBorders>
              <w:left w:val="nil"/>
            </w:tcBorders>
          </w:tcPr>
          <w:p w:rsidR="002B33F5" w:rsidRPr="00393C7D" w:rsidRDefault="002B33F5" w:rsidP="00FB4725">
            <w:pPr>
              <w:cnfStyle w:val="000000000000" w:firstRow="0" w:lastRow="0" w:firstColumn="0" w:lastColumn="0" w:oddVBand="0" w:evenVBand="0" w:oddHBand="0" w:evenHBand="0" w:firstRowFirstColumn="0" w:firstRowLastColumn="0" w:lastRowFirstColumn="0" w:lastRowLastColumn="0"/>
              <w:rPr>
                <w:sz w:val="20"/>
              </w:rPr>
            </w:pPr>
            <w:r w:rsidRPr="00393C7D">
              <w:rPr>
                <w:sz w:val="20"/>
              </w:rPr>
              <w:t>Review of individual Title I expenses for allowability under the three presumptions test</w:t>
            </w:r>
          </w:p>
        </w:tc>
        <w:tc>
          <w:tcPr>
            <w:tcW w:w="4005" w:type="dxa"/>
          </w:tcPr>
          <w:p w:rsidR="002B33F5" w:rsidRPr="00393C7D" w:rsidRDefault="002B33F5" w:rsidP="00FB4725">
            <w:pPr>
              <w:cnfStyle w:val="000000000000" w:firstRow="0" w:lastRow="0" w:firstColumn="0" w:lastColumn="0" w:oddVBand="0" w:evenVBand="0" w:oddHBand="0" w:evenHBand="0" w:firstRowFirstColumn="0" w:firstRowLastColumn="0" w:lastRowFirstColumn="0" w:lastRowLastColumn="0"/>
              <w:rPr>
                <w:sz w:val="20"/>
              </w:rPr>
            </w:pPr>
            <w:r w:rsidRPr="00393C7D">
              <w:rPr>
                <w:sz w:val="20"/>
              </w:rPr>
              <w:t xml:space="preserve">Demonstration of methodology used to allocate State and local funds </w:t>
            </w:r>
          </w:p>
          <w:p w:rsidR="002B33F5" w:rsidRPr="00393C7D" w:rsidRDefault="002B33F5" w:rsidP="00FB4725">
            <w:pPr>
              <w:cnfStyle w:val="000000000000" w:firstRow="0" w:lastRow="0" w:firstColumn="0" w:lastColumn="0" w:oddVBand="0" w:evenVBand="0" w:oddHBand="0" w:evenHBand="0" w:firstRowFirstColumn="0" w:firstRowLastColumn="0" w:lastRowFirstColumn="0" w:lastRowLastColumn="0"/>
              <w:rPr>
                <w:sz w:val="20"/>
              </w:rPr>
            </w:pPr>
          </w:p>
        </w:tc>
      </w:tr>
      <w:tr w:rsidR="006436F2" w:rsidRPr="00393C7D" w:rsidTr="006436F2">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510" w:type="dxa"/>
            <w:tcBorders>
              <w:left w:val="nil"/>
              <w:right w:val="nil"/>
            </w:tcBorders>
          </w:tcPr>
          <w:p w:rsidR="002B33F5" w:rsidRPr="00393C7D" w:rsidRDefault="002B33F5" w:rsidP="006436F2">
            <w:pPr>
              <w:jc w:val="center"/>
              <w:rPr>
                <w:sz w:val="20"/>
              </w:rPr>
            </w:pPr>
            <w:r w:rsidRPr="00393C7D">
              <w:rPr>
                <w:sz w:val="20"/>
              </w:rPr>
              <w:t>Submission Requirements</w:t>
            </w:r>
          </w:p>
        </w:tc>
        <w:tc>
          <w:tcPr>
            <w:tcW w:w="4005" w:type="dxa"/>
            <w:tcBorders>
              <w:left w:val="nil"/>
            </w:tcBorders>
          </w:tcPr>
          <w:p w:rsidR="002B33F5" w:rsidRPr="00393C7D" w:rsidRDefault="002B33F5" w:rsidP="00FB4725">
            <w:pPr>
              <w:cnfStyle w:val="000000100000" w:firstRow="0" w:lastRow="0" w:firstColumn="0" w:lastColumn="0" w:oddVBand="0" w:evenVBand="0" w:oddHBand="1" w:evenHBand="0" w:firstRowFirstColumn="0" w:firstRowLastColumn="0" w:lastRowFirstColumn="0" w:lastRowLastColumn="0"/>
              <w:rPr>
                <w:sz w:val="20"/>
              </w:rPr>
            </w:pPr>
            <w:r w:rsidRPr="00393C7D">
              <w:rPr>
                <w:sz w:val="20"/>
              </w:rPr>
              <w:t>Budget in the Consolidated Application</w:t>
            </w:r>
          </w:p>
        </w:tc>
        <w:tc>
          <w:tcPr>
            <w:tcW w:w="4005" w:type="dxa"/>
          </w:tcPr>
          <w:p w:rsidR="002B33F5" w:rsidRPr="00393C7D" w:rsidRDefault="002B33F5" w:rsidP="00FB4725">
            <w:pPr>
              <w:cnfStyle w:val="000000100000" w:firstRow="0" w:lastRow="0" w:firstColumn="0" w:lastColumn="0" w:oddVBand="0" w:evenVBand="0" w:oddHBand="1" w:evenHBand="0" w:firstRowFirstColumn="0" w:firstRowLastColumn="0" w:lastRowFirstColumn="0" w:lastRowLastColumn="0"/>
              <w:rPr>
                <w:sz w:val="20"/>
              </w:rPr>
            </w:pPr>
            <w:r w:rsidRPr="00393C7D">
              <w:rPr>
                <w:sz w:val="20"/>
              </w:rPr>
              <w:t>Demonstration of methodology (</w:t>
            </w:r>
            <w:r w:rsidRPr="00393C7D">
              <w:rPr>
                <w:i/>
                <w:sz w:val="20"/>
              </w:rPr>
              <w:t>In development</w:t>
            </w:r>
            <w:r w:rsidRPr="00393C7D">
              <w:rPr>
                <w:sz w:val="20"/>
              </w:rPr>
              <w:t>)</w:t>
            </w:r>
          </w:p>
          <w:p w:rsidR="002B33F5" w:rsidRPr="00393C7D" w:rsidRDefault="002B33F5" w:rsidP="00FB4725">
            <w:pPr>
              <w:cnfStyle w:val="000000100000" w:firstRow="0" w:lastRow="0" w:firstColumn="0" w:lastColumn="0" w:oddVBand="0" w:evenVBand="0" w:oddHBand="1" w:evenHBand="0" w:firstRowFirstColumn="0" w:firstRowLastColumn="0" w:lastRowFirstColumn="0" w:lastRowLastColumn="0"/>
              <w:rPr>
                <w:sz w:val="20"/>
              </w:rPr>
            </w:pPr>
          </w:p>
        </w:tc>
      </w:tr>
      <w:tr w:rsidR="002B33F5" w:rsidRPr="00393C7D" w:rsidTr="00393C7D">
        <w:trPr>
          <w:trHeight w:val="1073"/>
        </w:trPr>
        <w:tc>
          <w:tcPr>
            <w:cnfStyle w:val="001000000000" w:firstRow="0" w:lastRow="0" w:firstColumn="1" w:lastColumn="0" w:oddVBand="0" w:evenVBand="0" w:oddHBand="0" w:evenHBand="0" w:firstRowFirstColumn="0" w:firstRowLastColumn="0" w:lastRowFirstColumn="0" w:lastRowLastColumn="0"/>
            <w:tcW w:w="2510" w:type="dxa"/>
          </w:tcPr>
          <w:p w:rsidR="002B33F5" w:rsidRPr="00393C7D" w:rsidRDefault="002B33F5" w:rsidP="006436F2">
            <w:pPr>
              <w:jc w:val="center"/>
              <w:rPr>
                <w:sz w:val="20"/>
              </w:rPr>
            </w:pPr>
            <w:r w:rsidRPr="00393C7D">
              <w:rPr>
                <w:sz w:val="20"/>
              </w:rPr>
              <w:t>Monitoring Considerations</w:t>
            </w:r>
          </w:p>
        </w:tc>
        <w:tc>
          <w:tcPr>
            <w:tcW w:w="4005" w:type="dxa"/>
          </w:tcPr>
          <w:p w:rsidR="002B33F5" w:rsidRPr="00393C7D" w:rsidRDefault="002B33F5" w:rsidP="00FB4725">
            <w:pPr>
              <w:cnfStyle w:val="000000000000" w:firstRow="0" w:lastRow="0" w:firstColumn="0" w:lastColumn="0" w:oddVBand="0" w:evenVBand="0" w:oddHBand="0" w:evenHBand="0" w:firstRowFirstColumn="0" w:firstRowLastColumn="0" w:lastRowFirstColumn="0" w:lastRowLastColumn="0"/>
              <w:rPr>
                <w:sz w:val="20"/>
              </w:rPr>
            </w:pPr>
            <w:r w:rsidRPr="00393C7D">
              <w:rPr>
                <w:sz w:val="20"/>
              </w:rPr>
              <w:t>Implementation of activities as described in budget</w:t>
            </w:r>
          </w:p>
        </w:tc>
        <w:tc>
          <w:tcPr>
            <w:tcW w:w="4005" w:type="dxa"/>
          </w:tcPr>
          <w:p w:rsidR="002B33F5" w:rsidRPr="00393C7D" w:rsidRDefault="002B33F5" w:rsidP="00FB4725">
            <w:pPr>
              <w:cnfStyle w:val="000000000000" w:firstRow="0" w:lastRow="0" w:firstColumn="0" w:lastColumn="0" w:oddVBand="0" w:evenVBand="0" w:oddHBand="0" w:evenHBand="0" w:firstRowFirstColumn="0" w:firstRowLastColumn="0" w:lastRowFirstColumn="0" w:lastRowLastColumn="0"/>
              <w:rPr>
                <w:sz w:val="20"/>
              </w:rPr>
            </w:pPr>
            <w:r w:rsidRPr="00393C7D">
              <w:rPr>
                <w:sz w:val="20"/>
              </w:rPr>
              <w:t xml:space="preserve">Implementation of methodology as </w:t>
            </w:r>
            <w:r w:rsidR="006436F2">
              <w:rPr>
                <w:sz w:val="20"/>
              </w:rPr>
              <w:t>submitted</w:t>
            </w:r>
            <w:r w:rsidRPr="00393C7D">
              <w:rPr>
                <w:sz w:val="20"/>
              </w:rPr>
              <w:t xml:space="preserve"> in demonstration</w:t>
            </w:r>
          </w:p>
          <w:p w:rsidR="002B33F5" w:rsidRPr="00393C7D" w:rsidRDefault="002B33F5" w:rsidP="00FB4725">
            <w:pPr>
              <w:cnfStyle w:val="000000000000" w:firstRow="0" w:lastRow="0" w:firstColumn="0" w:lastColumn="0" w:oddVBand="0" w:evenVBand="0" w:oddHBand="0" w:evenHBand="0" w:firstRowFirstColumn="0" w:firstRowLastColumn="0" w:lastRowFirstColumn="0" w:lastRowLastColumn="0"/>
              <w:rPr>
                <w:sz w:val="20"/>
              </w:rPr>
            </w:pPr>
          </w:p>
        </w:tc>
      </w:tr>
    </w:tbl>
    <w:p w:rsidR="002B33F5" w:rsidRDefault="002B33F5" w:rsidP="00BF5460"/>
    <w:p w:rsidR="009E57FE" w:rsidRDefault="009E57FE" w:rsidP="009E57FE">
      <w:pPr>
        <w:pStyle w:val="SubheadTrebuchet"/>
      </w:pPr>
      <w:r>
        <w:t>Guiding Questions</w:t>
      </w:r>
    </w:p>
    <w:p w:rsidR="009E57FE" w:rsidRPr="009E57FE" w:rsidRDefault="009E57FE" w:rsidP="009E57FE">
      <w:r>
        <w:t>Utilize the questions provided below to guide your internal conversations as you prepare for the meeting on October 26.</w:t>
      </w:r>
    </w:p>
    <w:p w:rsidR="009E57FE" w:rsidRPr="009E57FE" w:rsidRDefault="009E57FE" w:rsidP="009E57FE">
      <w:pPr>
        <w:pStyle w:val="ListParagraph"/>
        <w:numPr>
          <w:ilvl w:val="0"/>
          <w:numId w:val="21"/>
        </w:numPr>
        <w:spacing w:after="160" w:line="360" w:lineRule="auto"/>
        <w:rPr>
          <w:b/>
          <w:u w:val="single"/>
        </w:rPr>
      </w:pPr>
      <w:r w:rsidRPr="009E57FE">
        <w:rPr>
          <w:b/>
        </w:rPr>
        <w:t>How would the LEA/BOCES demonstrate its methodology if asked to do so today?</w:t>
      </w:r>
    </w:p>
    <w:p w:rsidR="009E57FE" w:rsidRPr="005F1BF6" w:rsidRDefault="009E57FE" w:rsidP="009E57FE">
      <w:pPr>
        <w:pStyle w:val="ListParagraph"/>
        <w:numPr>
          <w:ilvl w:val="1"/>
          <w:numId w:val="21"/>
        </w:numPr>
        <w:spacing w:after="160" w:line="360" w:lineRule="auto"/>
        <w:rPr>
          <w:u w:val="single"/>
        </w:rPr>
      </w:pPr>
      <w:r>
        <w:t xml:space="preserve">Does the LEA/BOCES have a written process/policy in place?  </w:t>
      </w:r>
    </w:p>
    <w:p w:rsidR="009E57FE" w:rsidRPr="00680F80" w:rsidRDefault="009E57FE" w:rsidP="009E57FE">
      <w:pPr>
        <w:pStyle w:val="ListParagraph"/>
        <w:numPr>
          <w:ilvl w:val="2"/>
          <w:numId w:val="21"/>
        </w:numPr>
        <w:spacing w:after="160" w:line="360" w:lineRule="auto"/>
        <w:rPr>
          <w:u w:val="single"/>
        </w:rPr>
      </w:pPr>
      <w:r>
        <w:t xml:space="preserve">If so, what stage is the process/policy in this process (i.e. planning, board adopted, etc.)?  </w:t>
      </w:r>
    </w:p>
    <w:p w:rsidR="009E57FE" w:rsidRPr="007048E4" w:rsidRDefault="009E57FE" w:rsidP="009E57FE">
      <w:pPr>
        <w:pStyle w:val="ListParagraph"/>
        <w:numPr>
          <w:ilvl w:val="2"/>
          <w:numId w:val="21"/>
        </w:numPr>
        <w:spacing w:after="160" w:line="360" w:lineRule="auto"/>
        <w:rPr>
          <w:u w:val="single"/>
        </w:rPr>
      </w:pPr>
      <w:r>
        <w:t xml:space="preserve">If so, who was involved in writing and adopting this process/policy?  </w:t>
      </w:r>
    </w:p>
    <w:p w:rsidR="009E57FE" w:rsidRPr="007048E4" w:rsidRDefault="009E57FE" w:rsidP="009E57FE">
      <w:pPr>
        <w:pStyle w:val="ListParagraph"/>
        <w:numPr>
          <w:ilvl w:val="2"/>
          <w:numId w:val="21"/>
        </w:numPr>
        <w:spacing w:after="160" w:line="360" w:lineRule="auto"/>
        <w:rPr>
          <w:u w:val="single"/>
        </w:rPr>
      </w:pPr>
      <w:r>
        <w:t>If so, what resources are considered in this process/policy?</w:t>
      </w:r>
    </w:p>
    <w:p w:rsidR="009E57FE" w:rsidRPr="009E57FE" w:rsidRDefault="009E57FE" w:rsidP="009E57FE">
      <w:pPr>
        <w:pStyle w:val="ListParagraph"/>
        <w:numPr>
          <w:ilvl w:val="0"/>
          <w:numId w:val="21"/>
        </w:numPr>
        <w:spacing w:after="160" w:line="360" w:lineRule="auto"/>
        <w:rPr>
          <w:b/>
          <w:u w:val="single"/>
        </w:rPr>
      </w:pPr>
      <w:r w:rsidRPr="009E57FE">
        <w:rPr>
          <w:b/>
        </w:rPr>
        <w:t>How should resources be defined (i.e. dollars, FTE, etc.) in the guidance released by CDE?</w:t>
      </w:r>
    </w:p>
    <w:sectPr w:rsidR="009E57FE" w:rsidRPr="009E57FE" w:rsidSect="001B3D81">
      <w:head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CC" w:rsidRDefault="003D1FCC" w:rsidP="001B3D81">
      <w:r>
        <w:separator/>
      </w:r>
    </w:p>
  </w:endnote>
  <w:endnote w:type="continuationSeparator" w:id="0">
    <w:p w:rsidR="003D1FCC" w:rsidRDefault="003D1FCC" w:rsidP="001B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0AB" w:rsidRPr="000820AB" w:rsidRDefault="002B33F5" w:rsidP="000820AB">
    <w:pPr>
      <w:pStyle w:val="Footer"/>
      <w:jc w:val="right"/>
      <w:rPr>
        <w:color w:val="5C6670" w:themeColor="text1"/>
        <w:sz w:val="18"/>
        <w:szCs w:val="18"/>
      </w:rPr>
    </w:pPr>
    <w:r>
      <w:rPr>
        <w:color w:val="5C6670" w:themeColor="text1"/>
        <w:sz w:val="18"/>
        <w:szCs w:val="18"/>
      </w:rPr>
      <w:t>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CC" w:rsidRDefault="003D1FCC" w:rsidP="001B3D81">
      <w:r>
        <w:separator/>
      </w:r>
    </w:p>
  </w:footnote>
  <w:footnote w:type="continuationSeparator" w:id="0">
    <w:p w:rsidR="003D1FCC" w:rsidRDefault="003D1FCC" w:rsidP="001B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61" w:rsidRDefault="005C2DE1" w:rsidP="00CA4561">
    <w:pPr>
      <w:pStyle w:val="Header"/>
      <w:tabs>
        <w:tab w:val="clear" w:pos="4320"/>
        <w:tab w:val="clear" w:pos="8640"/>
        <w:tab w:val="left" w:pos="1820"/>
        <w:tab w:val="left" w:pos="4373"/>
      </w:tabs>
    </w:pPr>
    <w:r>
      <w:rPr>
        <w:noProof/>
      </w:rPr>
      <w:drawing>
        <wp:inline distT="0" distB="0" distL="0" distR="0" wp14:anchorId="0CB31217" wp14:editId="739BAB52">
          <wp:extent cx="876300" cy="457200"/>
          <wp:effectExtent l="0" t="0" r="0" b="0"/>
          <wp:docPr id="19" name="Picture 19" title="CO 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a:blip r:embed="rId1">
                    <a:extLst>
                      <a:ext uri="{28A0092B-C50C-407E-A947-70E740481C1C}">
                        <a14:useLocalDpi xmlns:a14="http://schemas.microsoft.com/office/drawing/2010/main" val="0"/>
                      </a:ext>
                    </a:extLst>
                  </a:blip>
                  <a:stretch>
                    <a:fillRect/>
                  </a:stretch>
                </pic:blipFill>
                <pic:spPr>
                  <a:xfrm>
                    <a:off x="0" y="0"/>
                    <a:ext cx="876300" cy="457200"/>
                  </a:xfrm>
                  <a:prstGeom prst="rect">
                    <a:avLst/>
                  </a:prstGeom>
                  <a:extLst>
                    <a:ext uri="{FAA26D3D-D897-4be2-8F04-BA451C77F1D7}">
                      <ma14:placeholderFlag xmlns:w15="http://schemas.microsoft.com/office/word/2012/wordml"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tab/>
    </w:r>
  </w:p>
  <w:p w:rsidR="005C2DE1" w:rsidRDefault="002B33F5" w:rsidP="00CA4561">
    <w:pPr>
      <w:pStyle w:val="Header"/>
      <w:tabs>
        <w:tab w:val="clear" w:pos="4320"/>
        <w:tab w:val="clear" w:pos="8640"/>
        <w:tab w:val="left" w:pos="1820"/>
        <w:tab w:val="left" w:pos="4373"/>
      </w:tabs>
      <w:jc w:val="right"/>
    </w:pPr>
    <w:r>
      <w:rPr>
        <w:rFonts w:ascii="Museo Slab 500" w:hAnsi="Museo Slab 500"/>
        <w:b/>
        <w:bCs/>
        <w:color w:val="919BA5" w:themeColor="text1" w:themeTint="A6"/>
        <w:sz w:val="18"/>
        <w:szCs w:val="18"/>
      </w:rPr>
      <w:t>Supplement, Not Supplant:  Changes under the Every Student Succeeds Act</w:t>
    </w:r>
    <w:r w:rsidR="00CA4561">
      <w:rPr>
        <w:rFonts w:ascii="Museo Slab 500" w:hAnsi="Museo Slab 500"/>
        <w:b/>
        <w:bCs/>
        <w:color w:val="919BA5" w:themeColor="text1" w:themeTint="A6"/>
        <w:sz w:val="18"/>
        <w:szCs w:val="18"/>
      </w:rPr>
      <w:tab/>
    </w:r>
    <w:r w:rsidR="00CA4561" w:rsidRPr="00CF122E">
      <w:rPr>
        <w:b/>
        <w:color w:val="919BA5" w:themeColor="text1" w:themeTint="A6"/>
        <w:szCs w:val="20"/>
      </w:rPr>
      <w:fldChar w:fldCharType="begin"/>
    </w:r>
    <w:r w:rsidR="00CA4561" w:rsidRPr="00CF122E">
      <w:rPr>
        <w:b/>
        <w:color w:val="919BA5" w:themeColor="text1" w:themeTint="A6"/>
        <w:szCs w:val="20"/>
      </w:rPr>
      <w:instrText xml:space="preserve"> PAGE   \* MERGEFORMAT </w:instrText>
    </w:r>
    <w:r w:rsidR="00CA4561" w:rsidRPr="00CF122E">
      <w:rPr>
        <w:b/>
        <w:color w:val="919BA5" w:themeColor="text1" w:themeTint="A6"/>
        <w:szCs w:val="20"/>
      </w:rPr>
      <w:fldChar w:fldCharType="separate"/>
    </w:r>
    <w:r w:rsidR="00AE7997">
      <w:rPr>
        <w:b/>
        <w:noProof/>
        <w:color w:val="919BA5" w:themeColor="text1" w:themeTint="A6"/>
        <w:szCs w:val="20"/>
      </w:rPr>
      <w:t>3</w:t>
    </w:r>
    <w:r w:rsidR="00CA4561" w:rsidRPr="00CF122E">
      <w:rPr>
        <w:b/>
        <w:color w:val="919BA5" w:themeColor="text1" w:themeTint="A6"/>
        <w:szCs w:val="20"/>
      </w:rPr>
      <w:fldChar w:fldCharType="end"/>
    </w:r>
  </w:p>
  <w:p w:rsidR="005C2DE1" w:rsidRDefault="003D1FCC" w:rsidP="001B3D81">
    <w:pPr>
      <w:pStyle w:val="Header"/>
      <w:tabs>
        <w:tab w:val="clear" w:pos="4320"/>
        <w:tab w:val="clear" w:pos="8640"/>
        <w:tab w:val="left" w:pos="4373"/>
      </w:tabs>
    </w:pPr>
    <w:r>
      <w:pict w14:anchorId="2904C11E">
        <v:rect id="_x0000_i1025" style="width:540pt;height:1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6548E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FAE6DE"/>
    <w:lvl w:ilvl="0">
      <w:start w:val="1"/>
      <w:numFmt w:val="decimal"/>
      <w:lvlText w:val="%1."/>
      <w:lvlJc w:val="left"/>
      <w:pPr>
        <w:tabs>
          <w:tab w:val="num" w:pos="1800"/>
        </w:tabs>
        <w:ind w:left="1800" w:hanging="360"/>
      </w:pPr>
    </w:lvl>
  </w:abstractNum>
  <w:abstractNum w:abstractNumId="2">
    <w:nsid w:val="FFFFFF7D"/>
    <w:multiLevelType w:val="singleLevel"/>
    <w:tmpl w:val="7D54A348"/>
    <w:lvl w:ilvl="0">
      <w:start w:val="1"/>
      <w:numFmt w:val="decimal"/>
      <w:lvlText w:val="%1."/>
      <w:lvlJc w:val="left"/>
      <w:pPr>
        <w:tabs>
          <w:tab w:val="num" w:pos="1440"/>
        </w:tabs>
        <w:ind w:left="1440" w:hanging="360"/>
      </w:pPr>
    </w:lvl>
  </w:abstractNum>
  <w:abstractNum w:abstractNumId="3">
    <w:nsid w:val="FFFFFF7E"/>
    <w:multiLevelType w:val="singleLevel"/>
    <w:tmpl w:val="46E2A752"/>
    <w:lvl w:ilvl="0">
      <w:start w:val="1"/>
      <w:numFmt w:val="decimal"/>
      <w:lvlText w:val="%1."/>
      <w:lvlJc w:val="left"/>
      <w:pPr>
        <w:tabs>
          <w:tab w:val="num" w:pos="1080"/>
        </w:tabs>
        <w:ind w:left="1080" w:hanging="360"/>
      </w:pPr>
    </w:lvl>
  </w:abstractNum>
  <w:abstractNum w:abstractNumId="4">
    <w:nsid w:val="FFFFFF7F"/>
    <w:multiLevelType w:val="singleLevel"/>
    <w:tmpl w:val="B1AA52C8"/>
    <w:lvl w:ilvl="0">
      <w:start w:val="1"/>
      <w:numFmt w:val="decimal"/>
      <w:lvlText w:val="%1."/>
      <w:lvlJc w:val="left"/>
      <w:pPr>
        <w:tabs>
          <w:tab w:val="num" w:pos="720"/>
        </w:tabs>
        <w:ind w:left="720" w:hanging="360"/>
      </w:pPr>
    </w:lvl>
  </w:abstractNum>
  <w:abstractNum w:abstractNumId="5">
    <w:nsid w:val="FFFFFF80"/>
    <w:multiLevelType w:val="singleLevel"/>
    <w:tmpl w:val="160E8E9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5509AE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CB4AF5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DDEFC1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B2AB448"/>
    <w:lvl w:ilvl="0">
      <w:start w:val="1"/>
      <w:numFmt w:val="decimal"/>
      <w:lvlText w:val="%1."/>
      <w:lvlJc w:val="left"/>
      <w:pPr>
        <w:tabs>
          <w:tab w:val="num" w:pos="360"/>
        </w:tabs>
        <w:ind w:left="360" w:hanging="360"/>
      </w:pPr>
    </w:lvl>
  </w:abstractNum>
  <w:abstractNum w:abstractNumId="10">
    <w:nsid w:val="FFFFFF89"/>
    <w:multiLevelType w:val="singleLevel"/>
    <w:tmpl w:val="2E245F22"/>
    <w:lvl w:ilvl="0">
      <w:start w:val="1"/>
      <w:numFmt w:val="bullet"/>
      <w:lvlText w:val=""/>
      <w:lvlJc w:val="left"/>
      <w:pPr>
        <w:tabs>
          <w:tab w:val="num" w:pos="360"/>
        </w:tabs>
        <w:ind w:left="360" w:hanging="360"/>
      </w:pPr>
      <w:rPr>
        <w:rFonts w:ascii="Symbol" w:hAnsi="Symbol" w:hint="default"/>
      </w:rPr>
    </w:lvl>
  </w:abstractNum>
  <w:abstractNum w:abstractNumId="11">
    <w:nsid w:val="1A3A6072"/>
    <w:multiLevelType w:val="hybridMultilevel"/>
    <w:tmpl w:val="795E886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D13B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C40931"/>
    <w:multiLevelType w:val="hybridMultilevel"/>
    <w:tmpl w:val="1F3A5CF4"/>
    <w:lvl w:ilvl="0" w:tplc="6854EA0C">
      <w:start w:val="1"/>
      <w:numFmt w:val="decimal"/>
      <w:lvlText w:val="%1."/>
      <w:lvlJc w:val="left"/>
      <w:pPr>
        <w:tabs>
          <w:tab w:val="num" w:pos="720"/>
        </w:tabs>
        <w:ind w:left="720" w:hanging="360"/>
      </w:pPr>
    </w:lvl>
    <w:lvl w:ilvl="1" w:tplc="04090011">
      <w:start w:val="1"/>
      <w:numFmt w:val="decimal"/>
      <w:lvlText w:val="%2)"/>
      <w:lvlJc w:val="left"/>
      <w:pPr>
        <w:tabs>
          <w:tab w:val="num" w:pos="1440"/>
        </w:tabs>
        <w:ind w:left="1440" w:hanging="360"/>
      </w:pPr>
      <w:rPr>
        <w:rFonts w:hint="default"/>
      </w:rPr>
    </w:lvl>
    <w:lvl w:ilvl="2" w:tplc="8EB8B01A" w:tentative="1">
      <w:start w:val="1"/>
      <w:numFmt w:val="decimal"/>
      <w:lvlText w:val="%3."/>
      <w:lvlJc w:val="left"/>
      <w:pPr>
        <w:tabs>
          <w:tab w:val="num" w:pos="2160"/>
        </w:tabs>
        <w:ind w:left="2160" w:hanging="360"/>
      </w:pPr>
    </w:lvl>
    <w:lvl w:ilvl="3" w:tplc="883A95A6" w:tentative="1">
      <w:start w:val="1"/>
      <w:numFmt w:val="decimal"/>
      <w:lvlText w:val="%4."/>
      <w:lvlJc w:val="left"/>
      <w:pPr>
        <w:tabs>
          <w:tab w:val="num" w:pos="2880"/>
        </w:tabs>
        <w:ind w:left="2880" w:hanging="360"/>
      </w:pPr>
    </w:lvl>
    <w:lvl w:ilvl="4" w:tplc="96C69A9E" w:tentative="1">
      <w:start w:val="1"/>
      <w:numFmt w:val="decimal"/>
      <w:lvlText w:val="%5."/>
      <w:lvlJc w:val="left"/>
      <w:pPr>
        <w:tabs>
          <w:tab w:val="num" w:pos="3600"/>
        </w:tabs>
        <w:ind w:left="3600" w:hanging="360"/>
      </w:pPr>
    </w:lvl>
    <w:lvl w:ilvl="5" w:tplc="312E12E4" w:tentative="1">
      <w:start w:val="1"/>
      <w:numFmt w:val="decimal"/>
      <w:lvlText w:val="%6."/>
      <w:lvlJc w:val="left"/>
      <w:pPr>
        <w:tabs>
          <w:tab w:val="num" w:pos="4320"/>
        </w:tabs>
        <w:ind w:left="4320" w:hanging="360"/>
      </w:pPr>
    </w:lvl>
    <w:lvl w:ilvl="6" w:tplc="34DC5048" w:tentative="1">
      <w:start w:val="1"/>
      <w:numFmt w:val="decimal"/>
      <w:lvlText w:val="%7."/>
      <w:lvlJc w:val="left"/>
      <w:pPr>
        <w:tabs>
          <w:tab w:val="num" w:pos="5040"/>
        </w:tabs>
        <w:ind w:left="5040" w:hanging="360"/>
      </w:pPr>
    </w:lvl>
    <w:lvl w:ilvl="7" w:tplc="494E9B38" w:tentative="1">
      <w:start w:val="1"/>
      <w:numFmt w:val="decimal"/>
      <w:lvlText w:val="%8."/>
      <w:lvlJc w:val="left"/>
      <w:pPr>
        <w:tabs>
          <w:tab w:val="num" w:pos="5760"/>
        </w:tabs>
        <w:ind w:left="5760" w:hanging="360"/>
      </w:pPr>
    </w:lvl>
    <w:lvl w:ilvl="8" w:tplc="1EC6FFB4" w:tentative="1">
      <w:start w:val="1"/>
      <w:numFmt w:val="decimal"/>
      <w:lvlText w:val="%9."/>
      <w:lvlJc w:val="left"/>
      <w:pPr>
        <w:tabs>
          <w:tab w:val="num" w:pos="6480"/>
        </w:tabs>
        <w:ind w:left="6480" w:hanging="360"/>
      </w:pPr>
    </w:lvl>
  </w:abstractNum>
  <w:abstractNum w:abstractNumId="14">
    <w:nsid w:val="6AEB77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7">
    <w:nsid w:val="75620BED"/>
    <w:multiLevelType w:val="hybridMultilevel"/>
    <w:tmpl w:val="011C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6"/>
  </w:num>
  <w:num w:numId="4">
    <w:abstractNumId w:val="15"/>
  </w:num>
  <w:num w:numId="5">
    <w:abstractNumId w:val="16"/>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13"/>
  </w:num>
  <w:num w:numId="18">
    <w:abstractNumId w:val="11"/>
  </w:num>
  <w:num w:numId="19">
    <w:abstractNumId w:val="17"/>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6C6"/>
    <w:rsid w:val="00047511"/>
    <w:rsid w:val="000820AB"/>
    <w:rsid w:val="000E23EE"/>
    <w:rsid w:val="0016257A"/>
    <w:rsid w:val="001A023E"/>
    <w:rsid w:val="001B3D81"/>
    <w:rsid w:val="001D09E9"/>
    <w:rsid w:val="00205184"/>
    <w:rsid w:val="00294F34"/>
    <w:rsid w:val="002B33F5"/>
    <w:rsid w:val="002C0AE1"/>
    <w:rsid w:val="002C42EF"/>
    <w:rsid w:val="00393C7D"/>
    <w:rsid w:val="003B0BD7"/>
    <w:rsid w:val="003B56C6"/>
    <w:rsid w:val="003D1FCC"/>
    <w:rsid w:val="004724D6"/>
    <w:rsid w:val="005C2DE1"/>
    <w:rsid w:val="00624562"/>
    <w:rsid w:val="006436F2"/>
    <w:rsid w:val="007926E5"/>
    <w:rsid w:val="008428F4"/>
    <w:rsid w:val="00846456"/>
    <w:rsid w:val="009359C9"/>
    <w:rsid w:val="009C66F5"/>
    <w:rsid w:val="009D4B39"/>
    <w:rsid w:val="009E57FE"/>
    <w:rsid w:val="00AA3C64"/>
    <w:rsid w:val="00AB7A6A"/>
    <w:rsid w:val="00AE7997"/>
    <w:rsid w:val="00B027EC"/>
    <w:rsid w:val="00B75D0F"/>
    <w:rsid w:val="00BD571F"/>
    <w:rsid w:val="00BF5460"/>
    <w:rsid w:val="00CA4561"/>
    <w:rsid w:val="00D46E38"/>
    <w:rsid w:val="00F069AE"/>
    <w:rsid w:val="00F44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customStyle="1" w:styleId="Default">
    <w:name w:val="Default"/>
    <w:rsid w:val="002B33F5"/>
    <w:pPr>
      <w:autoSpaceDE w:val="0"/>
      <w:autoSpaceDN w:val="0"/>
      <w:adjustRightInd w:val="0"/>
    </w:pPr>
    <w:rPr>
      <w:rFonts w:ascii="Calibri" w:eastAsiaTheme="minorHAnsi" w:hAnsi="Calibri" w:cs="Calibri"/>
      <w:color w:val="000000"/>
    </w:rPr>
  </w:style>
  <w:style w:type="table" w:customStyle="1" w:styleId="GridTable7ColorfulAccent1">
    <w:name w:val="Grid Table 7 Colorful Accent 1"/>
    <w:basedOn w:val="TableNormal"/>
    <w:uiPriority w:val="52"/>
    <w:rsid w:val="002B33F5"/>
    <w:rPr>
      <w:rFonts w:eastAsiaTheme="minorHAnsi"/>
      <w:color w:val="2E689D" w:themeColor="accent1" w:themeShade="BF"/>
      <w:sz w:val="22"/>
      <w:szCs w:val="22"/>
    </w:rPr>
    <w:tblPr>
      <w:tblStyleRowBandSize w:val="1"/>
      <w:tblStyleColBandSize w:val="1"/>
      <w:tblBorders>
        <w:top w:val="single" w:sz="4" w:space="0" w:color="91B9DE" w:themeColor="accent1" w:themeTint="99"/>
        <w:left w:val="single" w:sz="4" w:space="0" w:color="91B9DE" w:themeColor="accent1" w:themeTint="99"/>
        <w:bottom w:val="single" w:sz="4" w:space="0" w:color="91B9DE" w:themeColor="accent1" w:themeTint="99"/>
        <w:right w:val="single" w:sz="4" w:space="0" w:color="91B9DE" w:themeColor="accent1" w:themeTint="99"/>
        <w:insideH w:val="single" w:sz="4" w:space="0" w:color="91B9DE" w:themeColor="accent1" w:themeTint="99"/>
        <w:insideV w:val="single" w:sz="4" w:space="0" w:color="91B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7F4" w:themeFill="accent1" w:themeFillTint="33"/>
      </w:tcPr>
    </w:tblStylePr>
    <w:tblStylePr w:type="band1Horz">
      <w:tblPr/>
      <w:tcPr>
        <w:shd w:val="clear" w:color="auto" w:fill="DAE7F4" w:themeFill="accent1" w:themeFillTint="33"/>
      </w:tcPr>
    </w:tblStylePr>
    <w:tblStylePr w:type="neCell">
      <w:tblPr/>
      <w:tcPr>
        <w:tcBorders>
          <w:bottom w:val="single" w:sz="4" w:space="0" w:color="91B9DE" w:themeColor="accent1" w:themeTint="99"/>
        </w:tcBorders>
      </w:tcPr>
    </w:tblStylePr>
    <w:tblStylePr w:type="nwCell">
      <w:tblPr/>
      <w:tcPr>
        <w:tcBorders>
          <w:bottom w:val="single" w:sz="4" w:space="0" w:color="91B9DE" w:themeColor="accent1" w:themeTint="99"/>
        </w:tcBorders>
      </w:tcPr>
    </w:tblStylePr>
    <w:tblStylePr w:type="seCell">
      <w:tblPr/>
      <w:tcPr>
        <w:tcBorders>
          <w:top w:val="single" w:sz="4" w:space="0" w:color="91B9DE" w:themeColor="accent1" w:themeTint="99"/>
        </w:tcBorders>
      </w:tcPr>
    </w:tblStylePr>
    <w:tblStylePr w:type="swCell">
      <w:tblPr/>
      <w:tcPr>
        <w:tcBorders>
          <w:top w:val="single" w:sz="4" w:space="0" w:color="91B9DE" w:themeColor="accent1" w:themeTint="99"/>
        </w:tcBorders>
      </w:tcPr>
    </w:tblStylePr>
  </w:style>
  <w:style w:type="table" w:customStyle="1" w:styleId="ListTable3Accent1">
    <w:name w:val="List Table 3 Accent 1"/>
    <w:basedOn w:val="TableNormal"/>
    <w:uiPriority w:val="48"/>
    <w:rsid w:val="002B33F5"/>
    <w:tblPr>
      <w:tblStyleRowBandSize w:val="1"/>
      <w:tblStyleColBandSize w:val="1"/>
      <w:tblBorders>
        <w:top w:val="single" w:sz="4" w:space="0" w:color="488BC9" w:themeColor="accent1"/>
        <w:left w:val="single" w:sz="4" w:space="0" w:color="488BC9" w:themeColor="accent1"/>
        <w:bottom w:val="single" w:sz="4" w:space="0" w:color="488BC9" w:themeColor="accent1"/>
        <w:right w:val="single" w:sz="4" w:space="0" w:color="488BC9" w:themeColor="accent1"/>
      </w:tblBorders>
    </w:tblPr>
    <w:tblStylePr w:type="firstRow">
      <w:rPr>
        <w:b/>
        <w:bCs/>
        <w:color w:val="FFFFFF" w:themeColor="background1"/>
      </w:rPr>
      <w:tblPr/>
      <w:tcPr>
        <w:shd w:val="clear" w:color="auto" w:fill="488BC9" w:themeFill="accent1"/>
      </w:tcPr>
    </w:tblStylePr>
    <w:tblStylePr w:type="lastRow">
      <w:rPr>
        <w:b/>
        <w:bCs/>
      </w:rPr>
      <w:tblPr/>
      <w:tcPr>
        <w:tcBorders>
          <w:top w:val="double" w:sz="4" w:space="0" w:color="488B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8BC9" w:themeColor="accent1"/>
          <w:right w:val="single" w:sz="4" w:space="0" w:color="488BC9" w:themeColor="accent1"/>
        </w:tcBorders>
      </w:tcPr>
    </w:tblStylePr>
    <w:tblStylePr w:type="band1Horz">
      <w:tblPr/>
      <w:tcPr>
        <w:tcBorders>
          <w:top w:val="single" w:sz="4" w:space="0" w:color="488BC9" w:themeColor="accent1"/>
          <w:bottom w:val="single" w:sz="4" w:space="0" w:color="488B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8BC9" w:themeColor="accent1"/>
          <w:left w:val="nil"/>
        </w:tcBorders>
      </w:tcPr>
    </w:tblStylePr>
    <w:tblStylePr w:type="swCell">
      <w:tblPr/>
      <w:tcPr>
        <w:tcBorders>
          <w:top w:val="double" w:sz="4" w:space="0" w:color="488BC9" w:themeColor="accent1"/>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1"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456"/>
    <w:rPr>
      <w:rFonts w:ascii="Calibri" w:hAnsi="Calibri"/>
      <w:sz w:val="22"/>
    </w:rPr>
  </w:style>
  <w:style w:type="paragraph" w:styleId="Heading1">
    <w:name w:val="heading 1"/>
    <w:next w:val="Normal"/>
    <w:link w:val="Heading1Char"/>
    <w:autoRedefine/>
    <w:uiPriority w:val="9"/>
    <w:qFormat/>
    <w:rsid w:val="00846456"/>
    <w:pPr>
      <w:pBdr>
        <w:bottom w:val="single" w:sz="8" w:space="0" w:color="9AA3AC" w:themeColor="text1" w:themeTint="99"/>
      </w:pBdr>
      <w:tabs>
        <w:tab w:val="left" w:pos="90"/>
      </w:tabs>
      <w:spacing w:before="120" w:after="120"/>
      <w:outlineLvl w:val="0"/>
    </w:pPr>
    <w:rPr>
      <w:rFonts w:ascii="Museo Slab 500" w:eastAsiaTheme="minorHAnsi" w:hAnsi="Museo Slab 500"/>
      <w:bCs/>
      <w:color w:val="5C6670" w:themeColor="text1"/>
      <w:sz w:val="30"/>
      <w:szCs w:val="30"/>
    </w:rPr>
  </w:style>
  <w:style w:type="paragraph" w:styleId="Heading2">
    <w:name w:val="heading 2"/>
    <w:basedOn w:val="Normal"/>
    <w:next w:val="Normal"/>
    <w:link w:val="Heading2Char"/>
    <w:uiPriority w:val="9"/>
    <w:unhideWhenUsed/>
    <w:qFormat/>
    <w:rsid w:val="00846456"/>
    <w:pPr>
      <w:keepNext/>
      <w:keepLines/>
      <w:spacing w:before="200"/>
      <w:outlineLvl w:val="1"/>
    </w:pPr>
    <w:rPr>
      <w:rFonts w:ascii="Trebuchet MS" w:eastAsiaTheme="majorEastAsia" w:hAnsi="Trebuchet MS" w:cstheme="majorBidi"/>
      <w:b/>
      <w:bCs/>
      <w:sz w:val="26"/>
      <w:szCs w:val="26"/>
    </w:rPr>
  </w:style>
  <w:style w:type="paragraph" w:styleId="Heading3">
    <w:name w:val="heading 3"/>
    <w:basedOn w:val="Normal"/>
    <w:next w:val="Normal"/>
    <w:link w:val="Heading3Char"/>
    <w:uiPriority w:val="9"/>
    <w:semiHidden/>
    <w:unhideWhenUsed/>
    <w:qFormat/>
    <w:rsid w:val="00846456"/>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ofContentsTitle">
    <w:name w:val="Table of Contents Title"/>
    <w:basedOn w:val="Summary"/>
    <w:next w:val="TOC1"/>
    <w:autoRedefine/>
    <w:qFormat/>
    <w:rsid w:val="00846456"/>
    <w:pPr>
      <w:spacing w:after="240"/>
    </w:pPr>
    <w:rPr>
      <w:rFonts w:ascii="Museo Slab 500" w:hAnsi="Museo Slab 500"/>
      <w:color w:val="5C6670" w:themeColor="text1"/>
      <w:sz w:val="36"/>
    </w:rPr>
  </w:style>
  <w:style w:type="paragraph" w:customStyle="1" w:styleId="HeadingMuseo">
    <w:name w:val="Heading Museo"/>
    <w:basedOn w:val="Heading1"/>
    <w:qFormat/>
    <w:rsid w:val="00846456"/>
    <w:pPr>
      <w:pBdr>
        <w:bottom w:val="single" w:sz="8" w:space="1" w:color="9AA3AC" w:themeColor="text1" w:themeTint="99"/>
      </w:pBdr>
    </w:pPr>
  </w:style>
  <w:style w:type="paragraph" w:customStyle="1" w:styleId="SubheadTrebuchet">
    <w:name w:val="Subhead Trebuchet"/>
    <w:basedOn w:val="Normal"/>
    <w:next w:val="Normal"/>
    <w:autoRedefine/>
    <w:qFormat/>
    <w:rsid w:val="00846456"/>
    <w:pPr>
      <w:spacing w:before="120" w:after="60"/>
    </w:pPr>
    <w:rPr>
      <w:rFonts w:ascii="Trebuchet MS" w:hAnsi="Trebuchet MS"/>
      <w:b/>
      <w:sz w:val="24"/>
    </w:rPr>
  </w:style>
  <w:style w:type="paragraph" w:styleId="TOC3">
    <w:name w:val="toc 3"/>
    <w:basedOn w:val="TOC2"/>
    <w:next w:val="Normal"/>
    <w:autoRedefine/>
    <w:uiPriority w:val="39"/>
    <w:unhideWhenUsed/>
    <w:rsid w:val="00846456"/>
    <w:pPr>
      <w:spacing w:after="100"/>
      <w:ind w:left="440"/>
    </w:pPr>
  </w:style>
  <w:style w:type="paragraph" w:styleId="TOC5">
    <w:name w:val="toc 5"/>
    <w:basedOn w:val="Normal"/>
    <w:next w:val="Normal"/>
    <w:autoRedefine/>
    <w:uiPriority w:val="39"/>
    <w:semiHidden/>
    <w:unhideWhenUsed/>
    <w:rsid w:val="00846456"/>
    <w:pPr>
      <w:spacing w:after="100"/>
      <w:ind w:left="880"/>
    </w:pPr>
  </w:style>
  <w:style w:type="paragraph" w:styleId="Title">
    <w:name w:val="Title"/>
    <w:basedOn w:val="Normal"/>
    <w:next w:val="Normal"/>
    <w:link w:val="TitleChar"/>
    <w:autoRedefine/>
    <w:qFormat/>
    <w:rsid w:val="00846456"/>
    <w:pPr>
      <w:spacing w:before="1000" w:after="1000"/>
      <w:jc w:val="center"/>
    </w:pPr>
    <w:rPr>
      <w:rFonts w:ascii="Museo Slab 500" w:eastAsiaTheme="minorHAnsi" w:hAnsi="Museo Slab 500" w:cs="Times New Roman"/>
      <w:color w:val="5C6670" w:themeColor="text1"/>
      <w:spacing w:val="20"/>
      <w:sz w:val="64"/>
      <w:szCs w:val="72"/>
    </w:rPr>
  </w:style>
  <w:style w:type="character" w:customStyle="1" w:styleId="TitleChar">
    <w:name w:val="Title Char"/>
    <w:basedOn w:val="DefaultParagraphFont"/>
    <w:link w:val="Title"/>
    <w:rsid w:val="00846456"/>
    <w:rPr>
      <w:rFonts w:ascii="Museo Slab 500" w:eastAsiaTheme="minorHAnsi" w:hAnsi="Museo Slab 500" w:cs="Times New Roman"/>
      <w:color w:val="5C6670" w:themeColor="text1"/>
      <w:spacing w:val="20"/>
      <w:sz w:val="64"/>
      <w:szCs w:val="72"/>
    </w:rPr>
  </w:style>
  <w:style w:type="paragraph" w:customStyle="1" w:styleId="PullQuote">
    <w:name w:val="Pull Quote"/>
    <w:basedOn w:val="Normal"/>
    <w:autoRedefine/>
    <w:qFormat/>
    <w:rsid w:val="00846456"/>
    <w:pPr>
      <w:spacing w:line="300" w:lineRule="auto"/>
      <w:jc w:val="center"/>
    </w:pPr>
    <w:rPr>
      <w:rFonts w:ascii="Museo Slab 500" w:hAnsi="Museo Slab 500"/>
      <w:iCs/>
      <w:color w:val="9AA3AC" w:themeColor="text1" w:themeTint="99"/>
      <w:sz w:val="24"/>
    </w:rPr>
  </w:style>
  <w:style w:type="paragraph" w:customStyle="1" w:styleId="Subhead">
    <w:name w:val="Subhead"/>
    <w:basedOn w:val="Normal"/>
    <w:next w:val="Normal"/>
    <w:autoRedefine/>
    <w:qFormat/>
    <w:rsid w:val="00846456"/>
    <w:pPr>
      <w:spacing w:before="120" w:after="60"/>
    </w:pPr>
    <w:rPr>
      <w:rFonts w:ascii="Trebuchet MS" w:hAnsi="Trebuchet MS"/>
      <w:b/>
      <w:sz w:val="24"/>
    </w:rPr>
  </w:style>
  <w:style w:type="paragraph" w:customStyle="1" w:styleId="SummaryHeadline">
    <w:name w:val="Summary Headline"/>
    <w:basedOn w:val="Heading1"/>
    <w:autoRedefine/>
    <w:qFormat/>
    <w:rsid w:val="00846456"/>
    <w:pPr>
      <w:pBdr>
        <w:bottom w:val="single" w:sz="8" w:space="1" w:color="9AA3AC" w:themeColor="text1" w:themeTint="99"/>
      </w:pBdr>
      <w:spacing w:before="0" w:after="60"/>
    </w:pPr>
    <w:rPr>
      <w:b/>
      <w:sz w:val="36"/>
      <w:szCs w:val="36"/>
    </w:rPr>
  </w:style>
  <w:style w:type="character" w:customStyle="1" w:styleId="Heading1Char">
    <w:name w:val="Heading 1 Char"/>
    <w:basedOn w:val="DefaultParagraphFont"/>
    <w:link w:val="Heading1"/>
    <w:uiPriority w:val="9"/>
    <w:rsid w:val="00846456"/>
    <w:rPr>
      <w:rFonts w:ascii="Museo Slab 500" w:eastAsiaTheme="minorHAnsi" w:hAnsi="Museo Slab 500"/>
      <w:bCs/>
      <w:color w:val="5C6670" w:themeColor="text1"/>
      <w:sz w:val="30"/>
      <w:szCs w:val="30"/>
    </w:rPr>
  </w:style>
  <w:style w:type="paragraph" w:styleId="Caption">
    <w:name w:val="caption"/>
    <w:basedOn w:val="Normal"/>
    <w:next w:val="Normal"/>
    <w:autoRedefine/>
    <w:uiPriority w:val="35"/>
    <w:unhideWhenUsed/>
    <w:qFormat/>
    <w:rsid w:val="00846456"/>
    <w:pPr>
      <w:spacing w:after="120"/>
    </w:pPr>
    <w:rPr>
      <w:b/>
      <w:bCs/>
      <w:color w:val="5C6670" w:themeColor="text1"/>
      <w:sz w:val="18"/>
      <w:szCs w:val="18"/>
    </w:rPr>
  </w:style>
  <w:style w:type="paragraph" w:styleId="TOC2">
    <w:name w:val="toc 2"/>
    <w:basedOn w:val="SubheadTrebuchet"/>
    <w:next w:val="TOC3"/>
    <w:autoRedefine/>
    <w:uiPriority w:val="39"/>
    <w:unhideWhenUsed/>
    <w:rsid w:val="00846456"/>
    <w:pPr>
      <w:tabs>
        <w:tab w:val="right" w:pos="7200"/>
      </w:tabs>
      <w:spacing w:after="120"/>
    </w:pPr>
    <w:rPr>
      <w:b w:val="0"/>
      <w:sz w:val="20"/>
    </w:rPr>
  </w:style>
  <w:style w:type="character" w:customStyle="1" w:styleId="apple-style-span">
    <w:name w:val="apple-style-span"/>
    <w:basedOn w:val="DefaultParagraphFont"/>
    <w:rsid w:val="00846456"/>
  </w:style>
  <w:style w:type="paragraph" w:styleId="BalloonText">
    <w:name w:val="Balloon Text"/>
    <w:basedOn w:val="Normal"/>
    <w:link w:val="BalloonTextChar"/>
    <w:uiPriority w:val="99"/>
    <w:semiHidden/>
    <w:unhideWhenUsed/>
    <w:rsid w:val="00846456"/>
    <w:rPr>
      <w:rFonts w:ascii="Lucida Grande" w:hAnsi="Lucida Grande" w:cs="Lucida Grande"/>
      <w:sz w:val="18"/>
      <w:szCs w:val="18"/>
    </w:rPr>
  </w:style>
  <w:style w:type="paragraph" w:customStyle="1" w:styleId="BulletedLevel1">
    <w:name w:val="Bulleted Level 1"/>
    <w:basedOn w:val="Normal"/>
    <w:next w:val="Normal"/>
    <w:autoRedefine/>
    <w:qFormat/>
    <w:rsid w:val="00846456"/>
    <w:pPr>
      <w:numPr>
        <w:numId w:val="4"/>
      </w:numPr>
      <w:spacing w:after="120"/>
    </w:pPr>
    <w:rPr>
      <w:szCs w:val="22"/>
    </w:rPr>
  </w:style>
  <w:style w:type="paragraph" w:styleId="BodyText">
    <w:name w:val="Body Text"/>
    <w:aliases w:val="Body Text Calibri"/>
    <w:basedOn w:val="Normal"/>
    <w:link w:val="BodyTextChar"/>
    <w:uiPriority w:val="99"/>
    <w:unhideWhenUsed/>
    <w:rsid w:val="00846456"/>
    <w:pPr>
      <w:spacing w:after="100" w:afterAutospacing="1"/>
    </w:pPr>
  </w:style>
  <w:style w:type="character" w:customStyle="1" w:styleId="BodyTextChar">
    <w:name w:val="Body Text Char"/>
    <w:aliases w:val="Body Text Calibri Char"/>
    <w:basedOn w:val="DefaultParagraphFont"/>
    <w:link w:val="BodyText"/>
    <w:uiPriority w:val="99"/>
    <w:rsid w:val="00846456"/>
    <w:rPr>
      <w:rFonts w:ascii="Calibri" w:hAnsi="Calibri"/>
      <w:sz w:val="22"/>
    </w:rPr>
  </w:style>
  <w:style w:type="character" w:customStyle="1" w:styleId="BalloonTextChar">
    <w:name w:val="Balloon Text Char"/>
    <w:basedOn w:val="DefaultParagraphFont"/>
    <w:link w:val="BalloonText"/>
    <w:uiPriority w:val="99"/>
    <w:semiHidden/>
    <w:rsid w:val="00846456"/>
    <w:rPr>
      <w:rFonts w:ascii="Lucida Grande" w:hAnsi="Lucida Grande" w:cs="Lucida Grande"/>
      <w:sz w:val="18"/>
      <w:szCs w:val="18"/>
    </w:rPr>
  </w:style>
  <w:style w:type="numbering" w:customStyle="1" w:styleId="BulletedList2ndLevel">
    <w:name w:val="Bulleted List 2nd Level"/>
    <w:basedOn w:val="NoList"/>
    <w:uiPriority w:val="99"/>
    <w:rsid w:val="00846456"/>
    <w:pPr>
      <w:numPr>
        <w:numId w:val="3"/>
      </w:numPr>
    </w:pPr>
  </w:style>
  <w:style w:type="table" w:styleId="ColorfulShading-Accent1">
    <w:name w:val="Colorful Shading Accent 1"/>
    <w:basedOn w:val="TableNormal"/>
    <w:uiPriority w:val="71"/>
    <w:rsid w:val="00846456"/>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styleId="EndnoteReference">
    <w:name w:val="endnote reference"/>
    <w:basedOn w:val="DefaultParagraphFont"/>
    <w:semiHidden/>
    <w:rsid w:val="00846456"/>
    <w:rPr>
      <w:vertAlign w:val="superscript"/>
    </w:rPr>
  </w:style>
  <w:style w:type="paragraph" w:styleId="EndnoteText">
    <w:name w:val="endnote text"/>
    <w:basedOn w:val="Normal"/>
    <w:link w:val="EndnoteTextChar"/>
    <w:semiHidden/>
    <w:rsid w:val="00846456"/>
    <w:rPr>
      <w:rFonts w:eastAsia="Times New Roman" w:cs="Times New Roman"/>
      <w:szCs w:val="20"/>
    </w:rPr>
  </w:style>
  <w:style w:type="character" w:customStyle="1" w:styleId="EndnoteTextChar">
    <w:name w:val="Endnote Text Char"/>
    <w:basedOn w:val="DefaultParagraphFont"/>
    <w:link w:val="EndnoteText"/>
    <w:semiHidden/>
    <w:rsid w:val="00846456"/>
    <w:rPr>
      <w:rFonts w:ascii="Calibri" w:eastAsia="Times New Roman" w:hAnsi="Calibri" w:cs="Times New Roman"/>
      <w:sz w:val="22"/>
      <w:szCs w:val="20"/>
    </w:rPr>
  </w:style>
  <w:style w:type="paragraph" w:customStyle="1" w:styleId="Endnotes">
    <w:name w:val="Endnotes"/>
    <w:basedOn w:val="Normal"/>
    <w:qFormat/>
    <w:rsid w:val="00846456"/>
    <w:rPr>
      <w:rFonts w:asciiTheme="majorHAnsi" w:hAnsiTheme="majorHAnsi"/>
      <w:sz w:val="18"/>
      <w:szCs w:val="18"/>
    </w:rPr>
  </w:style>
  <w:style w:type="paragraph" w:styleId="Footer">
    <w:name w:val="footer"/>
    <w:basedOn w:val="Normal"/>
    <w:link w:val="FooterChar"/>
    <w:uiPriority w:val="99"/>
    <w:unhideWhenUsed/>
    <w:rsid w:val="00846456"/>
    <w:pPr>
      <w:tabs>
        <w:tab w:val="center" w:pos="4320"/>
        <w:tab w:val="right" w:pos="8640"/>
      </w:tabs>
    </w:pPr>
  </w:style>
  <w:style w:type="character" w:customStyle="1" w:styleId="FooterChar">
    <w:name w:val="Footer Char"/>
    <w:basedOn w:val="DefaultParagraphFont"/>
    <w:link w:val="Footer"/>
    <w:uiPriority w:val="99"/>
    <w:rsid w:val="00846456"/>
    <w:rPr>
      <w:rFonts w:ascii="Calibri" w:hAnsi="Calibri"/>
      <w:sz w:val="22"/>
    </w:rPr>
  </w:style>
  <w:style w:type="paragraph" w:styleId="Header">
    <w:name w:val="header"/>
    <w:basedOn w:val="Normal"/>
    <w:link w:val="HeaderChar"/>
    <w:uiPriority w:val="99"/>
    <w:unhideWhenUsed/>
    <w:rsid w:val="00846456"/>
    <w:pPr>
      <w:tabs>
        <w:tab w:val="center" w:pos="4320"/>
        <w:tab w:val="right" w:pos="8640"/>
      </w:tabs>
    </w:pPr>
  </w:style>
  <w:style w:type="character" w:customStyle="1" w:styleId="HeaderChar">
    <w:name w:val="Header Char"/>
    <w:basedOn w:val="DefaultParagraphFont"/>
    <w:link w:val="Header"/>
    <w:uiPriority w:val="99"/>
    <w:rsid w:val="00846456"/>
    <w:rPr>
      <w:rFonts w:ascii="Calibri" w:hAnsi="Calibri"/>
      <w:sz w:val="22"/>
    </w:rPr>
  </w:style>
  <w:style w:type="character" w:customStyle="1" w:styleId="Heading2Char">
    <w:name w:val="Heading 2 Char"/>
    <w:basedOn w:val="DefaultParagraphFont"/>
    <w:link w:val="Heading2"/>
    <w:uiPriority w:val="9"/>
    <w:rsid w:val="00846456"/>
    <w:rPr>
      <w:rFonts w:ascii="Trebuchet MS" w:eastAsiaTheme="majorEastAsia" w:hAnsi="Trebuchet MS" w:cstheme="majorBidi"/>
      <w:b/>
      <w:bCs/>
      <w:sz w:val="26"/>
      <w:szCs w:val="26"/>
    </w:rPr>
  </w:style>
  <w:style w:type="character" w:customStyle="1" w:styleId="Heading3Char">
    <w:name w:val="Heading 3 Char"/>
    <w:basedOn w:val="DefaultParagraphFont"/>
    <w:link w:val="Heading3"/>
    <w:uiPriority w:val="9"/>
    <w:semiHidden/>
    <w:rsid w:val="00846456"/>
    <w:rPr>
      <w:rFonts w:asciiTheme="majorHAnsi" w:eastAsiaTheme="majorEastAsia" w:hAnsiTheme="majorHAnsi" w:cstheme="majorBidi"/>
      <w:b/>
      <w:bCs/>
      <w:sz w:val="22"/>
    </w:rPr>
  </w:style>
  <w:style w:type="character" w:styleId="Hyperlink">
    <w:name w:val="Hyperlink"/>
    <w:basedOn w:val="DefaultParagraphFont"/>
    <w:rsid w:val="00846456"/>
    <w:rPr>
      <w:color w:val="0000FF"/>
      <w:u w:val="single"/>
    </w:rPr>
  </w:style>
  <w:style w:type="character" w:styleId="IntenseEmphasis">
    <w:name w:val="Intense Emphasis"/>
    <w:basedOn w:val="DefaultParagraphFont"/>
    <w:uiPriority w:val="21"/>
    <w:qFormat/>
    <w:rsid w:val="00846456"/>
    <w:rPr>
      <w:b/>
      <w:bCs/>
      <w:i/>
      <w:iCs/>
      <w:color w:val="auto"/>
    </w:rPr>
  </w:style>
  <w:style w:type="paragraph" w:styleId="IntenseQuote">
    <w:name w:val="Intense Quote"/>
    <w:basedOn w:val="Normal"/>
    <w:next w:val="Normal"/>
    <w:link w:val="IntenseQuoteChar"/>
    <w:uiPriority w:val="30"/>
    <w:qFormat/>
    <w:rsid w:val="00846456"/>
    <w:pPr>
      <w:pBdr>
        <w:bottom w:val="single" w:sz="4" w:space="4" w:color="488BC9"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846456"/>
    <w:rPr>
      <w:rFonts w:ascii="Calibri" w:hAnsi="Calibri"/>
      <w:b/>
      <w:bCs/>
      <w:i/>
      <w:iCs/>
      <w:sz w:val="22"/>
    </w:rPr>
  </w:style>
  <w:style w:type="table" w:styleId="LightList-Accent1">
    <w:name w:val="Light List Accent 1"/>
    <w:basedOn w:val="TableNormal"/>
    <w:uiPriority w:val="61"/>
    <w:rsid w:val="00846456"/>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LightList-Accent2">
    <w:name w:val="Light List Accent 2"/>
    <w:basedOn w:val="TableNormal"/>
    <w:uiPriority w:val="61"/>
    <w:rsid w:val="00846456"/>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846456"/>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table" w:styleId="LightShading">
    <w:name w:val="Light Shading"/>
    <w:basedOn w:val="TableNormal"/>
    <w:uiPriority w:val="60"/>
    <w:rsid w:val="00846456"/>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table" w:styleId="LightShading-Accent1">
    <w:name w:val="Light Shading Accent 1"/>
    <w:basedOn w:val="TableNormal"/>
    <w:uiPriority w:val="60"/>
    <w:rsid w:val="00846456"/>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table" w:styleId="LightShading-Accent3">
    <w:name w:val="Light Shading Accent 3"/>
    <w:basedOn w:val="TableNormal"/>
    <w:uiPriority w:val="60"/>
    <w:rsid w:val="00846456"/>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paragraph" w:styleId="ListParagraph">
    <w:name w:val="List Paragraph"/>
    <w:basedOn w:val="Normal"/>
    <w:uiPriority w:val="34"/>
    <w:qFormat/>
    <w:rsid w:val="00846456"/>
    <w:pPr>
      <w:ind w:left="720"/>
      <w:contextualSpacing/>
    </w:pPr>
  </w:style>
  <w:style w:type="table" w:styleId="MediumGrid3-Accent1">
    <w:name w:val="Medium Grid 3 Accent 1"/>
    <w:basedOn w:val="TableNormal"/>
    <w:uiPriority w:val="69"/>
    <w:rsid w:val="0084645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MediumList1-Accent1">
    <w:name w:val="Medium List 1 Accent 1"/>
    <w:basedOn w:val="TableNormal"/>
    <w:uiPriority w:val="65"/>
    <w:rsid w:val="00846456"/>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List1-Accent6">
    <w:name w:val="Medium List 1 Accent 6"/>
    <w:basedOn w:val="TableNormal"/>
    <w:uiPriority w:val="65"/>
    <w:rsid w:val="00846456"/>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table" w:styleId="MediumShading1-Accent1">
    <w:name w:val="Medium Shading 1 Accent 1"/>
    <w:basedOn w:val="TableNormal"/>
    <w:uiPriority w:val="63"/>
    <w:rsid w:val="00846456"/>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46456"/>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46456"/>
    <w:rPr>
      <w:color w:val="808080"/>
    </w:rPr>
  </w:style>
  <w:style w:type="paragraph" w:styleId="Quote">
    <w:name w:val="Quote"/>
    <w:basedOn w:val="Normal"/>
    <w:next w:val="Normal"/>
    <w:link w:val="QuoteChar"/>
    <w:uiPriority w:val="29"/>
    <w:qFormat/>
    <w:rsid w:val="00846456"/>
    <w:rPr>
      <w:i/>
      <w:iCs/>
    </w:rPr>
  </w:style>
  <w:style w:type="character" w:customStyle="1" w:styleId="QuoteChar">
    <w:name w:val="Quote Char"/>
    <w:basedOn w:val="DefaultParagraphFont"/>
    <w:link w:val="Quote"/>
    <w:uiPriority w:val="29"/>
    <w:rsid w:val="00846456"/>
    <w:rPr>
      <w:rFonts w:ascii="Calibri" w:hAnsi="Calibri"/>
      <w:i/>
      <w:iCs/>
      <w:sz w:val="22"/>
    </w:rPr>
  </w:style>
  <w:style w:type="character" w:styleId="Strong">
    <w:name w:val="Strong"/>
    <w:basedOn w:val="DefaultParagraphFont"/>
    <w:uiPriority w:val="1"/>
    <w:qFormat/>
    <w:rsid w:val="00846456"/>
    <w:rPr>
      <w:b/>
      <w:bCs/>
      <w:color w:val="auto"/>
    </w:rPr>
  </w:style>
  <w:style w:type="paragraph" w:styleId="Subtitle">
    <w:name w:val="Subtitle"/>
    <w:basedOn w:val="Normal"/>
    <w:next w:val="Normal"/>
    <w:link w:val="SubtitleChar"/>
    <w:qFormat/>
    <w:rsid w:val="00846456"/>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846456"/>
    <w:rPr>
      <w:rFonts w:ascii="Calibri" w:eastAsiaTheme="minorHAnsi" w:hAnsi="Calibri"/>
      <w:sz w:val="22"/>
    </w:rPr>
  </w:style>
  <w:style w:type="character" w:styleId="SubtleEmphasis">
    <w:name w:val="Subtle Emphasis"/>
    <w:basedOn w:val="DefaultParagraphFont"/>
    <w:uiPriority w:val="19"/>
    <w:qFormat/>
    <w:rsid w:val="00846456"/>
    <w:rPr>
      <w:i/>
      <w:iCs/>
      <w:color w:val="auto"/>
    </w:rPr>
  </w:style>
  <w:style w:type="character" w:styleId="SubtleReference">
    <w:name w:val="Subtle Reference"/>
    <w:basedOn w:val="DefaultParagraphFont"/>
    <w:uiPriority w:val="31"/>
    <w:qFormat/>
    <w:rsid w:val="00846456"/>
    <w:rPr>
      <w:smallCaps/>
      <w:color w:val="auto"/>
      <w:u w:val="single"/>
    </w:rPr>
  </w:style>
  <w:style w:type="paragraph" w:customStyle="1" w:styleId="Summary">
    <w:name w:val="Summary"/>
    <w:basedOn w:val="Normal"/>
    <w:next w:val="Normal"/>
    <w:autoRedefine/>
    <w:qFormat/>
    <w:rsid w:val="00846456"/>
    <w:pPr>
      <w:spacing w:line="300" w:lineRule="auto"/>
    </w:pPr>
    <w:rPr>
      <w:szCs w:val="36"/>
    </w:rPr>
  </w:style>
  <w:style w:type="paragraph" w:customStyle="1" w:styleId="Table">
    <w:name w:val="Table"/>
    <w:basedOn w:val="Normal"/>
    <w:qFormat/>
    <w:rsid w:val="00846456"/>
    <w:pPr>
      <w:framePr w:hSpace="180" w:wrap="around" w:vAnchor="page" w:hAnchor="page" w:x="1189" w:y="3909"/>
    </w:pPr>
    <w:rPr>
      <w:b/>
      <w:bCs/>
      <w:color w:val="5C6670" w:themeColor="text1"/>
    </w:rPr>
  </w:style>
  <w:style w:type="table" w:styleId="TableGrid">
    <w:name w:val="Table Grid"/>
    <w:basedOn w:val="TableNormal"/>
    <w:uiPriority w:val="59"/>
    <w:rsid w:val="00846456"/>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TOC1">
    <w:name w:val="toc 1"/>
    <w:basedOn w:val="Heading1"/>
    <w:next w:val="SubheadTrebuchet"/>
    <w:autoRedefine/>
    <w:uiPriority w:val="39"/>
    <w:unhideWhenUsed/>
    <w:qFormat/>
    <w:rsid w:val="00846456"/>
    <w:pPr>
      <w:tabs>
        <w:tab w:val="right" w:pos="7200"/>
      </w:tabs>
      <w:spacing w:before="240" w:after="60"/>
    </w:pPr>
    <w:rPr>
      <w:sz w:val="24"/>
    </w:rPr>
  </w:style>
  <w:style w:type="character" w:customStyle="1" w:styleId="TableReference">
    <w:name w:val="Table Reference"/>
    <w:uiPriority w:val="1"/>
    <w:qFormat/>
    <w:rsid w:val="00846456"/>
    <w:rPr>
      <w:rFonts w:ascii="Calibri" w:hAnsi="Calibri"/>
      <w:b/>
      <w:sz w:val="20"/>
      <w:szCs w:val="20"/>
    </w:rPr>
  </w:style>
  <w:style w:type="table" w:styleId="TableWeb1">
    <w:name w:val="Table Web 1"/>
    <w:basedOn w:val="TableNormal"/>
    <w:rsid w:val="00846456"/>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4">
    <w:name w:val="toc 4"/>
    <w:basedOn w:val="TOC3"/>
    <w:next w:val="TOC5"/>
    <w:autoRedefine/>
    <w:uiPriority w:val="39"/>
    <w:semiHidden/>
    <w:unhideWhenUsed/>
    <w:qFormat/>
    <w:rsid w:val="00846456"/>
    <w:pPr>
      <w:ind w:left="660"/>
    </w:pPr>
  </w:style>
  <w:style w:type="paragraph" w:styleId="TOCHeading">
    <w:name w:val="TOC Heading"/>
    <w:basedOn w:val="Heading1"/>
    <w:next w:val="Normal"/>
    <w:uiPriority w:val="39"/>
    <w:semiHidden/>
    <w:unhideWhenUsed/>
    <w:qFormat/>
    <w:rsid w:val="00846456"/>
    <w:pPr>
      <w:keepNext/>
      <w:keepLines/>
      <w:pBdr>
        <w:bottom w:val="none" w:sz="0" w:space="0" w:color="auto"/>
      </w:pBdr>
      <w:tabs>
        <w:tab w:val="clear" w:pos="90"/>
      </w:tabs>
      <w:spacing w:before="480" w:after="0"/>
      <w:outlineLvl w:val="9"/>
    </w:pPr>
    <w:rPr>
      <w:rFonts w:asciiTheme="majorHAnsi" w:eastAsiaTheme="majorEastAsia" w:hAnsiTheme="majorHAnsi" w:cstheme="majorBidi"/>
      <w:b/>
      <w:sz w:val="32"/>
      <w:szCs w:val="32"/>
    </w:rPr>
  </w:style>
  <w:style w:type="paragraph" w:customStyle="1" w:styleId="sub">
    <w:name w:val="sub"/>
    <w:basedOn w:val="Normal"/>
    <w:rsid w:val="004724D6"/>
  </w:style>
  <w:style w:type="paragraph" w:customStyle="1" w:styleId="Default">
    <w:name w:val="Default"/>
    <w:rsid w:val="002B33F5"/>
    <w:pPr>
      <w:autoSpaceDE w:val="0"/>
      <w:autoSpaceDN w:val="0"/>
      <w:adjustRightInd w:val="0"/>
    </w:pPr>
    <w:rPr>
      <w:rFonts w:ascii="Calibri" w:eastAsiaTheme="minorHAnsi" w:hAnsi="Calibri" w:cs="Calibri"/>
      <w:color w:val="000000"/>
    </w:rPr>
  </w:style>
  <w:style w:type="table" w:customStyle="1" w:styleId="GridTable7ColorfulAccent1">
    <w:name w:val="Grid Table 7 Colorful Accent 1"/>
    <w:basedOn w:val="TableNormal"/>
    <w:uiPriority w:val="52"/>
    <w:rsid w:val="002B33F5"/>
    <w:rPr>
      <w:rFonts w:eastAsiaTheme="minorHAnsi"/>
      <w:color w:val="2E689D" w:themeColor="accent1" w:themeShade="BF"/>
      <w:sz w:val="22"/>
      <w:szCs w:val="22"/>
    </w:rPr>
    <w:tblPr>
      <w:tblStyleRowBandSize w:val="1"/>
      <w:tblStyleColBandSize w:val="1"/>
      <w:tblBorders>
        <w:top w:val="single" w:sz="4" w:space="0" w:color="91B9DE" w:themeColor="accent1" w:themeTint="99"/>
        <w:left w:val="single" w:sz="4" w:space="0" w:color="91B9DE" w:themeColor="accent1" w:themeTint="99"/>
        <w:bottom w:val="single" w:sz="4" w:space="0" w:color="91B9DE" w:themeColor="accent1" w:themeTint="99"/>
        <w:right w:val="single" w:sz="4" w:space="0" w:color="91B9DE" w:themeColor="accent1" w:themeTint="99"/>
        <w:insideH w:val="single" w:sz="4" w:space="0" w:color="91B9DE" w:themeColor="accent1" w:themeTint="99"/>
        <w:insideV w:val="single" w:sz="4" w:space="0" w:color="91B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7F4" w:themeFill="accent1" w:themeFillTint="33"/>
      </w:tcPr>
    </w:tblStylePr>
    <w:tblStylePr w:type="band1Horz">
      <w:tblPr/>
      <w:tcPr>
        <w:shd w:val="clear" w:color="auto" w:fill="DAE7F4" w:themeFill="accent1" w:themeFillTint="33"/>
      </w:tcPr>
    </w:tblStylePr>
    <w:tblStylePr w:type="neCell">
      <w:tblPr/>
      <w:tcPr>
        <w:tcBorders>
          <w:bottom w:val="single" w:sz="4" w:space="0" w:color="91B9DE" w:themeColor="accent1" w:themeTint="99"/>
        </w:tcBorders>
      </w:tcPr>
    </w:tblStylePr>
    <w:tblStylePr w:type="nwCell">
      <w:tblPr/>
      <w:tcPr>
        <w:tcBorders>
          <w:bottom w:val="single" w:sz="4" w:space="0" w:color="91B9DE" w:themeColor="accent1" w:themeTint="99"/>
        </w:tcBorders>
      </w:tcPr>
    </w:tblStylePr>
    <w:tblStylePr w:type="seCell">
      <w:tblPr/>
      <w:tcPr>
        <w:tcBorders>
          <w:top w:val="single" w:sz="4" w:space="0" w:color="91B9DE" w:themeColor="accent1" w:themeTint="99"/>
        </w:tcBorders>
      </w:tcPr>
    </w:tblStylePr>
    <w:tblStylePr w:type="swCell">
      <w:tblPr/>
      <w:tcPr>
        <w:tcBorders>
          <w:top w:val="single" w:sz="4" w:space="0" w:color="91B9DE" w:themeColor="accent1" w:themeTint="99"/>
        </w:tcBorders>
      </w:tcPr>
    </w:tblStylePr>
  </w:style>
  <w:style w:type="table" w:customStyle="1" w:styleId="ListTable3Accent1">
    <w:name w:val="List Table 3 Accent 1"/>
    <w:basedOn w:val="TableNormal"/>
    <w:uiPriority w:val="48"/>
    <w:rsid w:val="002B33F5"/>
    <w:tblPr>
      <w:tblStyleRowBandSize w:val="1"/>
      <w:tblStyleColBandSize w:val="1"/>
      <w:tblBorders>
        <w:top w:val="single" w:sz="4" w:space="0" w:color="488BC9" w:themeColor="accent1"/>
        <w:left w:val="single" w:sz="4" w:space="0" w:color="488BC9" w:themeColor="accent1"/>
        <w:bottom w:val="single" w:sz="4" w:space="0" w:color="488BC9" w:themeColor="accent1"/>
        <w:right w:val="single" w:sz="4" w:space="0" w:color="488BC9" w:themeColor="accent1"/>
      </w:tblBorders>
    </w:tblPr>
    <w:tblStylePr w:type="firstRow">
      <w:rPr>
        <w:b/>
        <w:bCs/>
        <w:color w:val="FFFFFF" w:themeColor="background1"/>
      </w:rPr>
      <w:tblPr/>
      <w:tcPr>
        <w:shd w:val="clear" w:color="auto" w:fill="488BC9" w:themeFill="accent1"/>
      </w:tcPr>
    </w:tblStylePr>
    <w:tblStylePr w:type="lastRow">
      <w:rPr>
        <w:b/>
        <w:bCs/>
      </w:rPr>
      <w:tblPr/>
      <w:tcPr>
        <w:tcBorders>
          <w:top w:val="double" w:sz="4" w:space="0" w:color="488BC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8BC9" w:themeColor="accent1"/>
          <w:right w:val="single" w:sz="4" w:space="0" w:color="488BC9" w:themeColor="accent1"/>
        </w:tcBorders>
      </w:tcPr>
    </w:tblStylePr>
    <w:tblStylePr w:type="band1Horz">
      <w:tblPr/>
      <w:tcPr>
        <w:tcBorders>
          <w:top w:val="single" w:sz="4" w:space="0" w:color="488BC9" w:themeColor="accent1"/>
          <w:bottom w:val="single" w:sz="4" w:space="0" w:color="488BC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8BC9" w:themeColor="accent1"/>
          <w:left w:val="nil"/>
        </w:tcBorders>
      </w:tcPr>
    </w:tblStylePr>
    <w:tblStylePr w:type="swCell">
      <w:tblPr/>
      <w:tcPr>
        <w:tcBorders>
          <w:top w:val="double" w:sz="4" w:space="0" w:color="488BC9"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rooks_c@cde.state.co.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Co CDE MS Color Palette FINAL">
  <a:themeElements>
    <a:clrScheme name="BCo CDE MS Color Palette FINAL">
      <a:dk1>
        <a:srgbClr val="5C6670"/>
      </a:dk1>
      <a:lt1>
        <a:sysClr val="window" lastClr="FFFFFF"/>
      </a:lt1>
      <a:dk2>
        <a:srgbClr val="8FC6E8"/>
      </a:dk2>
      <a:lt2>
        <a:srgbClr val="D3CCBC"/>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E3557-D9B1-4EE8-A0CB-277D1854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Document Title</vt:lpstr>
    </vt:vector>
  </TitlesOfParts>
  <Company>Colorado State Education</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Beth Hunter</dc:creator>
  <cp:lastModifiedBy>Schaefer, Shelby</cp:lastModifiedBy>
  <cp:revision>3</cp:revision>
  <cp:lastPrinted>2017-10-18T19:17:00Z</cp:lastPrinted>
  <dcterms:created xsi:type="dcterms:W3CDTF">2017-10-23T14:24:00Z</dcterms:created>
  <dcterms:modified xsi:type="dcterms:W3CDTF">2017-10-23T14:26:00Z</dcterms:modified>
</cp:coreProperties>
</file>