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6492ABD4" w:rsidR="007A0C15" w:rsidRPr="009F42B7" w:rsidRDefault="003A2478" w:rsidP="00BA015A">
      <w:pPr>
        <w:pStyle w:val="Heading1"/>
        <w:spacing w:before="0" w:after="180"/>
      </w:pPr>
      <w:r>
        <w:t>Other Services: Targeted Professional Learning</w:t>
      </w:r>
    </w:p>
    <w:p w14:paraId="1105B09F" w14:textId="78C66DE1" w:rsidR="00271BD6" w:rsidRPr="00194D04" w:rsidRDefault="00155A5C" w:rsidP="004223A7">
      <w:pPr>
        <w:pStyle w:val="Heading2"/>
        <w:spacing w:after="0"/>
      </w:pPr>
      <w:r>
        <w:t>Introduction</w:t>
      </w:r>
    </w:p>
    <w:tbl>
      <w:tblPr>
        <w:tblStyle w:val="TableGrid"/>
        <w:tblpPr w:leftFromText="180" w:rightFromText="180" w:vertAnchor="text" w:horzAnchor="page" w:tblpX="7046" w:tblpY="-69"/>
        <w:tblW w:w="0" w:type="auto"/>
        <w:tblLook w:val="04A0" w:firstRow="1" w:lastRow="0" w:firstColumn="1" w:lastColumn="0" w:noHBand="0" w:noVBand="1"/>
        <w:tblCaption w:val="Program Contact"/>
        <w:tblDescription w:val="Lindsay Cox, Ph.D.&#10;School Transformation Grant Manager&#10;School and District Transformation&#10;(720) 990-7851&#10;Cox_L@cde.state.co.us&#10;&#10;Rachel Echsner&#10;ESEA Senior Consultant, Titles I &amp; II&#10;Federal Programs &amp; Supports&#10;(303) 681-6486&#10;Eschner_R@cde.state.co.us&#10;"/>
      </w:tblPr>
      <w:tblGrid>
        <w:gridCol w:w="4365"/>
      </w:tblGrid>
      <w:tr w:rsidR="00900DA2" w14:paraId="6909585E" w14:textId="77777777" w:rsidTr="00900DA2">
        <w:trPr>
          <w:trHeight w:val="259"/>
        </w:trPr>
        <w:tc>
          <w:tcPr>
            <w:tcW w:w="4365" w:type="dxa"/>
            <w:shd w:val="clear" w:color="auto" w:fill="C5D3FF"/>
          </w:tcPr>
          <w:p w14:paraId="4627342C" w14:textId="77777777" w:rsidR="00900DA2" w:rsidRPr="007D29B7" w:rsidRDefault="00900DA2" w:rsidP="004223A7">
            <w:pPr>
              <w:ind w:left="0"/>
              <w:jc w:val="center"/>
              <w:rPr>
                <w:b/>
                <w:bCs/>
              </w:rPr>
            </w:pPr>
            <w:r w:rsidRPr="007D29B7">
              <w:rPr>
                <w:b/>
                <w:bCs/>
              </w:rPr>
              <w:t>Program Contact</w:t>
            </w:r>
          </w:p>
        </w:tc>
      </w:tr>
      <w:tr w:rsidR="00900DA2" w14:paraId="73653308" w14:textId="77777777" w:rsidTr="00711791">
        <w:trPr>
          <w:trHeight w:val="3560"/>
        </w:trPr>
        <w:tc>
          <w:tcPr>
            <w:tcW w:w="4365" w:type="dxa"/>
          </w:tcPr>
          <w:p w14:paraId="26900CEE" w14:textId="33BCA13B" w:rsidR="00900DA2" w:rsidRPr="00660F80" w:rsidRDefault="00900DA2" w:rsidP="004223A7">
            <w:pPr>
              <w:ind w:left="0"/>
              <w:rPr>
                <w:b/>
                <w:bCs/>
              </w:rPr>
            </w:pPr>
            <w:r w:rsidRPr="00660F80">
              <w:rPr>
                <w:b/>
                <w:bCs/>
              </w:rPr>
              <w:t>Lindsay Cox, Ph.D.</w:t>
            </w:r>
          </w:p>
          <w:p w14:paraId="7F4CC6D2" w14:textId="3A68CB0F" w:rsidR="00900DA2" w:rsidRPr="00660F80" w:rsidRDefault="00900DA2" w:rsidP="004223A7">
            <w:pPr>
              <w:ind w:left="0"/>
            </w:pPr>
            <w:r w:rsidRPr="00660F80">
              <w:t>School Transformation Grant Manager</w:t>
            </w:r>
          </w:p>
          <w:p w14:paraId="3F74679E" w14:textId="690DDFCD" w:rsidR="00900DA2" w:rsidRPr="00660F80" w:rsidRDefault="00900DA2" w:rsidP="004223A7">
            <w:pPr>
              <w:ind w:left="0"/>
            </w:pPr>
            <w:r w:rsidRPr="00660F80">
              <w:t>School and District Transformation</w:t>
            </w:r>
          </w:p>
          <w:p w14:paraId="6FB7DFA7" w14:textId="1F232177" w:rsidR="00900DA2" w:rsidRPr="00660F80" w:rsidRDefault="00900DA2" w:rsidP="004223A7">
            <w:pPr>
              <w:ind w:left="0"/>
            </w:pPr>
            <w:r w:rsidRPr="00660F80">
              <w:t>(720) 990-7851</w:t>
            </w:r>
          </w:p>
          <w:p w14:paraId="3F715812" w14:textId="77777777" w:rsidR="00684739" w:rsidRDefault="00900DA2" w:rsidP="00684739">
            <w:pPr>
              <w:pStyle w:val="URL"/>
              <w:framePr w:hSpace="0" w:wrap="auto" w:vAnchor="margin" w:hAnchor="text" w:xAlign="left" w:yAlign="inline"/>
            </w:pPr>
            <w:hyperlink r:id="rId8" w:history="1">
              <w:r w:rsidRPr="00660F80">
                <w:rPr>
                  <w:rStyle w:val="Hyperlink"/>
                  <w:color w:val="215E99" w:themeColor="text2" w:themeTint="BF"/>
                </w:rPr>
                <w:t>Cox_L@cde.state.co.us</w:t>
              </w:r>
            </w:hyperlink>
          </w:p>
          <w:p w14:paraId="19FCDB09" w14:textId="77777777" w:rsidR="002410AD" w:rsidRDefault="002410AD" w:rsidP="00684739">
            <w:pPr>
              <w:pStyle w:val="URL"/>
              <w:framePr w:hSpace="0" w:wrap="auto" w:vAnchor="margin" w:hAnchor="text" w:xAlign="left" w:yAlign="inline"/>
            </w:pPr>
          </w:p>
          <w:p w14:paraId="5AE0FFA9" w14:textId="4BF6E5BB" w:rsidR="002410AD" w:rsidRPr="00660F80" w:rsidRDefault="002410AD" w:rsidP="002410AD">
            <w:pPr>
              <w:ind w:left="0"/>
              <w:rPr>
                <w:b/>
                <w:bCs/>
              </w:rPr>
            </w:pPr>
            <w:r>
              <w:rPr>
                <w:b/>
                <w:bCs/>
              </w:rPr>
              <w:t>Rachel Echsner</w:t>
            </w:r>
          </w:p>
          <w:p w14:paraId="04BCD1F6" w14:textId="64A9D8EC" w:rsidR="002410AD" w:rsidRPr="00660F80" w:rsidRDefault="002410AD" w:rsidP="002410AD">
            <w:pPr>
              <w:ind w:left="0"/>
            </w:pPr>
            <w:r>
              <w:t>ESEA Senior Consultant, Titles I &amp; II</w:t>
            </w:r>
          </w:p>
          <w:p w14:paraId="5ACF7C7E" w14:textId="79419E39" w:rsidR="002410AD" w:rsidRPr="00660F80" w:rsidRDefault="002410AD" w:rsidP="002410AD">
            <w:pPr>
              <w:ind w:left="0"/>
            </w:pPr>
            <w:r>
              <w:t>Federal Programs &amp; Supports</w:t>
            </w:r>
          </w:p>
          <w:p w14:paraId="64E7DB77" w14:textId="72900E61" w:rsidR="002410AD" w:rsidRPr="00660F80" w:rsidRDefault="002410AD" w:rsidP="002410AD">
            <w:pPr>
              <w:ind w:left="0"/>
            </w:pPr>
            <w:r w:rsidRPr="00660F80">
              <w:t>(</w:t>
            </w:r>
            <w:r>
              <w:t>303) 681-6486</w:t>
            </w:r>
          </w:p>
          <w:p w14:paraId="7C0BFFE7" w14:textId="065FC79C" w:rsidR="00684739" w:rsidRPr="002410AD" w:rsidRDefault="002410AD" w:rsidP="002410AD">
            <w:pPr>
              <w:pStyle w:val="URL"/>
              <w:framePr w:hSpace="0" w:wrap="auto" w:vAnchor="margin" w:hAnchor="text" w:xAlign="left" w:yAlign="inline"/>
            </w:pPr>
            <w:hyperlink r:id="rId9" w:history="1">
              <w:r w:rsidRPr="008263AF">
                <w:rPr>
                  <w:rStyle w:val="Hyperlink"/>
                </w:rPr>
                <w:t>Eschner_R@cde.state.co.us</w:t>
              </w:r>
            </w:hyperlink>
          </w:p>
        </w:tc>
      </w:tr>
    </w:tbl>
    <w:p w14:paraId="2E964030" w14:textId="6A89E9F4" w:rsidR="0061395A" w:rsidRDefault="00045D3F" w:rsidP="003A2478">
      <w:pPr>
        <w:spacing w:after="0"/>
      </w:pPr>
      <w:r>
        <w:t xml:space="preserve">Targeted Professional Learning </w:t>
      </w:r>
      <w:proofErr w:type="gramStart"/>
      <w:r>
        <w:t>is designed</w:t>
      </w:r>
      <w:proofErr w:type="gramEnd"/>
      <w:r>
        <w:t xml:space="preserve"> </w:t>
      </w:r>
      <w:r w:rsidR="000933D9">
        <w:t>to enable</w:t>
      </w:r>
      <w:r w:rsidR="00166EA9">
        <w:t xml:space="preserve"> school</w:t>
      </w:r>
      <w:r w:rsidR="00A025C4">
        <w:t xml:space="preserve"> staff</w:t>
      </w:r>
      <w:r w:rsidR="00BB752D">
        <w:t xml:space="preserve"> </w:t>
      </w:r>
      <w:r w:rsidR="004220E7">
        <w:t>to attend</w:t>
      </w:r>
      <w:r w:rsidR="00A025C4">
        <w:t xml:space="preserve"> a vetted </w:t>
      </w:r>
      <w:r w:rsidR="006A79A6">
        <w:t xml:space="preserve">and approved </w:t>
      </w:r>
      <w:r w:rsidR="00A025C4">
        <w:t xml:space="preserve">professional learning </w:t>
      </w:r>
      <w:r w:rsidR="00DC699B">
        <w:t xml:space="preserve">option. </w:t>
      </w:r>
      <w:r w:rsidR="00D40737">
        <w:t xml:space="preserve">This is </w:t>
      </w:r>
      <w:r w:rsidR="00166EA9">
        <w:t>short</w:t>
      </w:r>
      <w:r w:rsidR="00D40737">
        <w:t xml:space="preserve">-duration support with a narrow focus on </w:t>
      </w:r>
      <w:r w:rsidR="00A52B39">
        <w:t>targeted professional learning areas.</w:t>
      </w:r>
      <w:r w:rsidR="00D40737">
        <w:t xml:space="preserve"> </w:t>
      </w:r>
      <w:r w:rsidR="00421BD2">
        <w:t xml:space="preserve">Guided by </w:t>
      </w:r>
      <w:hyperlink r:id="rId10" w:history="1">
        <w:r w:rsidR="00421BD2" w:rsidRPr="00BA53A1">
          <w:rPr>
            <w:rStyle w:val="URLChar"/>
          </w:rPr>
          <w:t>CDE’s Strategic Plan (2025-28)</w:t>
        </w:r>
        <w:r w:rsidR="003301C4">
          <w:rPr>
            <w:rStyle w:val="URLChar"/>
          </w:rPr>
          <w:t xml:space="preserve"> priorities</w:t>
        </w:r>
        <w:r w:rsidR="00421BD2" w:rsidRPr="00BA53A1">
          <w:rPr>
            <w:rStyle w:val="URLChar"/>
          </w:rPr>
          <w:t>,</w:t>
        </w:r>
      </w:hyperlink>
      <w:r w:rsidR="00421BD2">
        <w:t xml:space="preserve"> three targeted </w:t>
      </w:r>
      <w:r w:rsidR="006A79A6">
        <w:t>areas were</w:t>
      </w:r>
      <w:r w:rsidR="00421BD2">
        <w:t xml:space="preserve"> identified</w:t>
      </w:r>
      <w:r w:rsidR="00F738B7">
        <w:t xml:space="preserve"> as aligned to CDE’s Four Domains for Rapid School Improvement</w:t>
      </w:r>
      <w:r w:rsidR="00DC699B">
        <w:t xml:space="preserve">. The targeted professional learning areas include: </w:t>
      </w:r>
    </w:p>
    <w:p w14:paraId="6F72F7CF" w14:textId="50B27C3E" w:rsidR="00801B64" w:rsidRDefault="00801B64" w:rsidP="00801B64">
      <w:pPr>
        <w:pStyle w:val="ListParagraph"/>
        <w:numPr>
          <w:ilvl w:val="0"/>
          <w:numId w:val="19"/>
        </w:numPr>
        <w:spacing w:after="0"/>
      </w:pPr>
      <w:r>
        <w:t>Domain 2: Talent Development: 2.1 Recruitment and Retention</w:t>
      </w:r>
    </w:p>
    <w:p w14:paraId="2899A834" w14:textId="5E462C7F" w:rsidR="00801B64" w:rsidRDefault="00801B64" w:rsidP="00801B64">
      <w:pPr>
        <w:pStyle w:val="ListParagraph"/>
        <w:numPr>
          <w:ilvl w:val="0"/>
          <w:numId w:val="19"/>
        </w:numPr>
        <w:spacing w:after="0"/>
      </w:pPr>
      <w:r>
        <w:t>Domain 3: Instructional Transformation: 3.1 Vision for Instruction</w:t>
      </w:r>
    </w:p>
    <w:p w14:paraId="2CB51694" w14:textId="7900AF17" w:rsidR="00DC699B" w:rsidRDefault="00801B64" w:rsidP="000C0D83">
      <w:pPr>
        <w:pStyle w:val="ListParagraph"/>
        <w:numPr>
          <w:ilvl w:val="0"/>
          <w:numId w:val="19"/>
        </w:numPr>
      </w:pPr>
      <w:r>
        <w:t>Domain 4: Culture &amp; Climate Shift 4.2: Engaging Learning Environment</w:t>
      </w:r>
    </w:p>
    <w:p w14:paraId="1BE514E0" w14:textId="45C1A849" w:rsidR="000933D9" w:rsidRDefault="00C02692" w:rsidP="000933D9">
      <w:pPr>
        <w:spacing w:after="0"/>
      </w:pPr>
      <w:r>
        <w:t xml:space="preserve">Grantees </w:t>
      </w:r>
      <w:r w:rsidR="00A4416F">
        <w:t>must select an approved targeted</w:t>
      </w:r>
      <w:r w:rsidR="00EB31FD">
        <w:t xml:space="preserve"> professional learning offering. A list of the approved options </w:t>
      </w:r>
      <w:r w:rsidR="00E473F7">
        <w:t xml:space="preserve">are </w:t>
      </w:r>
      <w:r w:rsidR="006257F4">
        <w:t xml:space="preserve">available on the </w:t>
      </w:r>
      <w:hyperlink r:id="rId11" w:history="1">
        <w:r w:rsidR="006257F4" w:rsidRPr="006257F4">
          <w:rPr>
            <w:rStyle w:val="Hyperlink"/>
          </w:rPr>
          <w:t>CDE Advisory List of Providers</w:t>
        </w:r>
      </w:hyperlink>
      <w:r w:rsidR="006257F4">
        <w:t xml:space="preserve"> webpage under Targeted Professional Learning.</w:t>
      </w:r>
      <w:r w:rsidR="000933D9">
        <w:t xml:space="preserve"> </w:t>
      </w:r>
    </w:p>
    <w:p w14:paraId="34CE0941" w14:textId="7FF053CF" w:rsidR="00900DA2" w:rsidRPr="00900DA2" w:rsidRDefault="00900DA2" w:rsidP="004223A7">
      <w:pPr>
        <w:pStyle w:val="Heading2"/>
      </w:pPr>
      <w:r w:rsidRPr="00900DA2">
        <w:t>Eligibility &amp; Prioritization</w:t>
      </w:r>
    </w:p>
    <w:p w14:paraId="18F7136B" w14:textId="77777777" w:rsidR="00693F8C" w:rsidRDefault="00900DA2" w:rsidP="00693F8C">
      <w:pPr>
        <w:pBdr>
          <w:top w:val="nil"/>
          <w:left w:val="nil"/>
          <w:bottom w:val="nil"/>
          <w:right w:val="nil"/>
          <w:between w:val="nil"/>
        </w:pBdr>
        <w:spacing w:after="180"/>
        <w:rPr>
          <w:color w:val="000000"/>
        </w:rPr>
      </w:pPr>
      <w:r w:rsidRPr="00900DA2">
        <w:rPr>
          <w:rStyle w:val="Heading3Char"/>
        </w:rPr>
        <w:t>Eligibility.</w:t>
      </w:r>
      <w:r>
        <w:t xml:space="preserve"> </w:t>
      </w:r>
      <w:r>
        <w:rPr>
          <w:color w:val="000000"/>
        </w:rPr>
        <w:t>Schools that meet the following criteria are eligible to apply</w:t>
      </w:r>
      <w:r w:rsidR="003A2478">
        <w:rPr>
          <w:color w:val="000000"/>
        </w:rPr>
        <w:t>:</w:t>
      </w:r>
    </w:p>
    <w:p w14:paraId="12728A7E" w14:textId="0E7AD2D6" w:rsidR="00900DA2" w:rsidRDefault="00900DA2" w:rsidP="00693F8C">
      <w:pPr>
        <w:pStyle w:val="ListParagraph"/>
        <w:numPr>
          <w:ilvl w:val="0"/>
          <w:numId w:val="9"/>
        </w:numPr>
        <w:pBdr>
          <w:top w:val="nil"/>
          <w:left w:val="nil"/>
          <w:bottom w:val="nil"/>
          <w:right w:val="nil"/>
          <w:between w:val="nil"/>
        </w:pBdr>
        <w:spacing w:after="180"/>
      </w:pPr>
      <w:r>
        <w:t>S</w:t>
      </w:r>
      <w:r w:rsidRPr="00F62465">
        <w:t>chools identified for improvement under ESSA</w:t>
      </w:r>
      <w:r>
        <w:t xml:space="preserve"> as </w:t>
      </w:r>
      <w:r w:rsidRPr="00F62465">
        <w:t>Comprehensive</w:t>
      </w:r>
      <w:r>
        <w:t xml:space="preserve"> Support (CS)</w:t>
      </w:r>
      <w:r w:rsidRPr="00F62465">
        <w:t>, Targeted</w:t>
      </w:r>
      <w:r>
        <w:t xml:space="preserve"> Support (TS)</w:t>
      </w:r>
      <w:r w:rsidRPr="00F62465">
        <w:t>,</w:t>
      </w:r>
      <w:r>
        <w:t xml:space="preserve"> or </w:t>
      </w:r>
      <w:r w:rsidRPr="00F62465">
        <w:t>Additional Targeted</w:t>
      </w:r>
      <w:r>
        <w:t xml:space="preserve"> Support (ATS); </w:t>
      </w:r>
      <w:r w:rsidRPr="00F62465">
        <w:t>and/or</w:t>
      </w:r>
    </w:p>
    <w:p w14:paraId="4F37C808" w14:textId="77777777" w:rsidR="00900DA2" w:rsidRDefault="00900DA2" w:rsidP="004223A7">
      <w:pPr>
        <w:pStyle w:val="ListParagraph"/>
        <w:numPr>
          <w:ilvl w:val="0"/>
          <w:numId w:val="9"/>
        </w:numPr>
        <w:pBdr>
          <w:top w:val="nil"/>
          <w:left w:val="nil"/>
          <w:bottom w:val="nil"/>
          <w:right w:val="nil"/>
          <w:between w:val="nil"/>
        </w:pBdr>
        <w:spacing w:after="180"/>
        <w:ind w:right="0"/>
      </w:pPr>
      <w:r>
        <w:t>S</w:t>
      </w:r>
      <w:r w:rsidRPr="00F62465">
        <w:t xml:space="preserve">chools with a </w:t>
      </w:r>
      <w:r>
        <w:t>s</w:t>
      </w:r>
      <w:r w:rsidRPr="00F62465">
        <w:t xml:space="preserve">tate identification </w:t>
      </w:r>
      <w:r>
        <w:t xml:space="preserve">School Performance Framework plan type </w:t>
      </w:r>
      <w:r w:rsidRPr="00F62465">
        <w:t>of Priority Improvement, Turnaround, or On Watch</w:t>
      </w:r>
    </w:p>
    <w:p w14:paraId="63CD7DD4" w14:textId="1FCDA59C" w:rsidR="001E4EDE" w:rsidRDefault="00900DA2" w:rsidP="00E2261D">
      <w:pPr>
        <w:spacing w:after="180" w:line="259" w:lineRule="auto"/>
      </w:pPr>
      <w:r w:rsidRPr="00900DA2">
        <w:rPr>
          <w:rStyle w:val="Heading3Char"/>
        </w:rPr>
        <w:t>Prioritization.</w:t>
      </w:r>
      <w:r>
        <w:t xml:space="preserve"> If not all EASI proposals can </w:t>
      </w:r>
      <w:proofErr w:type="gramStart"/>
      <w:r>
        <w:t>be funded</w:t>
      </w:r>
      <w:proofErr w:type="gramEnd"/>
      <w:r>
        <w:t xml:space="preserve">, proposals that meet grant expectations will </w:t>
      </w:r>
      <w:proofErr w:type="gramStart"/>
      <w:r>
        <w:t>be funded</w:t>
      </w:r>
      <w:proofErr w:type="gramEnd"/>
      <w:r>
        <w:t xml:space="preserve"> in the order of the EASI school-level prioritization list. Schools with the highest number of prioritization points will </w:t>
      </w:r>
      <w:proofErr w:type="gramStart"/>
      <w:r>
        <w:t>be funded</w:t>
      </w:r>
      <w:proofErr w:type="gramEnd"/>
      <w:r>
        <w:t xml:space="preserve"> first. Details on how prioritization points are calculated and the points for each EASI eligible school are available on the </w:t>
      </w:r>
      <w:hyperlink r:id="rId12" w:history="1">
        <w:r w:rsidRPr="00CB2D01">
          <w:rPr>
            <w:rStyle w:val="URLChar"/>
          </w:rPr>
          <w:t>EASI Resources and Technical Assistance</w:t>
        </w:r>
      </w:hyperlink>
      <w:r w:rsidRPr="009D45B1">
        <w:rPr>
          <w:color w:val="0F4761" w:themeColor="accent1" w:themeShade="BF"/>
        </w:rPr>
        <w:t xml:space="preserve"> </w:t>
      </w:r>
      <w:r>
        <w:t>webpage.</w:t>
      </w:r>
      <w:r w:rsidR="00E2261D">
        <w:t xml:space="preserve"> Specifically </w:t>
      </w:r>
      <w:r w:rsidR="00E2261D" w:rsidRPr="00A845C7">
        <w:t>f</w:t>
      </w:r>
      <w:r w:rsidR="001E4EDE" w:rsidRPr="00A845C7">
        <w:t xml:space="preserve">or Targeted Professional Learning, schools </w:t>
      </w:r>
      <w:r w:rsidR="00D67EF5" w:rsidRPr="00A845C7">
        <w:t xml:space="preserve">that do not already have </w:t>
      </w:r>
      <w:r w:rsidR="00F74044" w:rsidRPr="00A845C7">
        <w:t xml:space="preserve">EASI grant </w:t>
      </w:r>
      <w:r w:rsidR="00D67EF5" w:rsidRPr="00A845C7">
        <w:t xml:space="preserve">funding for 2025-26 </w:t>
      </w:r>
      <w:r w:rsidR="00C84C0F" w:rsidRPr="00A845C7">
        <w:t xml:space="preserve">or </w:t>
      </w:r>
      <w:r w:rsidR="00D67EF5" w:rsidRPr="00A845C7">
        <w:t xml:space="preserve">2026-27 will </w:t>
      </w:r>
      <w:proofErr w:type="gramStart"/>
      <w:r w:rsidR="00D67EF5" w:rsidRPr="00A845C7">
        <w:t xml:space="preserve">be </w:t>
      </w:r>
      <w:r w:rsidR="00FA3F72" w:rsidRPr="00A845C7">
        <w:t>funded</w:t>
      </w:r>
      <w:proofErr w:type="gramEnd"/>
      <w:r w:rsidR="00FA3F72" w:rsidRPr="00A845C7">
        <w:t xml:space="preserve"> first.</w:t>
      </w:r>
      <w:r w:rsidR="00860D2A">
        <w:t xml:space="preserve"> </w:t>
      </w:r>
    </w:p>
    <w:p w14:paraId="55F3FD45" w14:textId="77777777" w:rsidR="00900DA2" w:rsidRPr="00C51FA4" w:rsidRDefault="00900DA2" w:rsidP="004223A7">
      <w:pPr>
        <w:pStyle w:val="Heading2"/>
      </w:pPr>
      <w:bookmarkStart w:id="0" w:name="_heading=h.vehsis26ztl0" w:colFirst="0" w:colLast="0"/>
      <w:bookmarkEnd w:id="0"/>
      <w:r w:rsidRPr="00C51FA4">
        <w:t>Program Considerations &amp; Fit</w:t>
      </w:r>
    </w:p>
    <w:p w14:paraId="13901019" w14:textId="0CB5CF00" w:rsidR="00900DA2" w:rsidRDefault="00900DA2" w:rsidP="004223A7">
      <w:pPr>
        <w:spacing w:after="180"/>
      </w:pPr>
      <w:r w:rsidRPr="00B3121D">
        <w:rPr>
          <w:rStyle w:val="Heading3Char"/>
        </w:rPr>
        <w:t>Program Considerations</w:t>
      </w:r>
      <w:r w:rsidRPr="00B3121D">
        <w:t xml:space="preserve">. </w:t>
      </w:r>
      <w:r>
        <w:t xml:space="preserve">Grantees must select a </w:t>
      </w:r>
      <w:r w:rsidR="003426EA">
        <w:t>p</w:t>
      </w:r>
      <w:r>
        <w:t xml:space="preserve">rovider </w:t>
      </w:r>
      <w:r w:rsidR="00971AB5" w:rsidRPr="002443A4">
        <w:rPr>
          <w:u w:val="single"/>
        </w:rPr>
        <w:t>and</w:t>
      </w:r>
      <w:r w:rsidR="00971AB5">
        <w:t xml:space="preserve"> </w:t>
      </w:r>
      <w:r w:rsidR="001A104E">
        <w:t xml:space="preserve">a targeted professional learning option listed on </w:t>
      </w:r>
      <w:r w:rsidR="001A104E" w:rsidRPr="00B24F46">
        <w:t>the</w:t>
      </w:r>
      <w:r w:rsidRPr="00B24F46">
        <w:t xml:space="preserve"> </w:t>
      </w:r>
      <w:hyperlink r:id="rId13" w:history="1">
        <w:r w:rsidRPr="00B24F46">
          <w:rPr>
            <w:rStyle w:val="URLChar"/>
          </w:rPr>
          <w:t>CDE Advisory List of Providers</w:t>
        </w:r>
      </w:hyperlink>
      <w:r w:rsidR="00414CB8" w:rsidRPr="00B24F46">
        <w:t xml:space="preserve"> under Targeted Professional Learning. </w:t>
      </w:r>
      <w:r w:rsidRPr="00B24F46">
        <w:t xml:space="preserve">By applying for funding to participate in one of the identified </w:t>
      </w:r>
      <w:r w:rsidR="005A7F08" w:rsidRPr="00B24F46">
        <w:t>learning opportunities</w:t>
      </w:r>
      <w:r w:rsidRPr="00B24F46">
        <w:t>,</w:t>
      </w:r>
      <w:r>
        <w:t xml:space="preserve"> participants </w:t>
      </w:r>
      <w:proofErr w:type="gramStart"/>
      <w:r>
        <w:t>are not guaranteed</w:t>
      </w:r>
      <w:proofErr w:type="gramEnd"/>
      <w:r>
        <w:t xml:space="preserve"> acceptance or </w:t>
      </w:r>
      <w:r>
        <w:lastRenderedPageBreak/>
        <w:t xml:space="preserve">enrollment in the </w:t>
      </w:r>
      <w:r w:rsidR="000C57ED">
        <w:t>selected professional learning</w:t>
      </w:r>
      <w:r>
        <w:t xml:space="preserve">. Each identified provider </w:t>
      </w:r>
      <w:r w:rsidR="005A7F08">
        <w:t>may have</w:t>
      </w:r>
      <w:r>
        <w:t xml:space="preserve"> limited capacity and number of slots for each program</w:t>
      </w:r>
      <w:r w:rsidR="00414CB8">
        <w:t>.</w:t>
      </w:r>
      <w:r w:rsidR="000933D9">
        <w:t xml:space="preserve"> </w:t>
      </w:r>
    </w:p>
    <w:p w14:paraId="796A4AC3" w14:textId="61AF1441" w:rsidR="000C57ED" w:rsidRPr="00B3121D" w:rsidRDefault="000C57ED" w:rsidP="00613884">
      <w:pPr>
        <w:spacing w:after="180" w:line="259" w:lineRule="auto"/>
      </w:pPr>
      <w:r>
        <w:t xml:space="preserve">Targeted Professional Learning </w:t>
      </w:r>
      <w:proofErr w:type="gramStart"/>
      <w:r>
        <w:t>is designed</w:t>
      </w:r>
      <w:proofErr w:type="gramEnd"/>
      <w:r>
        <w:t xml:space="preserve"> as a school-level support. Grantees may, however, include district staff that directly support the school in the application and budget. </w:t>
      </w:r>
    </w:p>
    <w:p w14:paraId="093C1664" w14:textId="5ED78381" w:rsidR="00900DA2" w:rsidRDefault="00900DA2" w:rsidP="004223A7">
      <w:pPr>
        <w:spacing w:after="180"/>
      </w:pPr>
      <w:r w:rsidRPr="00B3121D">
        <w:rPr>
          <w:rStyle w:val="Heading3Char"/>
        </w:rPr>
        <w:t>Program Fit</w:t>
      </w:r>
      <w:r w:rsidRPr="00B3121D">
        <w:t xml:space="preserve">. </w:t>
      </w:r>
      <w:r w:rsidR="0054141F">
        <w:t>Targeted Professional Learning</w:t>
      </w:r>
      <w:r>
        <w:t xml:space="preserve"> </w:t>
      </w:r>
      <w:r w:rsidR="00E87932">
        <w:t>is a good</w:t>
      </w:r>
      <w:r>
        <w:t xml:space="preserve"> fit for school </w:t>
      </w:r>
      <w:r w:rsidR="004515AB">
        <w:t>staff</w:t>
      </w:r>
      <w:r w:rsidR="006A3F77">
        <w:t xml:space="preserve"> who are</w:t>
      </w:r>
      <w:r w:rsidR="00562AC9">
        <w:t xml:space="preserve"> </w:t>
      </w:r>
      <w:r>
        <w:t xml:space="preserve">willing to engage in additional professional learning opportunities </w:t>
      </w:r>
      <w:r w:rsidR="0054141F">
        <w:t xml:space="preserve">around </w:t>
      </w:r>
      <w:r w:rsidR="00562AC9">
        <w:t>one of t</w:t>
      </w:r>
      <w:r w:rsidR="0054141F">
        <w:t>he identified targeted areas. Targeted Professional Learning</w:t>
      </w:r>
      <w:r>
        <w:t xml:space="preserve"> may serve as a complement to other EASI supports, </w:t>
      </w:r>
      <w:r w:rsidR="00F209F6">
        <w:t>but schools without active EASI funds</w:t>
      </w:r>
      <w:r w:rsidR="00CF4DBB">
        <w:t xml:space="preserve"> </w:t>
      </w:r>
      <w:r w:rsidR="00F209F6">
        <w:t xml:space="preserve">will </w:t>
      </w:r>
      <w:proofErr w:type="gramStart"/>
      <w:r w:rsidR="00F209F6">
        <w:t>be funded</w:t>
      </w:r>
      <w:proofErr w:type="gramEnd"/>
      <w:r w:rsidR="00F209F6">
        <w:t xml:space="preserve"> first</w:t>
      </w:r>
      <w:proofErr w:type="gramStart"/>
      <w:r w:rsidR="00F209F6">
        <w:t xml:space="preserve">. </w:t>
      </w:r>
      <w:r>
        <w:t xml:space="preserve"> </w:t>
      </w:r>
      <w:proofErr w:type="gramEnd"/>
    </w:p>
    <w:p w14:paraId="185D1577" w14:textId="77777777" w:rsidR="00900DA2" w:rsidRPr="00A11331" w:rsidRDefault="00900DA2" w:rsidP="004223A7">
      <w:pPr>
        <w:pStyle w:val="Heading2"/>
      </w:pPr>
      <w:r w:rsidRPr="00A11331">
        <w:t>Sequence of Program Support</w:t>
      </w:r>
    </w:p>
    <w:p w14:paraId="460D36AB" w14:textId="3BF604D3" w:rsidR="00900DA2" w:rsidRDefault="00900DA2" w:rsidP="004223A7">
      <w:pPr>
        <w:spacing w:after="180"/>
      </w:pPr>
      <w:r w:rsidRPr="00A11331">
        <w:t xml:space="preserve">The sequence of the work is </w:t>
      </w:r>
      <w:r>
        <w:t xml:space="preserve">based on the selected </w:t>
      </w:r>
      <w:r w:rsidR="00C61761">
        <w:t>provider and professional learning offering. Professional learning offerings range from single day events to multi-day learning series or conferences</w:t>
      </w:r>
      <w:r>
        <w:t xml:space="preserve">. The approach, duration, and sequence of the </w:t>
      </w:r>
      <w:r w:rsidR="00897F38">
        <w:t>professional learning</w:t>
      </w:r>
      <w:r w:rsidR="00CB2D01">
        <w:t xml:space="preserve"> offering</w:t>
      </w:r>
      <w:r w:rsidR="00897F38">
        <w:t xml:space="preserve"> is outlined on </w:t>
      </w:r>
      <w:r w:rsidR="00897F38" w:rsidRPr="007A0279">
        <w:t xml:space="preserve">the </w:t>
      </w:r>
      <w:hyperlink r:id="rId14" w:history="1">
        <w:r w:rsidR="00897F38" w:rsidRPr="007A0279">
          <w:rPr>
            <w:rStyle w:val="URLChar"/>
          </w:rPr>
          <w:t>CDE Advisory List of Providers</w:t>
        </w:r>
      </w:hyperlink>
      <w:r w:rsidR="00CB2D01" w:rsidRPr="007A0279">
        <w:t>.</w:t>
      </w:r>
      <w:r>
        <w:t xml:space="preserve"> </w:t>
      </w:r>
    </w:p>
    <w:p w14:paraId="3A957C13" w14:textId="64BFE97C" w:rsidR="00900DA2" w:rsidRPr="00FE4317" w:rsidRDefault="00900DA2" w:rsidP="004223A7">
      <w:pPr>
        <w:pStyle w:val="Heading2"/>
        <w:spacing w:before="0"/>
        <w:rPr>
          <w:rStyle w:val="Heading3Char"/>
          <w:rFonts w:eastAsia="Calibri"/>
          <w:b/>
          <w:i/>
          <w:szCs w:val="26"/>
        </w:rPr>
      </w:pPr>
      <w:r>
        <w:rPr>
          <w:rFonts w:eastAsia="Calibri" w:cs="Calibri"/>
        </w:rPr>
        <w:t xml:space="preserve">Available Funds &amp; Duration </w:t>
      </w:r>
    </w:p>
    <w:p w14:paraId="13C5A738" w14:textId="6B72CBDE" w:rsidR="00900DA2" w:rsidRDefault="00900DA2" w:rsidP="00AE125C">
      <w:pPr>
        <w:spacing w:after="180" w:line="259" w:lineRule="auto"/>
      </w:pPr>
      <w:r w:rsidRPr="004B6DFF">
        <w:rPr>
          <w:rStyle w:val="Heading3Char"/>
        </w:rPr>
        <w:t>Available Funds.</w:t>
      </w:r>
      <w:r>
        <w:rPr>
          <w:color w:val="000000"/>
        </w:rPr>
        <w:t xml:space="preserve"> </w:t>
      </w:r>
      <w:r w:rsidR="00C269C8" w:rsidRPr="00445749">
        <w:t>Award amounts</w:t>
      </w:r>
      <w:r w:rsidR="00C269C8">
        <w:t xml:space="preserve"> may not exceed the cost of the professional learning from the selected provider and associated allowable costs</w:t>
      </w:r>
      <w:r w:rsidR="003C22BD">
        <w:t xml:space="preserve"> for school staff and supporting district partners</w:t>
      </w:r>
      <w:r w:rsidR="00C269C8">
        <w:t xml:space="preserve">. Travel may </w:t>
      </w:r>
      <w:proofErr w:type="gramStart"/>
      <w:r w:rsidR="00C269C8">
        <w:t>be requested</w:t>
      </w:r>
      <w:proofErr w:type="gramEnd"/>
      <w:r w:rsidR="00C269C8">
        <w:t xml:space="preserve">, but there is no guarantee that travel to and from the professional learning offering will </w:t>
      </w:r>
      <w:proofErr w:type="gramStart"/>
      <w:r w:rsidR="00C269C8">
        <w:t>be provided</w:t>
      </w:r>
      <w:proofErr w:type="gramEnd"/>
      <w:r w:rsidR="00C269C8">
        <w:t xml:space="preserve">. Travel funding is dependent upon available funds. </w:t>
      </w:r>
      <w:r w:rsidR="00AE125C">
        <w:t xml:space="preserve">At time of application, grantees must indicate the funding period for the selected professional learning offer of either </w:t>
      </w:r>
      <w:r w:rsidR="00154F80" w:rsidRPr="00445749">
        <w:t>January 1- September 30</w:t>
      </w:r>
      <w:r w:rsidR="009375C4" w:rsidRPr="00445749">
        <w:t xml:space="preserve">, </w:t>
      </w:r>
      <w:r w:rsidR="00E473F7" w:rsidRPr="00445749">
        <w:t>2026,</w:t>
      </w:r>
      <w:r w:rsidR="00154F80" w:rsidRPr="00445749">
        <w:t xml:space="preserve"> or July 1</w:t>
      </w:r>
      <w:r w:rsidR="009375C4" w:rsidRPr="00445749">
        <w:t>, 2026</w:t>
      </w:r>
      <w:r w:rsidR="00154F80" w:rsidRPr="00445749">
        <w:t xml:space="preserve"> or June 30</w:t>
      </w:r>
      <w:r w:rsidR="009375C4" w:rsidRPr="00445749">
        <w:t>, 2027</w:t>
      </w:r>
      <w:r w:rsidR="00154F80" w:rsidRPr="00445749">
        <w:t>.</w:t>
      </w:r>
      <w:r w:rsidR="00F07D52">
        <w:t xml:space="preserve"> </w:t>
      </w:r>
    </w:p>
    <w:p w14:paraId="7126A55A" w14:textId="66EA92CA" w:rsidR="00AE125C" w:rsidRPr="0046373B" w:rsidRDefault="00AE125C" w:rsidP="00AE125C">
      <w:pPr>
        <w:spacing w:after="180" w:line="259" w:lineRule="auto"/>
        <w:rPr>
          <w:i/>
          <w:iCs/>
        </w:rPr>
      </w:pPr>
      <w:r w:rsidRPr="0046373B">
        <w:rPr>
          <w:i/>
          <w:iCs/>
        </w:rPr>
        <w:t>Note</w:t>
      </w:r>
      <w:r w:rsidR="00851BD1" w:rsidRPr="0046373B">
        <w:rPr>
          <w:i/>
          <w:iCs/>
        </w:rPr>
        <w:t>: Schools identified under ESSA</w:t>
      </w:r>
      <w:r w:rsidR="006F4BF0" w:rsidRPr="0046373B">
        <w:rPr>
          <w:i/>
          <w:iCs/>
        </w:rPr>
        <w:t xml:space="preserve"> are eligible for federal awards and schools identified under the state accountability system for state </w:t>
      </w:r>
      <w:r w:rsidR="00956B62">
        <w:rPr>
          <w:i/>
          <w:iCs/>
        </w:rPr>
        <w:t>award</w:t>
      </w:r>
      <w:r w:rsidR="006F4BF0" w:rsidRPr="0046373B">
        <w:rPr>
          <w:i/>
          <w:iCs/>
        </w:rPr>
        <w:t xml:space="preserve">s. CDE projects a greater </w:t>
      </w:r>
      <w:r w:rsidR="0046373B" w:rsidRPr="0046373B">
        <w:rPr>
          <w:i/>
          <w:iCs/>
        </w:rPr>
        <w:t xml:space="preserve">availability of federal funds </w:t>
      </w:r>
      <w:r w:rsidR="004441FE">
        <w:rPr>
          <w:i/>
          <w:iCs/>
        </w:rPr>
        <w:t>versus state funds for Targeted Professional Learning. As such, CDE</w:t>
      </w:r>
      <w:r w:rsidR="0046373B" w:rsidRPr="0046373B">
        <w:rPr>
          <w:i/>
          <w:iCs/>
        </w:rPr>
        <w:t xml:space="preserve"> encourages schools identified under ESSA with low prioritization points to apply.</w:t>
      </w:r>
    </w:p>
    <w:p w14:paraId="1D4DB463" w14:textId="0B2C7CF5" w:rsidR="00900DA2" w:rsidRPr="0041756A" w:rsidRDefault="00900DA2" w:rsidP="00514BE5">
      <w:pPr>
        <w:pStyle w:val="Heading3"/>
        <w:rPr>
          <w:i/>
        </w:rPr>
      </w:pPr>
      <w:r w:rsidRPr="0041756A">
        <w:t xml:space="preserve">Duration. </w:t>
      </w:r>
      <w:r w:rsidRPr="0065359D">
        <w:rPr>
          <w:b w:val="0"/>
          <w:bCs w:val="0"/>
        </w:rPr>
        <w:t xml:space="preserve">Program support </w:t>
      </w:r>
      <w:proofErr w:type="gramStart"/>
      <w:r w:rsidRPr="0065359D">
        <w:rPr>
          <w:b w:val="0"/>
          <w:bCs w:val="0"/>
        </w:rPr>
        <w:t>is designed</w:t>
      </w:r>
      <w:proofErr w:type="gramEnd"/>
      <w:r w:rsidRPr="0065359D">
        <w:rPr>
          <w:b w:val="0"/>
          <w:bCs w:val="0"/>
        </w:rPr>
        <w:t xml:space="preserve"> to </w:t>
      </w:r>
      <w:r w:rsidR="00417A36">
        <w:rPr>
          <w:b w:val="0"/>
          <w:bCs w:val="0"/>
        </w:rPr>
        <w:t>support</w:t>
      </w:r>
      <w:r w:rsidRPr="0065359D">
        <w:rPr>
          <w:b w:val="0"/>
          <w:bCs w:val="0"/>
        </w:rPr>
        <w:t xml:space="preserve"> participation from an approved </w:t>
      </w:r>
      <w:r w:rsidR="00417A36">
        <w:rPr>
          <w:b w:val="0"/>
          <w:bCs w:val="0"/>
        </w:rPr>
        <w:t xml:space="preserve">provider for up to one </w:t>
      </w:r>
      <w:r w:rsidR="00326C26">
        <w:rPr>
          <w:b w:val="0"/>
          <w:bCs w:val="0"/>
        </w:rPr>
        <w:t>year</w:t>
      </w:r>
      <w:r w:rsidR="00316EC2">
        <w:rPr>
          <w:b w:val="0"/>
          <w:bCs w:val="0"/>
        </w:rPr>
        <w:t xml:space="preserve"> in the selected </w:t>
      </w:r>
      <w:proofErr w:type="gramStart"/>
      <w:r w:rsidR="00316EC2">
        <w:rPr>
          <w:b w:val="0"/>
          <w:bCs w:val="0"/>
        </w:rPr>
        <w:t>time period</w:t>
      </w:r>
      <w:proofErr w:type="gramEnd"/>
      <w:r w:rsidR="00316EC2">
        <w:rPr>
          <w:b w:val="0"/>
          <w:bCs w:val="0"/>
        </w:rPr>
        <w:t xml:space="preserve">, </w:t>
      </w:r>
      <w:r w:rsidR="00316EC2" w:rsidRPr="00316EC2">
        <w:rPr>
          <w:b w:val="0"/>
          <w:bCs w:val="0"/>
        </w:rPr>
        <w:t xml:space="preserve">either January 1- </w:t>
      </w:r>
      <w:proofErr w:type="gramStart"/>
      <w:r w:rsidR="00316EC2" w:rsidRPr="00316EC2">
        <w:rPr>
          <w:b w:val="0"/>
          <w:bCs w:val="0"/>
        </w:rPr>
        <w:t>September 30 or July 1</w:t>
      </w:r>
      <w:proofErr w:type="gramEnd"/>
      <w:r w:rsidR="00316EC2" w:rsidRPr="00316EC2">
        <w:rPr>
          <w:b w:val="0"/>
          <w:bCs w:val="0"/>
        </w:rPr>
        <w:t xml:space="preserve"> or June 30.</w:t>
      </w:r>
      <w:r w:rsidR="00417A36">
        <w:rPr>
          <w:b w:val="0"/>
          <w:bCs w:val="0"/>
        </w:rPr>
        <w:t xml:space="preserve"> Awards will not be issue</w:t>
      </w:r>
      <w:r w:rsidR="00FE700C">
        <w:rPr>
          <w:b w:val="0"/>
          <w:bCs w:val="0"/>
        </w:rPr>
        <w:t>d</w:t>
      </w:r>
      <w:r w:rsidR="00417A36">
        <w:rPr>
          <w:b w:val="0"/>
          <w:bCs w:val="0"/>
        </w:rPr>
        <w:t xml:space="preserve"> for multiple </w:t>
      </w:r>
      <w:r w:rsidR="00E65F4C">
        <w:rPr>
          <w:b w:val="0"/>
          <w:bCs w:val="0"/>
        </w:rPr>
        <w:t>years,</w:t>
      </w:r>
      <w:r w:rsidR="00FE700C">
        <w:rPr>
          <w:b w:val="0"/>
          <w:bCs w:val="0"/>
        </w:rPr>
        <w:t xml:space="preserve"> and carryover </w:t>
      </w:r>
      <w:r w:rsidR="006E6BB4">
        <w:rPr>
          <w:b w:val="0"/>
          <w:bCs w:val="0"/>
        </w:rPr>
        <w:t xml:space="preserve">will not </w:t>
      </w:r>
      <w:proofErr w:type="gramStart"/>
      <w:r w:rsidR="006E6BB4">
        <w:rPr>
          <w:b w:val="0"/>
          <w:bCs w:val="0"/>
        </w:rPr>
        <w:t>be allowed</w:t>
      </w:r>
      <w:proofErr w:type="gramEnd"/>
      <w:r w:rsidR="006E6BB4">
        <w:rPr>
          <w:b w:val="0"/>
          <w:bCs w:val="0"/>
        </w:rPr>
        <w:t xml:space="preserve"> on federal awards</w:t>
      </w:r>
      <w:r w:rsidR="003516EE">
        <w:rPr>
          <w:b w:val="0"/>
          <w:bCs w:val="0"/>
        </w:rPr>
        <w:t>.</w:t>
      </w:r>
    </w:p>
    <w:p w14:paraId="39FB4FF3" w14:textId="77777777" w:rsidR="00900DA2" w:rsidRDefault="00900DA2" w:rsidP="004223A7">
      <w:pPr>
        <w:pStyle w:val="Heading2"/>
        <w:spacing w:before="0" w:after="0"/>
        <w:rPr>
          <w:rFonts w:eastAsia="Calibri" w:cs="Calibri"/>
        </w:rPr>
      </w:pPr>
      <w:r>
        <w:rPr>
          <w:rFonts w:eastAsia="Calibri" w:cs="Calibri"/>
        </w:rPr>
        <w:t>Allowable Use of Funds</w:t>
      </w:r>
    </w:p>
    <w:p w14:paraId="79370247" w14:textId="778C746B" w:rsidR="00900DA2" w:rsidRDefault="00900DA2" w:rsidP="004223A7">
      <w:pPr>
        <w:spacing w:after="0"/>
      </w:pPr>
      <w:r>
        <w:t xml:space="preserve">Funds </w:t>
      </w:r>
      <w:proofErr w:type="gramStart"/>
      <w:r>
        <w:t>are intended</w:t>
      </w:r>
      <w:proofErr w:type="gramEnd"/>
      <w:r>
        <w:t xml:space="preserve"> to support participation</w:t>
      </w:r>
      <w:r w:rsidR="001E795E">
        <w:t xml:space="preserve"> of a school staff</w:t>
      </w:r>
      <w:r w:rsidR="00CA7EFC">
        <w:t xml:space="preserve"> </w:t>
      </w:r>
      <w:r>
        <w:t xml:space="preserve">in </w:t>
      </w:r>
      <w:r w:rsidR="004F3492">
        <w:t>an approved Targeted Professional Learning o</w:t>
      </w:r>
      <w:r w:rsidR="00F622D8">
        <w:t>ption</w:t>
      </w:r>
      <w:r>
        <w:t xml:space="preserve"> from an approved provider. Allowable use of funds includes costs associated</w:t>
      </w:r>
      <w:r w:rsidR="001E795E">
        <w:t xml:space="preserve"> with:</w:t>
      </w:r>
    </w:p>
    <w:p w14:paraId="2D7B62C9" w14:textId="2C729893" w:rsidR="006B4C3C" w:rsidRPr="00B00DB1" w:rsidRDefault="004F3492" w:rsidP="00B00DB1">
      <w:pPr>
        <w:pStyle w:val="ListParagraph"/>
        <w:numPr>
          <w:ilvl w:val="0"/>
          <w:numId w:val="11"/>
        </w:numPr>
        <w:pBdr>
          <w:top w:val="nil"/>
          <w:left w:val="nil"/>
          <w:bottom w:val="nil"/>
          <w:right w:val="nil"/>
          <w:between w:val="nil"/>
        </w:pBdr>
        <w:spacing w:after="0" w:line="256" w:lineRule="auto"/>
        <w:ind w:right="0"/>
        <w:rPr>
          <w:i/>
          <w:iCs/>
        </w:rPr>
      </w:pPr>
      <w:r>
        <w:rPr>
          <w:color w:val="000000"/>
        </w:rPr>
        <w:t xml:space="preserve">Registration </w:t>
      </w:r>
      <w:r w:rsidR="008137EE">
        <w:rPr>
          <w:color w:val="000000"/>
        </w:rPr>
        <w:t>costs for the professional learning offering</w:t>
      </w:r>
      <w:r w:rsidR="00CA7EFC">
        <w:rPr>
          <w:color w:val="000000"/>
        </w:rPr>
        <w:t xml:space="preserve"> for school staff or district partners supporting the school</w:t>
      </w:r>
    </w:p>
    <w:p w14:paraId="32C2DB0A" w14:textId="1EFB0BC8" w:rsidR="00611011" w:rsidRPr="00611011" w:rsidRDefault="00611011" w:rsidP="00611011">
      <w:pPr>
        <w:pStyle w:val="ListParagraph"/>
        <w:numPr>
          <w:ilvl w:val="0"/>
          <w:numId w:val="11"/>
        </w:numPr>
        <w:pBdr>
          <w:top w:val="nil"/>
          <w:left w:val="nil"/>
          <w:bottom w:val="nil"/>
          <w:right w:val="nil"/>
          <w:between w:val="nil"/>
        </w:pBdr>
        <w:spacing w:after="0" w:line="256" w:lineRule="auto"/>
        <w:ind w:right="0"/>
        <w:rPr>
          <w:i/>
          <w:iCs/>
        </w:rPr>
      </w:pPr>
      <w:r>
        <w:rPr>
          <w:color w:val="000000"/>
        </w:rPr>
        <w:t>Substitute teacher pay (daily rate and benefits</w:t>
      </w:r>
      <w:r w:rsidR="00CB00C3">
        <w:rPr>
          <w:color w:val="000000"/>
        </w:rPr>
        <w:t xml:space="preserve"> as supported by district policy</w:t>
      </w:r>
      <w:r>
        <w:rPr>
          <w:color w:val="000000"/>
        </w:rPr>
        <w:t xml:space="preserve">) </w:t>
      </w:r>
      <w:r w:rsidR="00D20BEE">
        <w:rPr>
          <w:color w:val="000000"/>
        </w:rPr>
        <w:t>to provide coverage for teacher to attend the professional learning</w:t>
      </w:r>
    </w:p>
    <w:p w14:paraId="26770D45" w14:textId="44C47FFD" w:rsidR="00900DA2" w:rsidRPr="00FB5E32" w:rsidRDefault="008137EE" w:rsidP="0041756A">
      <w:pPr>
        <w:pStyle w:val="ListParagraph"/>
        <w:numPr>
          <w:ilvl w:val="0"/>
          <w:numId w:val="11"/>
        </w:numPr>
        <w:pBdr>
          <w:top w:val="nil"/>
          <w:left w:val="nil"/>
          <w:bottom w:val="nil"/>
          <w:right w:val="nil"/>
          <w:between w:val="nil"/>
        </w:pBdr>
        <w:spacing w:after="0" w:line="256" w:lineRule="auto"/>
        <w:ind w:right="0"/>
      </w:pPr>
      <w:r>
        <w:rPr>
          <w:color w:val="000000"/>
        </w:rPr>
        <w:t xml:space="preserve">Costs </w:t>
      </w:r>
      <w:r w:rsidR="00900DA2" w:rsidRPr="0041756A">
        <w:rPr>
          <w:color w:val="000000"/>
        </w:rPr>
        <w:t>incu</w:t>
      </w:r>
      <w:r>
        <w:rPr>
          <w:color w:val="000000"/>
        </w:rPr>
        <w:t>r</w:t>
      </w:r>
      <w:r w:rsidR="00900DA2" w:rsidRPr="0041756A">
        <w:rPr>
          <w:color w:val="000000"/>
        </w:rPr>
        <w:t>r</w:t>
      </w:r>
      <w:r>
        <w:rPr>
          <w:color w:val="000000"/>
        </w:rPr>
        <w:t>ed</w:t>
      </w:r>
      <w:r w:rsidR="00900DA2" w:rsidRPr="0041756A">
        <w:rPr>
          <w:color w:val="000000"/>
        </w:rPr>
        <w:t xml:space="preserve"> in completing </w:t>
      </w:r>
      <w:r>
        <w:rPr>
          <w:color w:val="000000"/>
        </w:rPr>
        <w:t>professional learning</w:t>
      </w:r>
      <w:r w:rsidR="00900DA2" w:rsidRPr="0041756A">
        <w:rPr>
          <w:color w:val="000000"/>
        </w:rPr>
        <w:t xml:space="preserve"> (</w:t>
      </w:r>
      <w:proofErr w:type="gramStart"/>
      <w:r>
        <w:rPr>
          <w:color w:val="000000"/>
        </w:rPr>
        <w:t>e.g.</w:t>
      </w:r>
      <w:proofErr w:type="gramEnd"/>
      <w:r>
        <w:rPr>
          <w:color w:val="000000"/>
        </w:rPr>
        <w:t xml:space="preserve"> required</w:t>
      </w:r>
      <w:r w:rsidR="00900DA2" w:rsidRPr="0041756A">
        <w:rPr>
          <w:color w:val="000000"/>
        </w:rPr>
        <w:t xml:space="preserve"> materials</w:t>
      </w:r>
      <w:r>
        <w:rPr>
          <w:color w:val="000000"/>
        </w:rPr>
        <w:t>, license, or books for participation in the professional learning)</w:t>
      </w:r>
      <w:r w:rsidR="00B84B0E">
        <w:rPr>
          <w:color w:val="000000"/>
        </w:rPr>
        <w:t xml:space="preserve"> for school staff or district partner supporting the school</w:t>
      </w:r>
    </w:p>
    <w:p w14:paraId="4044E410" w14:textId="1798E24D" w:rsidR="00900DA2" w:rsidRPr="00FB5E32" w:rsidRDefault="00900DA2" w:rsidP="0041756A">
      <w:pPr>
        <w:pStyle w:val="ListParagraph"/>
        <w:numPr>
          <w:ilvl w:val="0"/>
          <w:numId w:val="11"/>
        </w:numPr>
        <w:pBdr>
          <w:top w:val="nil"/>
          <w:left w:val="nil"/>
          <w:bottom w:val="nil"/>
          <w:right w:val="nil"/>
          <w:between w:val="nil"/>
        </w:pBdr>
        <w:spacing w:after="0" w:line="256" w:lineRule="auto"/>
        <w:ind w:right="0"/>
      </w:pPr>
      <w:r w:rsidRPr="0041756A">
        <w:rPr>
          <w:color w:val="000000"/>
        </w:rPr>
        <w:t xml:space="preserve">Reasonable travel costs (airfare, rental car, mileage, hotel) to attend the </w:t>
      </w:r>
      <w:r w:rsidR="008137EE">
        <w:rPr>
          <w:color w:val="000000"/>
        </w:rPr>
        <w:t xml:space="preserve">selected Targeted Professional </w:t>
      </w:r>
      <w:r w:rsidR="00F4252B">
        <w:rPr>
          <w:color w:val="000000"/>
        </w:rPr>
        <w:t xml:space="preserve">Learning up to the amount supported by district policy or </w:t>
      </w:r>
      <w:hyperlink r:id="rId15" w:history="1">
        <w:r w:rsidR="0091580C" w:rsidRPr="005030A0">
          <w:rPr>
            <w:rStyle w:val="URLChar"/>
          </w:rPr>
          <w:t>U.S. General Services Administration</w:t>
        </w:r>
      </w:hyperlink>
      <w:r w:rsidR="0091580C">
        <w:rPr>
          <w:color w:val="000000"/>
        </w:rPr>
        <w:t xml:space="preserve"> per diem </w:t>
      </w:r>
      <w:r w:rsidR="00260B70">
        <w:rPr>
          <w:color w:val="000000"/>
        </w:rPr>
        <w:t>and mileage rates</w:t>
      </w:r>
      <w:r w:rsidR="0091580C">
        <w:rPr>
          <w:color w:val="000000"/>
        </w:rPr>
        <w:t>.</w:t>
      </w:r>
    </w:p>
    <w:p w14:paraId="688D52A6" w14:textId="3B3CEF10" w:rsidR="008B4BFA" w:rsidRPr="008B4BFA" w:rsidRDefault="00900DA2" w:rsidP="008B4BFA">
      <w:pPr>
        <w:pStyle w:val="ListParagraph"/>
        <w:numPr>
          <w:ilvl w:val="1"/>
          <w:numId w:val="11"/>
        </w:numPr>
        <w:pBdr>
          <w:top w:val="nil"/>
          <w:left w:val="nil"/>
          <w:bottom w:val="nil"/>
          <w:right w:val="nil"/>
          <w:between w:val="nil"/>
        </w:pBdr>
        <w:spacing w:line="256" w:lineRule="auto"/>
        <w:ind w:right="0"/>
        <w:rPr>
          <w:i/>
          <w:iCs/>
        </w:rPr>
      </w:pPr>
      <w:r w:rsidRPr="0041756A">
        <w:rPr>
          <w:i/>
          <w:iCs/>
          <w:color w:val="000000"/>
        </w:rPr>
        <w:lastRenderedPageBreak/>
        <w:t xml:space="preserve">Note: Travel costs may </w:t>
      </w:r>
      <w:r w:rsidRPr="008137EE">
        <w:rPr>
          <w:i/>
          <w:iCs/>
          <w:color w:val="000000"/>
          <w:u w:val="single"/>
        </w:rPr>
        <w:t xml:space="preserve">NOT </w:t>
      </w:r>
      <w:proofErr w:type="gramStart"/>
      <w:r w:rsidRPr="0041756A">
        <w:rPr>
          <w:i/>
          <w:iCs/>
          <w:color w:val="000000"/>
        </w:rPr>
        <w:t>be awarded</w:t>
      </w:r>
      <w:proofErr w:type="gramEnd"/>
      <w:r w:rsidRPr="0041756A">
        <w:rPr>
          <w:i/>
          <w:iCs/>
          <w:color w:val="000000"/>
        </w:rPr>
        <w:t xml:space="preserve"> if requests exceed available funds in a given grant award year. Schools and districts may request funds for travel costs, but there is no guarantee that a grantee will receive funds for travel</w:t>
      </w:r>
      <w:r w:rsidR="0020624F">
        <w:rPr>
          <w:i/>
          <w:iCs/>
          <w:color w:val="000000"/>
        </w:rPr>
        <w:t xml:space="preserve"> in the final award amount</w:t>
      </w:r>
      <w:r w:rsidRPr="0041756A">
        <w:rPr>
          <w:i/>
          <w:iCs/>
          <w:color w:val="000000"/>
        </w:rPr>
        <w:t>.</w:t>
      </w:r>
    </w:p>
    <w:p w14:paraId="56D9D62C" w14:textId="31F997C6" w:rsidR="00582402" w:rsidRDefault="00326178" w:rsidP="001E6EFB">
      <w:pPr>
        <w:pBdr>
          <w:top w:val="nil"/>
          <w:left w:val="nil"/>
          <w:bottom w:val="nil"/>
          <w:right w:val="nil"/>
          <w:between w:val="nil"/>
        </w:pBdr>
        <w:spacing w:line="256" w:lineRule="auto"/>
      </w:pPr>
      <w:r>
        <w:rPr>
          <w:color w:val="000000"/>
        </w:rPr>
        <w:t xml:space="preserve">Other professional learning </w:t>
      </w:r>
      <w:r w:rsidR="004B5680">
        <w:rPr>
          <w:color w:val="000000"/>
        </w:rPr>
        <w:t xml:space="preserve">options </w:t>
      </w:r>
      <w:r>
        <w:rPr>
          <w:color w:val="000000"/>
        </w:rPr>
        <w:t xml:space="preserve">offered by an approved provider, but not on the approved professional learning </w:t>
      </w:r>
      <w:r w:rsidR="004B5680">
        <w:rPr>
          <w:color w:val="000000"/>
        </w:rPr>
        <w:t>list,</w:t>
      </w:r>
      <w:r>
        <w:rPr>
          <w:color w:val="000000"/>
        </w:rPr>
        <w:t xml:space="preserve"> are not allowable. </w:t>
      </w:r>
      <w:r w:rsidR="00582402">
        <w:rPr>
          <w:color w:val="000000"/>
        </w:rPr>
        <w:t xml:space="preserve">Funds may not </w:t>
      </w:r>
      <w:proofErr w:type="gramStart"/>
      <w:r w:rsidR="00582402">
        <w:rPr>
          <w:color w:val="000000"/>
        </w:rPr>
        <w:t>be used</w:t>
      </w:r>
      <w:proofErr w:type="gramEnd"/>
      <w:r w:rsidR="00582402">
        <w:rPr>
          <w:color w:val="000000"/>
        </w:rPr>
        <w:t xml:space="preserve"> to provide stipends or benefits for the participation of staff members outside of contract days/hours. Additionally, funds may not </w:t>
      </w:r>
      <w:proofErr w:type="gramStart"/>
      <w:r w:rsidR="00582402">
        <w:rPr>
          <w:color w:val="000000"/>
        </w:rPr>
        <w:t>be used</w:t>
      </w:r>
      <w:proofErr w:type="gramEnd"/>
      <w:r w:rsidR="00582402">
        <w:rPr>
          <w:color w:val="000000"/>
        </w:rPr>
        <w:t xml:space="preserve"> to support school or district implementation efforts stemming from </w:t>
      </w:r>
      <w:r w:rsidR="00587713">
        <w:rPr>
          <w:color w:val="000000"/>
        </w:rPr>
        <w:t>professional</w:t>
      </w:r>
      <w:r w:rsidR="006D15EC">
        <w:rPr>
          <w:color w:val="000000"/>
        </w:rPr>
        <w:t xml:space="preserve"> learning</w:t>
      </w:r>
      <w:r w:rsidR="00B813A7">
        <w:rPr>
          <w:color w:val="000000"/>
        </w:rPr>
        <w:t xml:space="preserve"> or additional services</w:t>
      </w:r>
      <w:r w:rsidR="00521793">
        <w:rPr>
          <w:color w:val="000000"/>
        </w:rPr>
        <w:t xml:space="preserve"> offered by the provider</w:t>
      </w:r>
      <w:r w:rsidR="00B813A7">
        <w:rPr>
          <w:color w:val="000000"/>
        </w:rPr>
        <w:t xml:space="preserve"> (</w:t>
      </w:r>
      <w:proofErr w:type="gramStart"/>
      <w:r w:rsidR="00B813A7">
        <w:rPr>
          <w:color w:val="000000"/>
        </w:rPr>
        <w:t>e.g.</w:t>
      </w:r>
      <w:proofErr w:type="gramEnd"/>
      <w:r w:rsidR="00B813A7">
        <w:rPr>
          <w:color w:val="000000"/>
        </w:rPr>
        <w:t xml:space="preserve"> follow up coaching services)</w:t>
      </w:r>
      <w:r w:rsidR="00521793">
        <w:rPr>
          <w:color w:val="000000"/>
        </w:rPr>
        <w:t>.</w:t>
      </w:r>
    </w:p>
    <w:p w14:paraId="3EB1FE53" w14:textId="61483A55" w:rsidR="00900DA2" w:rsidRDefault="00900DA2" w:rsidP="00223BCE">
      <w:r w:rsidRPr="00514BE5">
        <w:rPr>
          <w:rStyle w:val="Heading3Char"/>
        </w:rPr>
        <w:t>Budget Recommendations.</w:t>
      </w:r>
      <w:r>
        <w:t xml:space="preserve"> For the application submission, a draft budget should include the costs associated with the </w:t>
      </w:r>
      <w:r w:rsidR="00E32E23">
        <w:t>selected professional learning</w:t>
      </w:r>
      <w:r>
        <w:t xml:space="preserve">. Any expenses related to an external provider must </w:t>
      </w:r>
      <w:proofErr w:type="gramStart"/>
      <w:r>
        <w:t>be supported</w:t>
      </w:r>
      <w:proofErr w:type="gramEnd"/>
      <w:r>
        <w:t xml:space="preserve"> by a scope of work (draft version acceptable)</w:t>
      </w:r>
      <w:r w:rsidR="006854CB">
        <w:t xml:space="preserve"> or quote</w:t>
      </w:r>
      <w:r>
        <w:t xml:space="preserve"> that clearly outlines timelines, deliverables, </w:t>
      </w:r>
      <w:r w:rsidR="006854CB">
        <w:t xml:space="preserve">number of staff members, </w:t>
      </w:r>
      <w:r>
        <w:t>and costs for the eligible school.</w:t>
      </w:r>
    </w:p>
    <w:p w14:paraId="76A8B5BC" w14:textId="26E20432" w:rsidR="00E37281" w:rsidRPr="005408B8" w:rsidRDefault="00E37281" w:rsidP="00223BCE">
      <w:pPr>
        <w:pStyle w:val="Heading3"/>
        <w:rPr>
          <w:b w:val="0"/>
          <w:bCs w:val="0"/>
        </w:rPr>
      </w:pPr>
      <w:r>
        <w:t>Indirect Costs</w:t>
      </w:r>
      <w:r w:rsidR="00223BCE">
        <w:t xml:space="preserve">. </w:t>
      </w:r>
      <w:r w:rsidR="005408B8" w:rsidRPr="005B2A71">
        <w:rPr>
          <w:b w:val="0"/>
          <w:bCs w:val="0"/>
        </w:rPr>
        <w:t xml:space="preserve">Applicants may elect to </w:t>
      </w:r>
      <w:r w:rsidR="005408B8">
        <w:rPr>
          <w:b w:val="0"/>
          <w:bCs w:val="0"/>
        </w:rPr>
        <w:t xml:space="preserve">include </w:t>
      </w:r>
      <w:r w:rsidR="005408B8" w:rsidRPr="005B2A71">
        <w:rPr>
          <w:b w:val="0"/>
          <w:bCs w:val="0"/>
        </w:rPr>
        <w:t xml:space="preserve">indirect costs in the application budget. Indirect cost rates based on the district’s restricted indirect cost rate. The total request amount (indirect costs plus other budget lines) may not exceed the maximum allowable amount. There are </w:t>
      </w:r>
      <w:proofErr w:type="gramStart"/>
      <w:r w:rsidR="005408B8" w:rsidRPr="005B2A71">
        <w:rPr>
          <w:b w:val="0"/>
          <w:bCs w:val="0"/>
        </w:rPr>
        <w:t>some</w:t>
      </w:r>
      <w:proofErr w:type="gramEnd"/>
      <w:r w:rsidR="005408B8" w:rsidRPr="005B2A71">
        <w:rPr>
          <w:b w:val="0"/>
          <w:bCs w:val="0"/>
        </w:rPr>
        <w:t xml:space="preserve"> exclusions for distorting items that apply, such as the limitation of </w:t>
      </w:r>
      <w:proofErr w:type="spellStart"/>
      <w:r w:rsidR="005408B8" w:rsidRPr="005B2A71">
        <w:rPr>
          <w:b w:val="0"/>
          <w:bCs w:val="0"/>
        </w:rPr>
        <w:t>indirects</w:t>
      </w:r>
      <w:proofErr w:type="spellEnd"/>
      <w:r w:rsidR="005408B8" w:rsidRPr="005B2A71">
        <w:rPr>
          <w:b w:val="0"/>
          <w:bCs w:val="0"/>
        </w:rPr>
        <w:t xml:space="preserve"> on the first $50,000 on provider contracted services. Grantees should note that indirect costs </w:t>
      </w:r>
      <w:proofErr w:type="gramStart"/>
      <w:r w:rsidR="005408B8" w:rsidRPr="005B2A71">
        <w:rPr>
          <w:b w:val="0"/>
          <w:bCs w:val="0"/>
        </w:rPr>
        <w:t>are only allowed</w:t>
      </w:r>
      <w:proofErr w:type="gramEnd"/>
      <w:r w:rsidR="005408B8" w:rsidRPr="005B2A71">
        <w:rPr>
          <w:b w:val="0"/>
          <w:bCs w:val="0"/>
        </w:rPr>
        <w:t xml:space="preserve"> on federal awards. If the grantee receives a state award, indirect costs must </w:t>
      </w:r>
      <w:proofErr w:type="gramStart"/>
      <w:r w:rsidR="005408B8" w:rsidRPr="005B2A71">
        <w:rPr>
          <w:b w:val="0"/>
          <w:bCs w:val="0"/>
        </w:rPr>
        <w:t>be removed</w:t>
      </w:r>
      <w:proofErr w:type="gramEnd"/>
      <w:r w:rsidR="005408B8" w:rsidRPr="005B2A71">
        <w:rPr>
          <w:b w:val="0"/>
          <w:bCs w:val="0"/>
        </w:rPr>
        <w:t xml:space="preserve"> during the post-award revision process. More information regarding indirect cost rates is available on CDE’s School Finance webpage at </w:t>
      </w:r>
      <w:hyperlink r:id="rId16" w:history="1">
        <w:r w:rsidR="005408B8" w:rsidRPr="002E3F4E">
          <w:rPr>
            <w:rStyle w:val="URLChar"/>
            <w:b w:val="0"/>
            <w:bCs w:val="0"/>
          </w:rPr>
          <w:t>https://www.cde.state.co.us/cdefinance/icrc</w:t>
        </w:r>
      </w:hyperlink>
      <w:r w:rsidR="005408B8" w:rsidRPr="005B2A71">
        <w:rPr>
          <w:b w:val="0"/>
          <w:bCs w:val="0"/>
        </w:rPr>
        <w:t>.</w:t>
      </w:r>
    </w:p>
    <w:p w14:paraId="7C179B19" w14:textId="77777777" w:rsidR="00900DA2" w:rsidRPr="00514BE5" w:rsidRDefault="00900DA2" w:rsidP="00514BE5">
      <w:pPr>
        <w:pStyle w:val="Heading3"/>
      </w:pPr>
      <w:r w:rsidRPr="00514BE5">
        <w:rPr>
          <w:rStyle w:val="Heading3Char"/>
          <w:b/>
          <w:bCs/>
        </w:rPr>
        <w:t>Fund Considerations</w:t>
      </w:r>
      <w:r w:rsidRPr="00514BE5">
        <w:t xml:space="preserve">. </w:t>
      </w:r>
    </w:p>
    <w:p w14:paraId="7AFD1230" w14:textId="77777777" w:rsidR="002B6436" w:rsidRDefault="002B6436" w:rsidP="002B6436">
      <w:pPr>
        <w:pStyle w:val="ListParagraph"/>
        <w:numPr>
          <w:ilvl w:val="0"/>
          <w:numId w:val="13"/>
        </w:numPr>
        <w:spacing w:after="0" w:line="259" w:lineRule="auto"/>
        <w:ind w:right="0"/>
      </w:pPr>
      <w:r>
        <w:t xml:space="preserve">Funds from this opportunity must </w:t>
      </w:r>
      <w:proofErr w:type="gramStart"/>
      <w:r>
        <w:t>be used</w:t>
      </w:r>
      <w:proofErr w:type="gramEnd"/>
      <w:r>
        <w:t xml:space="preserve"> to </w:t>
      </w:r>
      <w:r w:rsidRPr="00514BE5">
        <w:rPr>
          <w:b/>
        </w:rPr>
        <w:t>supplement and not supplant</w:t>
      </w:r>
      <w:r>
        <w:t xml:space="preserve"> any federal, state, and local funds currently </w:t>
      </w:r>
      <w:proofErr w:type="gramStart"/>
      <w:r>
        <w:t>being used</w:t>
      </w:r>
      <w:proofErr w:type="gramEnd"/>
      <w:r>
        <w:t xml:space="preserve"> to provide activities. </w:t>
      </w:r>
    </w:p>
    <w:p w14:paraId="66E0A96D" w14:textId="14FFDC30" w:rsidR="00D87DC6" w:rsidRDefault="00D87DC6" w:rsidP="008D0DF8">
      <w:pPr>
        <w:pStyle w:val="ListParagraph"/>
        <w:numPr>
          <w:ilvl w:val="0"/>
          <w:numId w:val="13"/>
        </w:numPr>
        <w:spacing w:after="0" w:line="259" w:lineRule="auto"/>
        <w:ind w:right="0"/>
      </w:pPr>
      <w:r>
        <w:t xml:space="preserve">Post-award revisions must </w:t>
      </w:r>
      <w:proofErr w:type="gramStart"/>
      <w:r>
        <w:t>be submitted</w:t>
      </w:r>
      <w:proofErr w:type="gramEnd"/>
      <w:r>
        <w:t xml:space="preserve"> and approved in the online system prior to incurring expenses. Any expenses incurred prior to approval are the responsibility of the LEA</w:t>
      </w:r>
      <w:r w:rsidR="008D0DF8">
        <w:t xml:space="preserve">. All post-award revisions must </w:t>
      </w:r>
      <w:proofErr w:type="gramStart"/>
      <w:r w:rsidR="008D0DF8">
        <w:t>be approved</w:t>
      </w:r>
      <w:proofErr w:type="gramEnd"/>
      <w:r w:rsidR="008D0DF8">
        <w:t xml:space="preserve"> by 06/30.</w:t>
      </w:r>
    </w:p>
    <w:p w14:paraId="44798304" w14:textId="77777777" w:rsidR="002B6436" w:rsidRPr="00752A3E" w:rsidRDefault="002B6436" w:rsidP="002B6436">
      <w:pPr>
        <w:pStyle w:val="ListParagraph"/>
        <w:numPr>
          <w:ilvl w:val="0"/>
          <w:numId w:val="13"/>
        </w:numPr>
        <w:spacing w:after="0" w:line="259" w:lineRule="auto"/>
        <w:ind w:right="0"/>
      </w:pPr>
      <w:r w:rsidRPr="00752A3E">
        <w:t xml:space="preserve">For federal awards, funds must </w:t>
      </w:r>
      <w:proofErr w:type="gramStart"/>
      <w:r w:rsidRPr="00752A3E">
        <w:t>be obligated</w:t>
      </w:r>
      <w:proofErr w:type="gramEnd"/>
      <w:r w:rsidRPr="00752A3E">
        <w:t xml:space="preserve"> by 09/30 and requested by 11/1 of each respective fiscal year.</w:t>
      </w:r>
    </w:p>
    <w:p w14:paraId="04A3F6BD" w14:textId="77777777" w:rsidR="002B6436" w:rsidRDefault="002B6436" w:rsidP="002B6436">
      <w:pPr>
        <w:pStyle w:val="ListParagraph"/>
        <w:numPr>
          <w:ilvl w:val="0"/>
          <w:numId w:val="13"/>
        </w:numPr>
        <w:spacing w:after="0" w:line="259" w:lineRule="auto"/>
        <w:ind w:right="0"/>
      </w:pPr>
      <w:r w:rsidRPr="00752A3E">
        <w:t xml:space="preserve">For state awards, funds must </w:t>
      </w:r>
      <w:proofErr w:type="gramStart"/>
      <w:r w:rsidRPr="00752A3E">
        <w:t>be obligated</w:t>
      </w:r>
      <w:proofErr w:type="gramEnd"/>
      <w:r w:rsidRPr="00752A3E">
        <w:t xml:space="preserve"> by 06/30 of the final year of the grant cycle.</w:t>
      </w:r>
    </w:p>
    <w:p w14:paraId="213D72AD" w14:textId="77777777" w:rsidR="002B6436" w:rsidRDefault="002B6436" w:rsidP="002B6436">
      <w:pPr>
        <w:pStyle w:val="ListParagraph"/>
        <w:numPr>
          <w:ilvl w:val="0"/>
          <w:numId w:val="13"/>
        </w:numPr>
        <w:spacing w:after="0" w:line="259" w:lineRule="auto"/>
        <w:ind w:right="0"/>
      </w:pPr>
      <w:r>
        <w:t xml:space="preserve">A school or district may carry funds forward in alignment with funding source restrictions and with CDE approval. At the end of the grant performance period, any non-requested federal funds are reverted and any unspent state funds must </w:t>
      </w:r>
      <w:proofErr w:type="gramStart"/>
      <w:r>
        <w:t>be returned</w:t>
      </w:r>
      <w:proofErr w:type="gramEnd"/>
      <w:r>
        <w:t xml:space="preserve"> to the state.</w:t>
      </w:r>
    </w:p>
    <w:p w14:paraId="4D650B4C" w14:textId="77777777" w:rsidR="002B6436" w:rsidRDefault="002B6436" w:rsidP="002B6436">
      <w:pPr>
        <w:pStyle w:val="ListParagraph"/>
        <w:numPr>
          <w:ilvl w:val="0"/>
          <w:numId w:val="13"/>
        </w:numPr>
        <w:spacing w:after="0" w:line="259" w:lineRule="auto"/>
        <w:ind w:right="0"/>
      </w:pPr>
      <w:r>
        <w:t xml:space="preserve">CDE may terminate a grant award upon thirty days’ notice if it </w:t>
      </w:r>
      <w:proofErr w:type="gramStart"/>
      <w:r>
        <w:t>is deemed</w:t>
      </w:r>
      <w:proofErr w:type="gramEnd"/>
      <w:r>
        <w:t xml:space="preserve"> by CDE that the applicant is not fulfilling the requirements of the funded program as specified in the approved project application, or if the program is generating less than satisfactory results.</w:t>
      </w:r>
    </w:p>
    <w:p w14:paraId="386F4225" w14:textId="77777777" w:rsidR="002B6436" w:rsidRDefault="002B6436" w:rsidP="002B6436">
      <w:pPr>
        <w:pStyle w:val="ListParagraph"/>
        <w:numPr>
          <w:ilvl w:val="0"/>
          <w:numId w:val="13"/>
        </w:numPr>
        <w:spacing w:after="0" w:line="259" w:lineRule="auto"/>
        <w:ind w:right="0"/>
      </w:pPr>
      <w:r>
        <w:t>Multi-year or future award year amounts are contingent on allocations of state and federal funds to CDE in each respective fiscal year.</w:t>
      </w:r>
    </w:p>
    <w:p w14:paraId="2B6AFBF5" w14:textId="77777777" w:rsidR="00900DA2" w:rsidRDefault="00900DA2" w:rsidP="004223A7">
      <w:pPr>
        <w:pStyle w:val="Heading2"/>
        <w:spacing w:before="0" w:after="0"/>
        <w:rPr>
          <w:rFonts w:eastAsia="Calibri" w:cs="Calibri"/>
        </w:rPr>
      </w:pPr>
      <w:r>
        <w:rPr>
          <w:rFonts w:eastAsia="Calibri" w:cs="Calibri"/>
        </w:rPr>
        <w:t>Important Program Dates</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25"/>
        <w:gridCol w:w="7465"/>
      </w:tblGrid>
      <w:tr w:rsidR="00900DA2" w14:paraId="65B33A83" w14:textId="77777777" w:rsidTr="008A6B19">
        <w:trPr>
          <w:jc w:val="center"/>
        </w:trPr>
        <w:tc>
          <w:tcPr>
            <w:tcW w:w="3325" w:type="dxa"/>
            <w:shd w:val="clear" w:color="auto" w:fill="D9D9D9" w:themeFill="background1" w:themeFillShade="D9"/>
            <w:vAlign w:val="center"/>
          </w:tcPr>
          <w:p w14:paraId="4250A0F9" w14:textId="77777777" w:rsidR="00900DA2" w:rsidRPr="001559A8" w:rsidRDefault="00900DA2" w:rsidP="004223A7">
            <w:pPr>
              <w:pBdr>
                <w:top w:val="nil"/>
                <w:left w:val="nil"/>
                <w:bottom w:val="nil"/>
                <w:right w:val="nil"/>
                <w:between w:val="nil"/>
              </w:pBdr>
              <w:spacing w:after="0"/>
              <w:jc w:val="center"/>
              <w:rPr>
                <w:b/>
              </w:rPr>
            </w:pPr>
            <w:r w:rsidRPr="001559A8">
              <w:rPr>
                <w:b/>
              </w:rPr>
              <w:t>Program Dates</w:t>
            </w:r>
          </w:p>
        </w:tc>
        <w:tc>
          <w:tcPr>
            <w:tcW w:w="7465" w:type="dxa"/>
            <w:shd w:val="clear" w:color="auto" w:fill="D9D9D9" w:themeFill="background1" w:themeFillShade="D9"/>
            <w:vAlign w:val="center"/>
          </w:tcPr>
          <w:p w14:paraId="2A3C486D" w14:textId="77777777" w:rsidR="00900DA2" w:rsidRPr="001559A8" w:rsidRDefault="00900DA2" w:rsidP="004223A7">
            <w:pPr>
              <w:pBdr>
                <w:top w:val="nil"/>
                <w:left w:val="nil"/>
                <w:bottom w:val="nil"/>
                <w:right w:val="nil"/>
                <w:between w:val="nil"/>
              </w:pBdr>
              <w:spacing w:after="0"/>
              <w:jc w:val="center"/>
              <w:rPr>
                <w:b/>
                <w:color w:val="000000"/>
              </w:rPr>
            </w:pPr>
            <w:r w:rsidRPr="001559A8">
              <w:rPr>
                <w:b/>
                <w:color w:val="000000"/>
              </w:rPr>
              <w:t>Activity</w:t>
            </w:r>
          </w:p>
        </w:tc>
      </w:tr>
      <w:tr w:rsidR="00900DA2" w14:paraId="473C8285" w14:textId="77777777" w:rsidTr="007E060A">
        <w:trPr>
          <w:jc w:val="center"/>
        </w:trPr>
        <w:tc>
          <w:tcPr>
            <w:tcW w:w="3325" w:type="dxa"/>
            <w:shd w:val="clear" w:color="auto" w:fill="C5D3FF"/>
            <w:vAlign w:val="center"/>
          </w:tcPr>
          <w:p w14:paraId="27D8A748" w14:textId="77777777" w:rsidR="00900DA2" w:rsidRDefault="00900DA2" w:rsidP="004223A7">
            <w:pPr>
              <w:pBdr>
                <w:top w:val="nil"/>
                <w:left w:val="nil"/>
                <w:bottom w:val="nil"/>
                <w:right w:val="nil"/>
                <w:between w:val="nil"/>
              </w:pBdr>
              <w:spacing w:after="0"/>
              <w:jc w:val="center"/>
              <w:rPr>
                <w:b/>
                <w:color w:val="000000"/>
              </w:rPr>
            </w:pPr>
            <w:r>
              <w:rPr>
                <w:b/>
              </w:rPr>
              <w:t>September- December</w:t>
            </w:r>
          </w:p>
        </w:tc>
        <w:tc>
          <w:tcPr>
            <w:tcW w:w="7465" w:type="dxa"/>
            <w:vAlign w:val="center"/>
          </w:tcPr>
          <w:p w14:paraId="3D963A04" w14:textId="77777777" w:rsidR="00900DA2" w:rsidRDefault="00900DA2" w:rsidP="004223A7">
            <w:pPr>
              <w:pBdr>
                <w:top w:val="nil"/>
                <w:left w:val="nil"/>
                <w:bottom w:val="nil"/>
                <w:right w:val="nil"/>
                <w:between w:val="nil"/>
              </w:pBdr>
              <w:spacing w:after="0"/>
              <w:rPr>
                <w:color w:val="000000"/>
              </w:rPr>
            </w:pPr>
            <w:r>
              <w:rPr>
                <w:color w:val="000000"/>
              </w:rPr>
              <w:t>Meet with CDE School Transformation Manager to discuss interest in applying for support and outline a proposed budget</w:t>
            </w:r>
          </w:p>
        </w:tc>
      </w:tr>
      <w:tr w:rsidR="00900DA2" w14:paraId="6947D68F" w14:textId="77777777" w:rsidTr="007E060A">
        <w:trPr>
          <w:jc w:val="center"/>
        </w:trPr>
        <w:tc>
          <w:tcPr>
            <w:tcW w:w="3325" w:type="dxa"/>
            <w:shd w:val="clear" w:color="auto" w:fill="C5D3FF"/>
            <w:vAlign w:val="center"/>
          </w:tcPr>
          <w:p w14:paraId="776804B3" w14:textId="77777777" w:rsidR="00900DA2" w:rsidRDefault="00900DA2" w:rsidP="004223A7">
            <w:pPr>
              <w:pBdr>
                <w:top w:val="nil"/>
                <w:left w:val="nil"/>
                <w:bottom w:val="nil"/>
                <w:right w:val="nil"/>
                <w:between w:val="nil"/>
              </w:pBdr>
              <w:spacing w:after="0"/>
              <w:jc w:val="center"/>
              <w:rPr>
                <w:b/>
                <w:color w:val="000000"/>
              </w:rPr>
            </w:pPr>
            <w:r>
              <w:rPr>
                <w:b/>
                <w:color w:val="000000"/>
              </w:rPr>
              <w:t xml:space="preserve">December </w:t>
            </w:r>
          </w:p>
        </w:tc>
        <w:tc>
          <w:tcPr>
            <w:tcW w:w="7465" w:type="dxa"/>
            <w:vAlign w:val="center"/>
          </w:tcPr>
          <w:p w14:paraId="6C8945CE" w14:textId="77777777" w:rsidR="00900DA2" w:rsidRDefault="00900DA2" w:rsidP="004223A7">
            <w:pPr>
              <w:pBdr>
                <w:top w:val="nil"/>
                <w:left w:val="nil"/>
                <w:bottom w:val="nil"/>
                <w:right w:val="nil"/>
                <w:between w:val="nil"/>
              </w:pBdr>
              <w:spacing w:after="0"/>
              <w:rPr>
                <w:color w:val="000000"/>
              </w:rPr>
            </w:pPr>
            <w:r>
              <w:rPr>
                <w:color w:val="000000"/>
              </w:rPr>
              <w:t xml:space="preserve">Application </w:t>
            </w:r>
            <w:r>
              <w:t>d</w:t>
            </w:r>
            <w:r>
              <w:rPr>
                <w:color w:val="000000"/>
              </w:rPr>
              <w:t xml:space="preserve">ue </w:t>
            </w:r>
          </w:p>
        </w:tc>
      </w:tr>
      <w:tr w:rsidR="00900DA2" w14:paraId="7546A0BE" w14:textId="77777777" w:rsidTr="007E060A">
        <w:trPr>
          <w:jc w:val="center"/>
        </w:trPr>
        <w:tc>
          <w:tcPr>
            <w:tcW w:w="3325" w:type="dxa"/>
            <w:shd w:val="clear" w:color="auto" w:fill="C5D3FF"/>
            <w:vAlign w:val="center"/>
          </w:tcPr>
          <w:p w14:paraId="03FF2D5B" w14:textId="77777777" w:rsidR="00900DA2" w:rsidRDefault="00900DA2" w:rsidP="004223A7">
            <w:pPr>
              <w:pBdr>
                <w:top w:val="nil"/>
                <w:left w:val="nil"/>
                <w:bottom w:val="nil"/>
                <w:right w:val="nil"/>
                <w:between w:val="nil"/>
              </w:pBdr>
              <w:spacing w:after="0"/>
              <w:jc w:val="center"/>
              <w:rPr>
                <w:b/>
                <w:color w:val="000000"/>
                <w:highlight w:val="yellow"/>
              </w:rPr>
            </w:pPr>
            <w:r>
              <w:rPr>
                <w:b/>
              </w:rPr>
              <w:t>January</w:t>
            </w:r>
          </w:p>
        </w:tc>
        <w:tc>
          <w:tcPr>
            <w:tcW w:w="7465" w:type="dxa"/>
            <w:vAlign w:val="center"/>
          </w:tcPr>
          <w:p w14:paraId="6F7BA3C5" w14:textId="77777777" w:rsidR="00900DA2" w:rsidRDefault="00900DA2" w:rsidP="004223A7">
            <w:pPr>
              <w:pBdr>
                <w:top w:val="nil"/>
                <w:left w:val="nil"/>
                <w:bottom w:val="nil"/>
                <w:right w:val="nil"/>
                <w:between w:val="nil"/>
              </w:pBdr>
              <w:spacing w:after="0"/>
              <w:rPr>
                <w:color w:val="000000"/>
              </w:rPr>
            </w:pPr>
            <w:r>
              <w:t>Award notifications</w:t>
            </w:r>
          </w:p>
        </w:tc>
      </w:tr>
      <w:tr w:rsidR="00900DA2" w14:paraId="5333F160" w14:textId="77777777" w:rsidTr="007E060A">
        <w:trPr>
          <w:jc w:val="center"/>
        </w:trPr>
        <w:tc>
          <w:tcPr>
            <w:tcW w:w="3325" w:type="dxa"/>
            <w:shd w:val="clear" w:color="auto" w:fill="C5D3FF"/>
            <w:vAlign w:val="center"/>
          </w:tcPr>
          <w:p w14:paraId="5A912C7D" w14:textId="77777777" w:rsidR="00900DA2" w:rsidRDefault="007E060A" w:rsidP="004223A7">
            <w:pPr>
              <w:pBdr>
                <w:top w:val="nil"/>
                <w:left w:val="nil"/>
                <w:bottom w:val="nil"/>
                <w:right w:val="nil"/>
                <w:between w:val="nil"/>
              </w:pBdr>
              <w:spacing w:after="0"/>
              <w:jc w:val="center"/>
              <w:rPr>
                <w:b/>
              </w:rPr>
            </w:pPr>
            <w:r>
              <w:rPr>
                <w:b/>
              </w:rPr>
              <w:lastRenderedPageBreak/>
              <w:t>Year 1 awards</w:t>
            </w:r>
          </w:p>
          <w:p w14:paraId="73FDEDD5" w14:textId="77777777" w:rsidR="007E060A" w:rsidRDefault="007E060A" w:rsidP="004223A7">
            <w:pPr>
              <w:pBdr>
                <w:top w:val="nil"/>
                <w:left w:val="nil"/>
                <w:bottom w:val="nil"/>
                <w:right w:val="nil"/>
                <w:between w:val="nil"/>
              </w:pBdr>
              <w:spacing w:after="0"/>
              <w:jc w:val="center"/>
              <w:rPr>
                <w:b/>
              </w:rPr>
            </w:pPr>
            <w:r>
              <w:rPr>
                <w:b/>
              </w:rPr>
              <w:t>January-September 30</w:t>
            </w:r>
          </w:p>
          <w:p w14:paraId="319193AF" w14:textId="7BAF2E2D" w:rsidR="00E776C0" w:rsidRDefault="00E776C0" w:rsidP="004223A7">
            <w:pPr>
              <w:pBdr>
                <w:top w:val="nil"/>
                <w:left w:val="nil"/>
                <w:bottom w:val="nil"/>
                <w:right w:val="nil"/>
                <w:between w:val="nil"/>
              </w:pBdr>
              <w:spacing w:after="0"/>
              <w:jc w:val="center"/>
              <w:rPr>
                <w:b/>
              </w:rPr>
            </w:pPr>
            <w:r>
              <w:rPr>
                <w:b/>
              </w:rPr>
              <w:t>-OR-</w:t>
            </w:r>
          </w:p>
        </w:tc>
        <w:tc>
          <w:tcPr>
            <w:tcW w:w="7465" w:type="dxa"/>
            <w:vAlign w:val="center"/>
          </w:tcPr>
          <w:p w14:paraId="38DB6163" w14:textId="51323AF1" w:rsidR="00900DA2" w:rsidRDefault="007E060A" w:rsidP="004223A7">
            <w:pPr>
              <w:pBdr>
                <w:top w:val="nil"/>
                <w:left w:val="nil"/>
                <w:bottom w:val="nil"/>
                <w:right w:val="nil"/>
                <w:between w:val="nil"/>
              </w:pBdr>
              <w:spacing w:after="0"/>
            </w:pPr>
            <w:r>
              <w:t>Grantees attend selected Targeted Professional Learning</w:t>
            </w:r>
            <w:r w:rsidR="003023E1">
              <w:t xml:space="preserve"> and complete the required </w:t>
            </w:r>
            <w:r w:rsidR="00BC172E">
              <w:t xml:space="preserve">evaluation </w:t>
            </w:r>
            <w:r w:rsidR="003023E1">
              <w:t>survey at the end</w:t>
            </w:r>
            <w:r w:rsidR="00C71664">
              <w:t xml:space="preserve"> of the grant cycle.</w:t>
            </w:r>
          </w:p>
        </w:tc>
      </w:tr>
      <w:tr w:rsidR="00900DA2" w14:paraId="262AE7FF" w14:textId="77777777" w:rsidTr="007E060A">
        <w:trPr>
          <w:jc w:val="center"/>
        </w:trPr>
        <w:tc>
          <w:tcPr>
            <w:tcW w:w="3325" w:type="dxa"/>
            <w:shd w:val="clear" w:color="auto" w:fill="C5D3FF"/>
            <w:vAlign w:val="center"/>
          </w:tcPr>
          <w:p w14:paraId="300AD769" w14:textId="77777777" w:rsidR="00900DA2" w:rsidRDefault="003023E1" w:rsidP="004223A7">
            <w:pPr>
              <w:pBdr>
                <w:top w:val="nil"/>
                <w:left w:val="nil"/>
                <w:bottom w:val="nil"/>
                <w:right w:val="nil"/>
                <w:between w:val="nil"/>
              </w:pBdr>
              <w:spacing w:after="0"/>
              <w:jc w:val="center"/>
              <w:rPr>
                <w:b/>
              </w:rPr>
            </w:pPr>
            <w:r>
              <w:rPr>
                <w:b/>
              </w:rPr>
              <w:t>Year 2 awards</w:t>
            </w:r>
          </w:p>
          <w:p w14:paraId="0ABFC49F" w14:textId="4B0E7381" w:rsidR="003023E1" w:rsidRDefault="003023E1" w:rsidP="004223A7">
            <w:pPr>
              <w:pBdr>
                <w:top w:val="nil"/>
                <w:left w:val="nil"/>
                <w:bottom w:val="nil"/>
                <w:right w:val="nil"/>
                <w:between w:val="nil"/>
              </w:pBdr>
              <w:spacing w:after="0"/>
              <w:jc w:val="center"/>
              <w:rPr>
                <w:b/>
              </w:rPr>
            </w:pPr>
            <w:r>
              <w:rPr>
                <w:b/>
              </w:rPr>
              <w:t>July 1-</w:t>
            </w:r>
            <w:r w:rsidR="00B73505">
              <w:rPr>
                <w:b/>
              </w:rPr>
              <w:t xml:space="preserve"> </w:t>
            </w:r>
            <w:r>
              <w:rPr>
                <w:b/>
              </w:rPr>
              <w:t>June 30</w:t>
            </w:r>
          </w:p>
        </w:tc>
        <w:tc>
          <w:tcPr>
            <w:tcW w:w="7465" w:type="dxa"/>
            <w:vAlign w:val="center"/>
          </w:tcPr>
          <w:p w14:paraId="79E6CBF1" w14:textId="425E476B" w:rsidR="00900DA2" w:rsidRDefault="00B73505" w:rsidP="004223A7">
            <w:pPr>
              <w:pBdr>
                <w:top w:val="nil"/>
                <w:left w:val="nil"/>
                <w:bottom w:val="nil"/>
                <w:right w:val="nil"/>
                <w:between w:val="nil"/>
              </w:pBdr>
              <w:spacing w:after="0"/>
            </w:pPr>
            <w:r>
              <w:t xml:space="preserve">Grantees attend selected Targeted Professional Learning and complete the required </w:t>
            </w:r>
            <w:r w:rsidR="00BC172E">
              <w:t>evaluation</w:t>
            </w:r>
            <w:r>
              <w:t xml:space="preserve"> survey at the end</w:t>
            </w:r>
            <w:r w:rsidR="00C71664">
              <w:t xml:space="preserve"> of the grant cycle</w:t>
            </w:r>
            <w:r>
              <w:t>.</w:t>
            </w:r>
          </w:p>
        </w:tc>
      </w:tr>
    </w:tbl>
    <w:p w14:paraId="5712D676" w14:textId="77777777" w:rsidR="00900DA2" w:rsidRDefault="00900DA2" w:rsidP="004223A7">
      <w:pPr>
        <w:spacing w:after="0"/>
      </w:pPr>
    </w:p>
    <w:p w14:paraId="08BA48E2" w14:textId="77777777" w:rsidR="00900DA2" w:rsidRDefault="00900DA2" w:rsidP="004223A7">
      <w:pPr>
        <w:pStyle w:val="Heading2"/>
        <w:spacing w:before="0" w:after="0"/>
        <w:rPr>
          <w:rFonts w:eastAsia="Calibri" w:cs="Calibri"/>
        </w:rPr>
      </w:pPr>
      <w:r>
        <w:rPr>
          <w:rFonts w:eastAsia="Calibri" w:cs="Calibri"/>
        </w:rPr>
        <w:t>Evaluation and Reporting</w:t>
      </w:r>
    </w:p>
    <w:p w14:paraId="6D8ABBAC" w14:textId="77777777" w:rsidR="00900DA2" w:rsidRDefault="00900DA2" w:rsidP="004223A7">
      <w:pPr>
        <w:spacing w:after="0"/>
      </w:pPr>
      <w:r>
        <w:t>Each grantee of the program must, at a minimum, agree to the following evaluation, reporting, and/or progress monitoring components:</w:t>
      </w:r>
    </w:p>
    <w:p w14:paraId="7E4EB0D0" w14:textId="664C94CC" w:rsidR="00900DA2" w:rsidRPr="00237FC1" w:rsidRDefault="00900DA2" w:rsidP="00A67EEC">
      <w:pPr>
        <w:pStyle w:val="ListParagraph"/>
        <w:numPr>
          <w:ilvl w:val="0"/>
          <w:numId w:val="15"/>
        </w:numPr>
        <w:pBdr>
          <w:top w:val="nil"/>
          <w:left w:val="nil"/>
          <w:bottom w:val="nil"/>
          <w:right w:val="nil"/>
          <w:between w:val="nil"/>
        </w:pBdr>
        <w:spacing w:after="0" w:line="256" w:lineRule="auto"/>
        <w:ind w:right="0"/>
        <w:rPr>
          <w:color w:val="000000"/>
        </w:rPr>
      </w:pPr>
      <w:r w:rsidRPr="00237FC1">
        <w:rPr>
          <w:color w:val="000000"/>
        </w:rPr>
        <w:t xml:space="preserve">Each </w:t>
      </w:r>
      <w:r w:rsidR="00237FC1">
        <w:rPr>
          <w:color w:val="000000"/>
        </w:rPr>
        <w:t>Targeted Professional Learning participant</w:t>
      </w:r>
      <w:r w:rsidRPr="00237FC1">
        <w:rPr>
          <w:color w:val="000000"/>
        </w:rPr>
        <w:t xml:space="preserve"> must report on the following through a survey evaluation:</w:t>
      </w:r>
    </w:p>
    <w:p w14:paraId="75DE6AF6" w14:textId="29D4C3FC" w:rsidR="00237FC1" w:rsidRPr="00A67EEC" w:rsidRDefault="00900DA2" w:rsidP="00237FC1">
      <w:pPr>
        <w:pStyle w:val="ListParagraph"/>
        <w:numPr>
          <w:ilvl w:val="1"/>
          <w:numId w:val="15"/>
        </w:numPr>
        <w:pBdr>
          <w:top w:val="nil"/>
          <w:left w:val="nil"/>
          <w:bottom w:val="nil"/>
          <w:right w:val="nil"/>
          <w:between w:val="nil"/>
        </w:pBdr>
        <w:spacing w:after="0" w:line="256" w:lineRule="auto"/>
        <w:ind w:right="0"/>
        <w:rPr>
          <w:color w:val="000000"/>
        </w:rPr>
      </w:pPr>
      <w:r w:rsidRPr="00A67EEC">
        <w:rPr>
          <w:color w:val="000000"/>
        </w:rPr>
        <w:t>Impact on school systems and staff practices aligned to the Four Domains for Rapid School Improvement</w:t>
      </w:r>
      <w:r w:rsidR="009243E7">
        <w:rPr>
          <w:color w:val="000000"/>
        </w:rPr>
        <w:t>;</w:t>
      </w:r>
    </w:p>
    <w:p w14:paraId="70BA5993" w14:textId="714588FF" w:rsidR="00900DA2" w:rsidRPr="009243E7" w:rsidRDefault="009243E7" w:rsidP="00A67EEC">
      <w:pPr>
        <w:pStyle w:val="ListParagraph"/>
        <w:numPr>
          <w:ilvl w:val="1"/>
          <w:numId w:val="15"/>
        </w:numPr>
        <w:pBdr>
          <w:top w:val="nil"/>
          <w:left w:val="nil"/>
          <w:bottom w:val="nil"/>
          <w:right w:val="nil"/>
          <w:between w:val="nil"/>
        </w:pBdr>
        <w:spacing w:after="0" w:line="256" w:lineRule="auto"/>
        <w:ind w:right="0"/>
      </w:pPr>
      <w:r>
        <w:rPr>
          <w:color w:val="000000"/>
        </w:rPr>
        <w:t>Transferability of learning into practice; and</w:t>
      </w:r>
    </w:p>
    <w:p w14:paraId="22923766" w14:textId="74BBDAAE" w:rsidR="009243E7" w:rsidRPr="00A67EEC" w:rsidRDefault="009243E7" w:rsidP="00A67EEC">
      <w:pPr>
        <w:pStyle w:val="ListParagraph"/>
        <w:numPr>
          <w:ilvl w:val="1"/>
          <w:numId w:val="15"/>
        </w:numPr>
        <w:pBdr>
          <w:top w:val="nil"/>
          <w:left w:val="nil"/>
          <w:bottom w:val="nil"/>
          <w:right w:val="nil"/>
          <w:between w:val="nil"/>
        </w:pBdr>
        <w:spacing w:after="0" w:line="256" w:lineRule="auto"/>
        <w:ind w:right="0"/>
      </w:pPr>
      <w:r>
        <w:t>Quality of professional learning experience</w:t>
      </w:r>
    </w:p>
    <w:p w14:paraId="76B2B1E0" w14:textId="363E2F11" w:rsidR="00A67EEC" w:rsidRDefault="00A67EEC" w:rsidP="00A67EEC">
      <w:pPr>
        <w:pStyle w:val="ListParagraph"/>
        <w:numPr>
          <w:ilvl w:val="0"/>
          <w:numId w:val="15"/>
        </w:numPr>
        <w:pBdr>
          <w:top w:val="nil"/>
          <w:left w:val="nil"/>
          <w:bottom w:val="nil"/>
          <w:right w:val="nil"/>
          <w:between w:val="nil"/>
        </w:pBdr>
        <w:spacing w:after="0" w:line="256" w:lineRule="auto"/>
        <w:ind w:right="0"/>
      </w:pPr>
      <w:r>
        <w:rPr>
          <w:color w:val="000000"/>
        </w:rPr>
        <w:t xml:space="preserve">Any school or district contact working with an approved external provider funded through the EASI grant may </w:t>
      </w:r>
      <w:proofErr w:type="gramStart"/>
      <w:r>
        <w:rPr>
          <w:color w:val="000000"/>
        </w:rPr>
        <w:t>be asked</w:t>
      </w:r>
      <w:proofErr w:type="gramEnd"/>
      <w:r>
        <w:rPr>
          <w:color w:val="000000"/>
        </w:rPr>
        <w:t xml:space="preserve"> to serve as a reference for provider approvals as part of the CDE School &amp; District Support RFI process in the following year.</w:t>
      </w:r>
    </w:p>
    <w:p w14:paraId="380B4022" w14:textId="4E2DDBC0" w:rsidR="00900DA2" w:rsidRPr="00F31C31" w:rsidRDefault="00A67EEC" w:rsidP="0025576C">
      <w:pPr>
        <w:pStyle w:val="ListParagraph"/>
        <w:numPr>
          <w:ilvl w:val="0"/>
          <w:numId w:val="15"/>
        </w:numPr>
        <w:ind w:right="0"/>
      </w:pPr>
      <w:r>
        <w:t>Final Expenditure Report (FER) in GAINS</w:t>
      </w:r>
      <w:r w:rsidR="00900DA2">
        <w:t xml:space="preserve"> each fiscal year by 09/30</w:t>
      </w:r>
      <w:r>
        <w:t>.</w:t>
      </w:r>
    </w:p>
    <w:p w14:paraId="284162FE" w14:textId="73F03D49" w:rsidR="00900DA2" w:rsidRPr="0025576C" w:rsidRDefault="00900DA2" w:rsidP="0025576C">
      <w:pPr>
        <w:spacing w:after="0"/>
        <w:rPr>
          <w:i/>
          <w:iCs/>
        </w:rPr>
      </w:pPr>
      <w:r w:rsidRPr="0025576C">
        <w:rPr>
          <w:i/>
          <w:iCs/>
        </w:rPr>
        <w:t xml:space="preserve">Note: All data collected will protect personally identifiable information (PII) protected and </w:t>
      </w:r>
      <w:proofErr w:type="gramStart"/>
      <w:r w:rsidRPr="0025576C">
        <w:rPr>
          <w:i/>
          <w:iCs/>
        </w:rPr>
        <w:t>is only reported</w:t>
      </w:r>
      <w:proofErr w:type="gramEnd"/>
      <w:r w:rsidRPr="0025576C">
        <w:rPr>
          <w:i/>
          <w:iCs/>
        </w:rPr>
        <w:t xml:space="preserve"> on an aggregate level for purposes of evaluating the EASI support and/or supporting future program improvements.</w:t>
      </w:r>
    </w:p>
    <w:p w14:paraId="0949E63B" w14:textId="77777777" w:rsidR="00900DA2" w:rsidRPr="00D80A75" w:rsidRDefault="00900DA2" w:rsidP="004223A7">
      <w:pPr>
        <w:pStyle w:val="Heading2"/>
        <w:spacing w:after="0"/>
      </w:pPr>
      <w:r w:rsidRPr="00D80A75">
        <w:t>Program Assurances</w:t>
      </w:r>
    </w:p>
    <w:p w14:paraId="73120B6B" w14:textId="77777777" w:rsidR="00900DA2" w:rsidRDefault="00900DA2" w:rsidP="00514BE5">
      <w:pPr>
        <w:pStyle w:val="Heading3"/>
      </w:pPr>
      <w:r>
        <w:t>LEA Commitments:</w:t>
      </w:r>
    </w:p>
    <w:p w14:paraId="5B661B65" w14:textId="018683D3"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to develop specific contracts </w:t>
      </w:r>
      <w:r w:rsidR="004E020F">
        <w:rPr>
          <w:color w:val="000000"/>
        </w:rPr>
        <w:t>and/</w:t>
      </w:r>
      <w:r w:rsidR="00680D55">
        <w:rPr>
          <w:color w:val="000000"/>
        </w:rPr>
        <w:t xml:space="preserve">or register for the selected </w:t>
      </w:r>
      <w:r w:rsidR="007A00A2">
        <w:rPr>
          <w:color w:val="000000"/>
        </w:rPr>
        <w:t xml:space="preserve">targeted </w:t>
      </w:r>
      <w:r w:rsidR="00680D55">
        <w:rPr>
          <w:color w:val="000000"/>
        </w:rPr>
        <w:t>professional learning</w:t>
      </w:r>
      <w:r w:rsidRPr="006310E4">
        <w:rPr>
          <w:color w:val="000000"/>
        </w:rPr>
        <w:t>.</w:t>
      </w:r>
    </w:p>
    <w:p w14:paraId="7735C948" w14:textId="77777777" w:rsidR="00900DA2" w:rsidRPr="00C26E63"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Any additional expenses beyond what </w:t>
      </w:r>
      <w:proofErr w:type="gramStart"/>
      <w:r w:rsidRPr="006310E4">
        <w:rPr>
          <w:color w:val="000000"/>
        </w:rPr>
        <w:t>are approved</w:t>
      </w:r>
      <w:proofErr w:type="gramEnd"/>
      <w:r w:rsidRPr="006310E4">
        <w:rPr>
          <w:color w:val="000000"/>
        </w:rPr>
        <w:t xml:space="preserve"> in the application will be the responsibility of the LEA.</w:t>
      </w:r>
    </w:p>
    <w:p w14:paraId="6577B5F5" w14:textId="64AEB3FB" w:rsidR="00900DA2" w:rsidRDefault="00900DA2" w:rsidP="006310E4">
      <w:pPr>
        <w:pStyle w:val="ListParagraph"/>
        <w:numPr>
          <w:ilvl w:val="0"/>
          <w:numId w:val="16"/>
        </w:numPr>
        <w:spacing w:after="0"/>
        <w:ind w:right="0"/>
      </w:pPr>
      <w:r>
        <w:t xml:space="preserve">Ensure funds </w:t>
      </w:r>
      <w:proofErr w:type="gramStart"/>
      <w:r>
        <w:t>are only used</w:t>
      </w:r>
      <w:proofErr w:type="gramEnd"/>
      <w:r>
        <w:t xml:space="preserve"> for approved </w:t>
      </w:r>
      <w:r w:rsidR="00D5251F">
        <w:t>professional learning offerings,</w:t>
      </w:r>
      <w:r>
        <w:t xml:space="preserve"> participants, and eligible schools included in the original application.</w:t>
      </w:r>
    </w:p>
    <w:p w14:paraId="4EE89333"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Ensure the LEA and staff will not discriminate against anyone regarding race, gender, national origin, color, disability, or age.</w:t>
      </w:r>
    </w:p>
    <w:p w14:paraId="175A8691"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will </w:t>
      </w:r>
      <w:proofErr w:type="gramStart"/>
      <w:r w:rsidRPr="006310E4">
        <w:rPr>
          <w:color w:val="000000"/>
        </w:rPr>
        <w:t>be required</w:t>
      </w:r>
      <w:proofErr w:type="gramEnd"/>
      <w:r w:rsidRPr="006310E4">
        <w:rPr>
          <w:color w:val="000000"/>
        </w:rPr>
        <w:t xml:space="preserve"> to submit </w:t>
      </w:r>
      <w:r>
        <w:rPr>
          <w:color w:val="000000"/>
        </w:rPr>
        <w:t>Final Expenditure Reports (FER)</w:t>
      </w:r>
      <w:r w:rsidRPr="006310E4">
        <w:rPr>
          <w:color w:val="000000"/>
        </w:rPr>
        <w:t xml:space="preserve"> the end of each </w:t>
      </w:r>
      <w:r>
        <w:rPr>
          <w:color w:val="000000"/>
        </w:rPr>
        <w:t>fiscal</w:t>
      </w:r>
      <w:r w:rsidRPr="006310E4">
        <w:rPr>
          <w:color w:val="000000"/>
        </w:rPr>
        <w:t xml:space="preserve"> year.</w:t>
      </w:r>
    </w:p>
    <w:p w14:paraId="06E92239" w14:textId="77777777" w:rsidR="006310E4" w:rsidRPr="001D7C72"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understands that unobligated funds state funds will </w:t>
      </w:r>
      <w:proofErr w:type="gramStart"/>
      <w:r w:rsidRPr="006310E4">
        <w:rPr>
          <w:color w:val="000000"/>
        </w:rPr>
        <w:t>be returned</w:t>
      </w:r>
      <w:proofErr w:type="gramEnd"/>
      <w:r w:rsidRPr="006310E4">
        <w:rPr>
          <w:color w:val="000000"/>
        </w:rPr>
        <w:t xml:space="preserve"> to CDE and unobligated federal funds will </w:t>
      </w:r>
      <w:proofErr w:type="gramStart"/>
      <w:r w:rsidRPr="006310E4">
        <w:rPr>
          <w:color w:val="000000"/>
        </w:rPr>
        <w:t>be rescinded</w:t>
      </w:r>
      <w:proofErr w:type="gramEnd"/>
      <w:r w:rsidRPr="006310E4">
        <w:rPr>
          <w:color w:val="000000"/>
        </w:rPr>
        <w:t xml:space="preserve"> at the conclusion of the </w:t>
      </w:r>
      <w:r>
        <w:rPr>
          <w:color w:val="000000"/>
        </w:rPr>
        <w:t>grant cycle</w:t>
      </w:r>
      <w:r w:rsidRPr="006310E4">
        <w:rPr>
          <w:color w:val="000000"/>
        </w:rPr>
        <w:t>.</w:t>
      </w:r>
    </w:p>
    <w:p w14:paraId="6F630F2C" w14:textId="38B67262"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Funds will </w:t>
      </w:r>
      <w:proofErr w:type="gramStart"/>
      <w:r w:rsidRPr="006310E4">
        <w:rPr>
          <w:color w:val="000000"/>
        </w:rPr>
        <w:t>be used</w:t>
      </w:r>
      <w:proofErr w:type="gramEnd"/>
      <w:r w:rsidRPr="006310E4">
        <w:rPr>
          <w:color w:val="000000"/>
        </w:rPr>
        <w:t xml:space="preserve"> to supplement and not supplant any federal, state, and local moneys currently </w:t>
      </w:r>
      <w:proofErr w:type="gramStart"/>
      <w:r w:rsidRPr="006310E4">
        <w:rPr>
          <w:color w:val="000000"/>
        </w:rPr>
        <w:t>being used</w:t>
      </w:r>
      <w:proofErr w:type="gramEnd"/>
      <w:r w:rsidRPr="006310E4">
        <w:rPr>
          <w:color w:val="000000"/>
        </w:rPr>
        <w:t xml:space="preserve"> to provide services and grant dollars will </w:t>
      </w:r>
      <w:proofErr w:type="gramStart"/>
      <w:r w:rsidRPr="006310E4">
        <w:rPr>
          <w:color w:val="000000"/>
        </w:rPr>
        <w:t>be administered</w:t>
      </w:r>
      <w:proofErr w:type="gramEnd"/>
      <w:r w:rsidRPr="006310E4">
        <w:rPr>
          <w:color w:val="000000"/>
        </w:rPr>
        <w:t xml:space="preserve"> by the appropriate fiscal agent.</w:t>
      </w:r>
    </w:p>
    <w:p w14:paraId="4649F3A9"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Funded projects will maintain appropriate fiscal and program records and fiscal audits of this program will </w:t>
      </w:r>
      <w:proofErr w:type="gramStart"/>
      <w:r w:rsidRPr="006310E4">
        <w:rPr>
          <w:color w:val="000000"/>
        </w:rPr>
        <w:t>be conducted</w:t>
      </w:r>
      <w:proofErr w:type="gramEnd"/>
      <w:r w:rsidRPr="006310E4">
        <w:rPr>
          <w:color w:val="000000"/>
        </w:rPr>
        <w:t xml:space="preserve"> by the grantees as a part of their regular audits.</w:t>
      </w:r>
    </w:p>
    <w:p w14:paraId="1E156ACC"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If any findings of misuse of these funds </w:t>
      </w:r>
      <w:proofErr w:type="gramStart"/>
      <w:r w:rsidRPr="006310E4">
        <w:rPr>
          <w:color w:val="000000"/>
        </w:rPr>
        <w:t>are discovered</w:t>
      </w:r>
      <w:proofErr w:type="gramEnd"/>
      <w:r w:rsidRPr="006310E4">
        <w:rPr>
          <w:color w:val="000000"/>
        </w:rPr>
        <w:t xml:space="preserve">, project funds will </w:t>
      </w:r>
      <w:proofErr w:type="gramStart"/>
      <w:r w:rsidRPr="006310E4">
        <w:rPr>
          <w:color w:val="000000"/>
        </w:rPr>
        <w:t>be returned</w:t>
      </w:r>
      <w:proofErr w:type="gramEnd"/>
      <w:r w:rsidRPr="006310E4">
        <w:rPr>
          <w:color w:val="000000"/>
        </w:rPr>
        <w:t xml:space="preserve"> to CDE.</w:t>
      </w:r>
    </w:p>
    <w:p w14:paraId="36AEC3C4" w14:textId="77777777" w:rsidR="00900DA2" w:rsidRDefault="00900DA2" w:rsidP="00514BE5">
      <w:pPr>
        <w:pStyle w:val="Heading3"/>
      </w:pPr>
      <w:r>
        <w:t>District Leadership Commitments:</w:t>
      </w:r>
    </w:p>
    <w:p w14:paraId="55535A0C" w14:textId="77777777" w:rsidR="006310E4" w:rsidRPr="006310E4" w:rsidRDefault="00900DA2" w:rsidP="006310E4">
      <w:pPr>
        <w:pStyle w:val="ListParagraph"/>
        <w:numPr>
          <w:ilvl w:val="0"/>
          <w:numId w:val="17"/>
        </w:numPr>
        <w:pBdr>
          <w:top w:val="nil"/>
          <w:left w:val="nil"/>
          <w:bottom w:val="nil"/>
          <w:right w:val="nil"/>
          <w:between w:val="nil"/>
        </w:pBdr>
        <w:spacing w:after="0" w:line="256" w:lineRule="auto"/>
        <w:ind w:right="0"/>
      </w:pPr>
      <w:r w:rsidRPr="006310E4">
        <w:rPr>
          <w:color w:val="000000"/>
        </w:rPr>
        <w:t xml:space="preserve">District staff will provide requested data to CDE within the </w:t>
      </w:r>
      <w:proofErr w:type="gramStart"/>
      <w:r w:rsidRPr="006310E4">
        <w:rPr>
          <w:color w:val="000000"/>
        </w:rPr>
        <w:t>time frames</w:t>
      </w:r>
      <w:proofErr w:type="gramEnd"/>
      <w:r w:rsidRPr="006310E4">
        <w:rPr>
          <w:color w:val="000000"/>
        </w:rPr>
        <w:t xml:space="preserve"> specified on the evaluation requirements.</w:t>
      </w:r>
    </w:p>
    <w:p w14:paraId="53F25730" w14:textId="4E0DF9E6" w:rsidR="00900DA2" w:rsidRDefault="00900DA2" w:rsidP="006310E4">
      <w:pPr>
        <w:pStyle w:val="ListParagraph"/>
        <w:numPr>
          <w:ilvl w:val="0"/>
          <w:numId w:val="17"/>
        </w:numPr>
        <w:pBdr>
          <w:top w:val="nil"/>
          <w:left w:val="nil"/>
          <w:bottom w:val="nil"/>
          <w:right w:val="nil"/>
          <w:between w:val="nil"/>
        </w:pBdr>
        <w:spacing w:after="0" w:line="256" w:lineRule="auto"/>
        <w:ind w:right="0"/>
      </w:pPr>
      <w:r>
        <w:lastRenderedPageBreak/>
        <w:t xml:space="preserve">Communicate and seek approval from CDE for any changes in the selected </w:t>
      </w:r>
      <w:r w:rsidR="0076523A">
        <w:t>Targeted Professional Learning</w:t>
      </w:r>
      <w:r>
        <w:t xml:space="preserve"> prior to services </w:t>
      </w:r>
      <w:proofErr w:type="gramStart"/>
      <w:r>
        <w:t>being changed</w:t>
      </w:r>
      <w:proofErr w:type="gramEnd"/>
      <w:r>
        <w:t xml:space="preserve"> (</w:t>
      </w:r>
      <w:proofErr w:type="gramStart"/>
      <w:r>
        <w:t>i.e.</w:t>
      </w:r>
      <w:proofErr w:type="gramEnd"/>
      <w:r>
        <w:t xml:space="preserve"> delayed participation, change in provider, change in</w:t>
      </w:r>
      <w:r w:rsidR="0076523A">
        <w:t xml:space="preserve"> number </w:t>
      </w:r>
      <w:r w:rsidR="001B1165">
        <w:t>of participants</w:t>
      </w:r>
      <w:r>
        <w:t>)</w:t>
      </w:r>
    </w:p>
    <w:p w14:paraId="1307B258" w14:textId="71AA43BE" w:rsidR="00900DA2" w:rsidRDefault="00900DA2" w:rsidP="00514BE5">
      <w:pPr>
        <w:pStyle w:val="Heading3"/>
      </w:pPr>
      <w:r>
        <w:t>Participant Commitments:</w:t>
      </w:r>
    </w:p>
    <w:p w14:paraId="29518EA5" w14:textId="14E3B400" w:rsidR="00900DA2" w:rsidRDefault="0025576C" w:rsidP="006310E4">
      <w:pPr>
        <w:pStyle w:val="ListParagraph"/>
        <w:numPr>
          <w:ilvl w:val="0"/>
          <w:numId w:val="18"/>
        </w:numPr>
        <w:pBdr>
          <w:top w:val="nil"/>
          <w:left w:val="nil"/>
          <w:bottom w:val="nil"/>
          <w:right w:val="nil"/>
          <w:between w:val="nil"/>
        </w:pBdr>
        <w:spacing w:after="0" w:line="256" w:lineRule="auto"/>
        <w:ind w:right="0"/>
      </w:pPr>
      <w:r>
        <w:t>Participants</w:t>
      </w:r>
      <w:r w:rsidR="00900DA2">
        <w:t xml:space="preserve"> will engage in the selected </w:t>
      </w:r>
      <w:r>
        <w:t>Targeted Professional Learning</w:t>
      </w:r>
      <w:r w:rsidR="00900DA2">
        <w:t xml:space="preserve"> and complete the program specific requirements.</w:t>
      </w:r>
    </w:p>
    <w:p w14:paraId="40B55FAC" w14:textId="172E7107" w:rsidR="006310E4" w:rsidRDefault="0076523A" w:rsidP="0076523A">
      <w:pPr>
        <w:pStyle w:val="ListParagraph"/>
        <w:numPr>
          <w:ilvl w:val="0"/>
          <w:numId w:val="18"/>
        </w:numPr>
        <w:pBdr>
          <w:top w:val="nil"/>
          <w:left w:val="nil"/>
          <w:bottom w:val="nil"/>
          <w:right w:val="nil"/>
          <w:between w:val="nil"/>
        </w:pBdr>
        <w:spacing w:after="0" w:line="256" w:lineRule="auto"/>
        <w:ind w:right="0"/>
      </w:pPr>
      <w:r>
        <w:t>Participants</w:t>
      </w:r>
      <w:r w:rsidR="00900DA2">
        <w:t xml:space="preserve"> will work with</w:t>
      </w:r>
      <w:r w:rsidR="00900DA2" w:rsidRPr="006310E4">
        <w:rPr>
          <w:color w:val="000000"/>
        </w:rPr>
        <w:t xml:space="preserve"> and provide requested data to CDE within the </w:t>
      </w:r>
      <w:proofErr w:type="gramStart"/>
      <w:r w:rsidR="00900DA2" w:rsidRPr="006310E4">
        <w:rPr>
          <w:color w:val="000000"/>
        </w:rPr>
        <w:t>time frames</w:t>
      </w:r>
      <w:proofErr w:type="gramEnd"/>
      <w:r w:rsidR="00900DA2" w:rsidRPr="006310E4">
        <w:rPr>
          <w:color w:val="000000"/>
        </w:rPr>
        <w:t xml:space="preserve"> specified on the evaluation requirements.</w:t>
      </w:r>
    </w:p>
    <w:p w14:paraId="3A575DE9" w14:textId="355A0E9F" w:rsidR="006310E4" w:rsidRDefault="00342357" w:rsidP="006310E4">
      <w:pPr>
        <w:pStyle w:val="Heading2"/>
      </w:pPr>
      <w:r>
        <w:t>Related Resources &amp; Information</w:t>
      </w:r>
    </w:p>
    <w:p w14:paraId="43AC7DA0" w14:textId="77777777" w:rsidR="00342357" w:rsidRDefault="00342357" w:rsidP="00342357">
      <w:pPr>
        <w:pStyle w:val="Heading3"/>
      </w:pPr>
      <w:r>
        <w:t>Colorado Department of Education’s EASI Website</w:t>
      </w:r>
    </w:p>
    <w:p w14:paraId="3C341203" w14:textId="0A0D4901" w:rsidR="006310E4" w:rsidRPr="00342357" w:rsidRDefault="00342357" w:rsidP="0076523A">
      <w:pPr>
        <w:pStyle w:val="Heading3"/>
        <w:rPr>
          <w:rStyle w:val="URLChar"/>
          <w:b w:val="0"/>
          <w:bCs w:val="0"/>
        </w:rPr>
      </w:pPr>
      <w:r w:rsidRPr="00342357">
        <w:rPr>
          <w:rStyle w:val="URLChar"/>
          <w:b w:val="0"/>
          <w:bCs w:val="0"/>
        </w:rPr>
        <w:t>www.cde.state.co.us/fedprograms/easiapplication</w:t>
      </w:r>
    </w:p>
    <w:sectPr w:rsidR="006310E4" w:rsidRPr="00342357" w:rsidSect="007818E3">
      <w:headerReference w:type="default" r:id="rId17"/>
      <w:footerReference w:type="default" r:id="rId18"/>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CB0C" w14:textId="77777777" w:rsidR="00AE516A" w:rsidRDefault="00AE516A" w:rsidP="00271BD6">
      <w:pPr>
        <w:spacing w:after="0"/>
      </w:pPr>
      <w:r>
        <w:separator/>
      </w:r>
    </w:p>
  </w:endnote>
  <w:endnote w:type="continuationSeparator" w:id="0">
    <w:p w14:paraId="532DFC8E" w14:textId="77777777" w:rsidR="00AE516A" w:rsidRDefault="00AE516A" w:rsidP="00271BD6">
      <w:pPr>
        <w:spacing w:after="0"/>
      </w:pPr>
      <w:r>
        <w:continuationSeparator/>
      </w:r>
    </w:p>
  </w:endnote>
  <w:endnote w:type="continuationNotice" w:id="1">
    <w:p w14:paraId="4CE947C5" w14:textId="77777777" w:rsidR="00AE516A" w:rsidRDefault="00AE51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608458A" id="Straight Connector 2" o:spid="_x0000_s1026" alt="Program Contact&#10;Name&#10;Title &#10;Unit&#10;Phone&#10;URL"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F158" w14:textId="77777777" w:rsidR="00AE516A" w:rsidRDefault="00AE516A" w:rsidP="00271BD6">
      <w:pPr>
        <w:spacing w:after="0"/>
      </w:pPr>
      <w:r>
        <w:separator/>
      </w:r>
    </w:p>
  </w:footnote>
  <w:footnote w:type="continuationSeparator" w:id="0">
    <w:p w14:paraId="34346236" w14:textId="77777777" w:rsidR="00AE516A" w:rsidRDefault="00AE516A" w:rsidP="00271BD6">
      <w:pPr>
        <w:spacing w:after="0"/>
      </w:pPr>
      <w:r>
        <w:continuationSeparator/>
      </w:r>
    </w:p>
  </w:footnote>
  <w:footnote w:type="continuationNotice" w:id="1">
    <w:p w14:paraId="53FDE48E" w14:textId="77777777" w:rsidR="00AE516A" w:rsidRDefault="00AE51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4E85"/>
    <w:multiLevelType w:val="hybridMultilevel"/>
    <w:tmpl w:val="36BC3F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3"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981C17"/>
    <w:multiLevelType w:val="hybridMultilevel"/>
    <w:tmpl w:val="F15CD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12"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15"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2"/>
  </w:num>
  <w:num w:numId="2" w16cid:durableId="79181208">
    <w:abstractNumId w:val="7"/>
  </w:num>
  <w:num w:numId="3" w16cid:durableId="1824464553">
    <w:abstractNumId w:val="12"/>
  </w:num>
  <w:num w:numId="4" w16cid:durableId="1143422764">
    <w:abstractNumId w:val="5"/>
  </w:num>
  <w:num w:numId="5" w16cid:durableId="1143352235">
    <w:abstractNumId w:val="15"/>
  </w:num>
  <w:num w:numId="6" w16cid:durableId="594090659">
    <w:abstractNumId w:val="1"/>
  </w:num>
  <w:num w:numId="7" w16cid:durableId="1681077803">
    <w:abstractNumId w:val="8"/>
  </w:num>
  <w:num w:numId="8" w16cid:durableId="824278731">
    <w:abstractNumId w:val="18"/>
  </w:num>
  <w:num w:numId="9" w16cid:durableId="1234313799">
    <w:abstractNumId w:val="4"/>
  </w:num>
  <w:num w:numId="10" w16cid:durableId="790441336">
    <w:abstractNumId w:val="11"/>
  </w:num>
  <w:num w:numId="11" w16cid:durableId="709956776">
    <w:abstractNumId w:val="3"/>
  </w:num>
  <w:num w:numId="12" w16cid:durableId="454249301">
    <w:abstractNumId w:val="14"/>
  </w:num>
  <w:num w:numId="13" w16cid:durableId="2009022099">
    <w:abstractNumId w:val="6"/>
  </w:num>
  <w:num w:numId="14" w16cid:durableId="1842693230">
    <w:abstractNumId w:val="16"/>
  </w:num>
  <w:num w:numId="15" w16cid:durableId="667757076">
    <w:abstractNumId w:val="17"/>
  </w:num>
  <w:num w:numId="16" w16cid:durableId="1579708068">
    <w:abstractNumId w:val="10"/>
  </w:num>
  <w:num w:numId="17" w16cid:durableId="262227811">
    <w:abstractNumId w:val="9"/>
  </w:num>
  <w:num w:numId="18" w16cid:durableId="1237321533">
    <w:abstractNumId w:val="13"/>
  </w:num>
  <w:num w:numId="19" w16cid:durableId="176556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1080E"/>
    <w:rsid w:val="00025576"/>
    <w:rsid w:val="000368D0"/>
    <w:rsid w:val="00045D3F"/>
    <w:rsid w:val="00050B22"/>
    <w:rsid w:val="00053CD8"/>
    <w:rsid w:val="00073D24"/>
    <w:rsid w:val="000803B8"/>
    <w:rsid w:val="0008196B"/>
    <w:rsid w:val="00087158"/>
    <w:rsid w:val="00090426"/>
    <w:rsid w:val="000933D9"/>
    <w:rsid w:val="00096FF1"/>
    <w:rsid w:val="000A3E23"/>
    <w:rsid w:val="000B3ED2"/>
    <w:rsid w:val="000C0D83"/>
    <w:rsid w:val="000C57ED"/>
    <w:rsid w:val="000C5EBF"/>
    <w:rsid w:val="000E2D85"/>
    <w:rsid w:val="000F0D43"/>
    <w:rsid w:val="00102301"/>
    <w:rsid w:val="001156C3"/>
    <w:rsid w:val="00126AD2"/>
    <w:rsid w:val="00144254"/>
    <w:rsid w:val="00147F57"/>
    <w:rsid w:val="0015289C"/>
    <w:rsid w:val="00154F80"/>
    <w:rsid w:val="00155A5C"/>
    <w:rsid w:val="00166EA9"/>
    <w:rsid w:val="00194D04"/>
    <w:rsid w:val="001A104E"/>
    <w:rsid w:val="001A2C91"/>
    <w:rsid w:val="001B1165"/>
    <w:rsid w:val="001C3272"/>
    <w:rsid w:val="001D7B3E"/>
    <w:rsid w:val="001E4EDE"/>
    <w:rsid w:val="001E6EFB"/>
    <w:rsid w:val="001E795E"/>
    <w:rsid w:val="001F765C"/>
    <w:rsid w:val="0020624F"/>
    <w:rsid w:val="002070A9"/>
    <w:rsid w:val="00210D2E"/>
    <w:rsid w:val="00220348"/>
    <w:rsid w:val="00222B4D"/>
    <w:rsid w:val="00223BCE"/>
    <w:rsid w:val="00231E35"/>
    <w:rsid w:val="00237FC1"/>
    <w:rsid w:val="002410AD"/>
    <w:rsid w:val="00241458"/>
    <w:rsid w:val="002443A4"/>
    <w:rsid w:val="0025576C"/>
    <w:rsid w:val="00257995"/>
    <w:rsid w:val="00260B70"/>
    <w:rsid w:val="00271BD6"/>
    <w:rsid w:val="00276BC2"/>
    <w:rsid w:val="0027766D"/>
    <w:rsid w:val="002866C2"/>
    <w:rsid w:val="002933D8"/>
    <w:rsid w:val="002B28E3"/>
    <w:rsid w:val="002B44CF"/>
    <w:rsid w:val="002B6436"/>
    <w:rsid w:val="002C7A4B"/>
    <w:rsid w:val="002D5CBC"/>
    <w:rsid w:val="002E41BC"/>
    <w:rsid w:val="00301075"/>
    <w:rsid w:val="003023E1"/>
    <w:rsid w:val="00316EC2"/>
    <w:rsid w:val="00322E23"/>
    <w:rsid w:val="00326178"/>
    <w:rsid w:val="00326C26"/>
    <w:rsid w:val="003301C4"/>
    <w:rsid w:val="0034071F"/>
    <w:rsid w:val="00342357"/>
    <w:rsid w:val="003426EA"/>
    <w:rsid w:val="00347913"/>
    <w:rsid w:val="00347FC5"/>
    <w:rsid w:val="00350B15"/>
    <w:rsid w:val="003516EE"/>
    <w:rsid w:val="00353ABA"/>
    <w:rsid w:val="00357906"/>
    <w:rsid w:val="003609FF"/>
    <w:rsid w:val="00363207"/>
    <w:rsid w:val="00382550"/>
    <w:rsid w:val="00385B40"/>
    <w:rsid w:val="00390D43"/>
    <w:rsid w:val="003A1E43"/>
    <w:rsid w:val="003A2478"/>
    <w:rsid w:val="003A5C60"/>
    <w:rsid w:val="003B745F"/>
    <w:rsid w:val="003C1EE2"/>
    <w:rsid w:val="003C1FD2"/>
    <w:rsid w:val="003C22BD"/>
    <w:rsid w:val="003D49E5"/>
    <w:rsid w:val="003D6325"/>
    <w:rsid w:val="003E7A47"/>
    <w:rsid w:val="003E7D4E"/>
    <w:rsid w:val="003F06E3"/>
    <w:rsid w:val="003F4054"/>
    <w:rsid w:val="004000DA"/>
    <w:rsid w:val="004058D1"/>
    <w:rsid w:val="004132BA"/>
    <w:rsid w:val="00414CB8"/>
    <w:rsid w:val="0041756A"/>
    <w:rsid w:val="00417A36"/>
    <w:rsid w:val="0042101B"/>
    <w:rsid w:val="00421BD2"/>
    <w:rsid w:val="004220E7"/>
    <w:rsid w:val="004223A7"/>
    <w:rsid w:val="004242F8"/>
    <w:rsid w:val="00430178"/>
    <w:rsid w:val="004338F1"/>
    <w:rsid w:val="004441FE"/>
    <w:rsid w:val="00445749"/>
    <w:rsid w:val="004515AB"/>
    <w:rsid w:val="004567ED"/>
    <w:rsid w:val="0046373B"/>
    <w:rsid w:val="00463979"/>
    <w:rsid w:val="00463C16"/>
    <w:rsid w:val="00464E18"/>
    <w:rsid w:val="00470DF3"/>
    <w:rsid w:val="00473B49"/>
    <w:rsid w:val="004A58BC"/>
    <w:rsid w:val="004B2802"/>
    <w:rsid w:val="004B5680"/>
    <w:rsid w:val="004C5F19"/>
    <w:rsid w:val="004C6457"/>
    <w:rsid w:val="004E020F"/>
    <w:rsid w:val="004E4295"/>
    <w:rsid w:val="004F0247"/>
    <w:rsid w:val="004F3492"/>
    <w:rsid w:val="004F3890"/>
    <w:rsid w:val="004F76BE"/>
    <w:rsid w:val="005030A0"/>
    <w:rsid w:val="0050764C"/>
    <w:rsid w:val="0051385C"/>
    <w:rsid w:val="00513A2F"/>
    <w:rsid w:val="00514BE5"/>
    <w:rsid w:val="00521466"/>
    <w:rsid w:val="00521793"/>
    <w:rsid w:val="0053152C"/>
    <w:rsid w:val="005333DF"/>
    <w:rsid w:val="005338B2"/>
    <w:rsid w:val="005408B8"/>
    <w:rsid w:val="0054141F"/>
    <w:rsid w:val="00561EC6"/>
    <w:rsid w:val="005626BD"/>
    <w:rsid w:val="00562AC9"/>
    <w:rsid w:val="00582402"/>
    <w:rsid w:val="00587713"/>
    <w:rsid w:val="005A37E9"/>
    <w:rsid w:val="005A4DF3"/>
    <w:rsid w:val="005A7F08"/>
    <w:rsid w:val="005B17AA"/>
    <w:rsid w:val="005B1E05"/>
    <w:rsid w:val="005C0CAF"/>
    <w:rsid w:val="005C2CA4"/>
    <w:rsid w:val="005C5A5C"/>
    <w:rsid w:val="005D20D0"/>
    <w:rsid w:val="005D4857"/>
    <w:rsid w:val="005D69FA"/>
    <w:rsid w:val="005D77DB"/>
    <w:rsid w:val="005E3CAB"/>
    <w:rsid w:val="005F09DD"/>
    <w:rsid w:val="005F7535"/>
    <w:rsid w:val="0060667E"/>
    <w:rsid w:val="00611011"/>
    <w:rsid w:val="00613884"/>
    <w:rsid w:val="0061395A"/>
    <w:rsid w:val="006169AA"/>
    <w:rsid w:val="006257F4"/>
    <w:rsid w:val="00625D0B"/>
    <w:rsid w:val="006310E4"/>
    <w:rsid w:val="0063261A"/>
    <w:rsid w:val="00635127"/>
    <w:rsid w:val="00643235"/>
    <w:rsid w:val="0065359D"/>
    <w:rsid w:val="00660F80"/>
    <w:rsid w:val="0066783F"/>
    <w:rsid w:val="00671555"/>
    <w:rsid w:val="00672122"/>
    <w:rsid w:val="006734C2"/>
    <w:rsid w:val="0067382A"/>
    <w:rsid w:val="00680D55"/>
    <w:rsid w:val="00684739"/>
    <w:rsid w:val="00684EA7"/>
    <w:rsid w:val="006854CB"/>
    <w:rsid w:val="006861CC"/>
    <w:rsid w:val="00693F8C"/>
    <w:rsid w:val="006A3F77"/>
    <w:rsid w:val="006A79A6"/>
    <w:rsid w:val="006B4C3C"/>
    <w:rsid w:val="006C5F81"/>
    <w:rsid w:val="006D1089"/>
    <w:rsid w:val="006D15EC"/>
    <w:rsid w:val="006D78BE"/>
    <w:rsid w:val="006E0826"/>
    <w:rsid w:val="006E0ECF"/>
    <w:rsid w:val="006E6BB4"/>
    <w:rsid w:val="006F4BF0"/>
    <w:rsid w:val="007070ED"/>
    <w:rsid w:val="00711791"/>
    <w:rsid w:val="0071689B"/>
    <w:rsid w:val="00724D92"/>
    <w:rsid w:val="00727BB5"/>
    <w:rsid w:val="0073194E"/>
    <w:rsid w:val="00742881"/>
    <w:rsid w:val="0074536C"/>
    <w:rsid w:val="007470F3"/>
    <w:rsid w:val="007532EB"/>
    <w:rsid w:val="007556A3"/>
    <w:rsid w:val="00756088"/>
    <w:rsid w:val="0075689F"/>
    <w:rsid w:val="0076523A"/>
    <w:rsid w:val="007818E3"/>
    <w:rsid w:val="007A00A2"/>
    <w:rsid w:val="007A0279"/>
    <w:rsid w:val="007A0C15"/>
    <w:rsid w:val="007A5C37"/>
    <w:rsid w:val="007B13B1"/>
    <w:rsid w:val="007B4A5F"/>
    <w:rsid w:val="007B5DC3"/>
    <w:rsid w:val="007C4375"/>
    <w:rsid w:val="007D29B7"/>
    <w:rsid w:val="007D6A9F"/>
    <w:rsid w:val="007E060A"/>
    <w:rsid w:val="007E50A4"/>
    <w:rsid w:val="007F2B86"/>
    <w:rsid w:val="00800BC4"/>
    <w:rsid w:val="00801B64"/>
    <w:rsid w:val="008137EE"/>
    <w:rsid w:val="008161D2"/>
    <w:rsid w:val="008226BB"/>
    <w:rsid w:val="0083136D"/>
    <w:rsid w:val="00843FD2"/>
    <w:rsid w:val="00846376"/>
    <w:rsid w:val="00851BD1"/>
    <w:rsid w:val="0085540C"/>
    <w:rsid w:val="00860D2A"/>
    <w:rsid w:val="00866828"/>
    <w:rsid w:val="00872858"/>
    <w:rsid w:val="008824E9"/>
    <w:rsid w:val="0089365E"/>
    <w:rsid w:val="0089532C"/>
    <w:rsid w:val="00897925"/>
    <w:rsid w:val="00897F38"/>
    <w:rsid w:val="008A2E0C"/>
    <w:rsid w:val="008A6B19"/>
    <w:rsid w:val="008B4BFA"/>
    <w:rsid w:val="008D0DF8"/>
    <w:rsid w:val="008E67B1"/>
    <w:rsid w:val="008F042B"/>
    <w:rsid w:val="00900DA2"/>
    <w:rsid w:val="00902C96"/>
    <w:rsid w:val="0091077C"/>
    <w:rsid w:val="0091580C"/>
    <w:rsid w:val="009243E7"/>
    <w:rsid w:val="009303DF"/>
    <w:rsid w:val="0093667E"/>
    <w:rsid w:val="009375C4"/>
    <w:rsid w:val="0094462F"/>
    <w:rsid w:val="00956B62"/>
    <w:rsid w:val="009646A5"/>
    <w:rsid w:val="009678EE"/>
    <w:rsid w:val="00971AB5"/>
    <w:rsid w:val="00992993"/>
    <w:rsid w:val="009A0D66"/>
    <w:rsid w:val="009A6020"/>
    <w:rsid w:val="009B397E"/>
    <w:rsid w:val="009B5929"/>
    <w:rsid w:val="009E0F6B"/>
    <w:rsid w:val="009F42B7"/>
    <w:rsid w:val="00A025C4"/>
    <w:rsid w:val="00A079FC"/>
    <w:rsid w:val="00A16654"/>
    <w:rsid w:val="00A4416F"/>
    <w:rsid w:val="00A5239B"/>
    <w:rsid w:val="00A52B39"/>
    <w:rsid w:val="00A61C63"/>
    <w:rsid w:val="00A67EEC"/>
    <w:rsid w:val="00A76F4B"/>
    <w:rsid w:val="00A845C7"/>
    <w:rsid w:val="00AB1885"/>
    <w:rsid w:val="00AC14E3"/>
    <w:rsid w:val="00AC1F4F"/>
    <w:rsid w:val="00AD7D2D"/>
    <w:rsid w:val="00AE0A1F"/>
    <w:rsid w:val="00AE125C"/>
    <w:rsid w:val="00AE516A"/>
    <w:rsid w:val="00B00DB1"/>
    <w:rsid w:val="00B13D1C"/>
    <w:rsid w:val="00B24F46"/>
    <w:rsid w:val="00B27BA9"/>
    <w:rsid w:val="00B27D1E"/>
    <w:rsid w:val="00B30393"/>
    <w:rsid w:val="00B3074E"/>
    <w:rsid w:val="00B403B9"/>
    <w:rsid w:val="00B41F6C"/>
    <w:rsid w:val="00B449ED"/>
    <w:rsid w:val="00B462DC"/>
    <w:rsid w:val="00B54819"/>
    <w:rsid w:val="00B66AFC"/>
    <w:rsid w:val="00B728B0"/>
    <w:rsid w:val="00B73505"/>
    <w:rsid w:val="00B77199"/>
    <w:rsid w:val="00B778E4"/>
    <w:rsid w:val="00B813A7"/>
    <w:rsid w:val="00B81644"/>
    <w:rsid w:val="00B84B0E"/>
    <w:rsid w:val="00B86C9E"/>
    <w:rsid w:val="00B93D22"/>
    <w:rsid w:val="00B94454"/>
    <w:rsid w:val="00BA015A"/>
    <w:rsid w:val="00BA0332"/>
    <w:rsid w:val="00BA53A1"/>
    <w:rsid w:val="00BB53A5"/>
    <w:rsid w:val="00BB752D"/>
    <w:rsid w:val="00BC172E"/>
    <w:rsid w:val="00BD1EED"/>
    <w:rsid w:val="00BD428E"/>
    <w:rsid w:val="00BD613C"/>
    <w:rsid w:val="00BE07FE"/>
    <w:rsid w:val="00BF6FA0"/>
    <w:rsid w:val="00BF7E68"/>
    <w:rsid w:val="00C02692"/>
    <w:rsid w:val="00C12D8A"/>
    <w:rsid w:val="00C24C37"/>
    <w:rsid w:val="00C269C8"/>
    <w:rsid w:val="00C26E63"/>
    <w:rsid w:val="00C27252"/>
    <w:rsid w:val="00C43C87"/>
    <w:rsid w:val="00C444F7"/>
    <w:rsid w:val="00C60781"/>
    <w:rsid w:val="00C61761"/>
    <w:rsid w:val="00C70119"/>
    <w:rsid w:val="00C71664"/>
    <w:rsid w:val="00C84C0F"/>
    <w:rsid w:val="00CA016C"/>
    <w:rsid w:val="00CA7EFC"/>
    <w:rsid w:val="00CB00C3"/>
    <w:rsid w:val="00CB01AE"/>
    <w:rsid w:val="00CB2D01"/>
    <w:rsid w:val="00CC446C"/>
    <w:rsid w:val="00CC6156"/>
    <w:rsid w:val="00CC7A7D"/>
    <w:rsid w:val="00CD6299"/>
    <w:rsid w:val="00CE0A48"/>
    <w:rsid w:val="00CE0E00"/>
    <w:rsid w:val="00CE3B5E"/>
    <w:rsid w:val="00CE4572"/>
    <w:rsid w:val="00CF044C"/>
    <w:rsid w:val="00CF17C2"/>
    <w:rsid w:val="00CF4DBB"/>
    <w:rsid w:val="00D01ABF"/>
    <w:rsid w:val="00D01ED0"/>
    <w:rsid w:val="00D02CD4"/>
    <w:rsid w:val="00D20BEE"/>
    <w:rsid w:val="00D24BA9"/>
    <w:rsid w:val="00D31D28"/>
    <w:rsid w:val="00D353F6"/>
    <w:rsid w:val="00D366A9"/>
    <w:rsid w:val="00D40737"/>
    <w:rsid w:val="00D4630A"/>
    <w:rsid w:val="00D5251F"/>
    <w:rsid w:val="00D55529"/>
    <w:rsid w:val="00D67EF5"/>
    <w:rsid w:val="00D86C4A"/>
    <w:rsid w:val="00D87DC6"/>
    <w:rsid w:val="00D97DD4"/>
    <w:rsid w:val="00DA5358"/>
    <w:rsid w:val="00DA7B02"/>
    <w:rsid w:val="00DB371F"/>
    <w:rsid w:val="00DB51BD"/>
    <w:rsid w:val="00DC4626"/>
    <w:rsid w:val="00DC699B"/>
    <w:rsid w:val="00DD0F67"/>
    <w:rsid w:val="00DE2937"/>
    <w:rsid w:val="00E04186"/>
    <w:rsid w:val="00E2261D"/>
    <w:rsid w:val="00E235D5"/>
    <w:rsid w:val="00E32E23"/>
    <w:rsid w:val="00E33765"/>
    <w:rsid w:val="00E37281"/>
    <w:rsid w:val="00E37797"/>
    <w:rsid w:val="00E4109F"/>
    <w:rsid w:val="00E473F7"/>
    <w:rsid w:val="00E51D2D"/>
    <w:rsid w:val="00E607BF"/>
    <w:rsid w:val="00E65F4C"/>
    <w:rsid w:val="00E776C0"/>
    <w:rsid w:val="00E77A91"/>
    <w:rsid w:val="00E80FB1"/>
    <w:rsid w:val="00E87932"/>
    <w:rsid w:val="00EA19D9"/>
    <w:rsid w:val="00EA26C3"/>
    <w:rsid w:val="00EA5FB6"/>
    <w:rsid w:val="00EB0D27"/>
    <w:rsid w:val="00EB1EC0"/>
    <w:rsid w:val="00EB31FD"/>
    <w:rsid w:val="00EB44C7"/>
    <w:rsid w:val="00EB4F17"/>
    <w:rsid w:val="00EB76B0"/>
    <w:rsid w:val="00ED2A70"/>
    <w:rsid w:val="00ED402B"/>
    <w:rsid w:val="00ED5432"/>
    <w:rsid w:val="00EE1E14"/>
    <w:rsid w:val="00EF14BD"/>
    <w:rsid w:val="00F07C54"/>
    <w:rsid w:val="00F07D52"/>
    <w:rsid w:val="00F209F6"/>
    <w:rsid w:val="00F4252B"/>
    <w:rsid w:val="00F4632A"/>
    <w:rsid w:val="00F56CAF"/>
    <w:rsid w:val="00F622D8"/>
    <w:rsid w:val="00F62302"/>
    <w:rsid w:val="00F660F9"/>
    <w:rsid w:val="00F738B7"/>
    <w:rsid w:val="00F74044"/>
    <w:rsid w:val="00F773D2"/>
    <w:rsid w:val="00F82E18"/>
    <w:rsid w:val="00F9372C"/>
    <w:rsid w:val="00FA0B12"/>
    <w:rsid w:val="00FA3F72"/>
    <w:rsid w:val="00FB7B4A"/>
    <w:rsid w:val="00FC5188"/>
    <w:rsid w:val="00FD07DD"/>
    <w:rsid w:val="00FD1868"/>
    <w:rsid w:val="00FE4785"/>
    <w:rsid w:val="00FE700C"/>
    <w:rsid w:val="00FF2BCA"/>
    <w:rsid w:val="00FF304A"/>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7EF0767D-DFEC-41EB-80FD-04E287D3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AD"/>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A5239B"/>
    <w:pPr>
      <w:framePr w:hSpace="180" w:wrap="around" w:vAnchor="text" w:hAnchor="page" w:x="7046" w:y="-69"/>
      <w:spacing w:after="0"/>
      <w:ind w:left="0"/>
    </w:pPr>
    <w:rPr>
      <w:color w:val="215E99" w:themeColor="text2" w:themeTint="BF"/>
      <w:u w:val="single"/>
    </w:rPr>
  </w:style>
  <w:style w:type="character" w:customStyle="1" w:styleId="URLChar">
    <w:name w:val="URL Char"/>
    <w:basedOn w:val="DefaultParagraphFont"/>
    <w:link w:val="URL"/>
    <w:rsid w:val="00A5239B"/>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x_L@cde.state.co.us" TargetMode="External"/><Relationship Id="rId13" Type="http://schemas.openxmlformats.org/officeDocument/2006/relationships/hyperlink" Target="https://www.cde.state.co.us/accountability/cde-advisory-list-of-provid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e.state.co.us/fedprograms/easiappresourcesandtechnicalassistanc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de.state.co.us/cdefinance/icr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accountability/cde-advisory-list-of-providers" TargetMode="External"/><Relationship Id="rId5" Type="http://schemas.openxmlformats.org/officeDocument/2006/relationships/footnotes" Target="footnotes.xml"/><Relationship Id="rId15" Type="http://schemas.openxmlformats.org/officeDocument/2006/relationships/hyperlink" Target="https://www.gsa.gov/travel/plan-a-trip" TargetMode="External"/><Relationship Id="rId10" Type="http://schemas.openxmlformats.org/officeDocument/2006/relationships/hyperlink" Target="https://www.cde.state.co.us/communications/strategicplan2025-202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schner_R@cde.state.co.us" TargetMode="External"/><Relationship Id="rId14" Type="http://schemas.openxmlformats.org/officeDocument/2006/relationships/hyperlink" Target="https://www.cde.state.co.us/accountability/cde-advisory-list-of-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5</Pages>
  <Words>1867</Words>
  <Characters>11078</Characters>
  <Application>Microsoft Office Word</Application>
  <DocSecurity>0</DocSecurity>
  <Lines>738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Links>
    <vt:vector size="42" baseType="variant">
      <vt:variant>
        <vt:i4>6619182</vt:i4>
      </vt:variant>
      <vt:variant>
        <vt:i4>18</vt:i4>
      </vt:variant>
      <vt:variant>
        <vt:i4>0</vt:i4>
      </vt:variant>
      <vt:variant>
        <vt:i4>5</vt:i4>
      </vt:variant>
      <vt:variant>
        <vt:lpwstr>https://www.cde.state.co.us/cdefinance/icrc</vt:lpwstr>
      </vt:variant>
      <vt:variant>
        <vt:lpwstr/>
      </vt:variant>
      <vt:variant>
        <vt:i4>3014774</vt:i4>
      </vt:variant>
      <vt:variant>
        <vt:i4>15</vt:i4>
      </vt:variant>
      <vt:variant>
        <vt:i4>0</vt:i4>
      </vt:variant>
      <vt:variant>
        <vt:i4>5</vt:i4>
      </vt:variant>
      <vt:variant>
        <vt:lpwstr>https://www.gsa.gov/travel/plan-a-trip</vt:lpwstr>
      </vt:variant>
      <vt:variant>
        <vt:lpwstr/>
      </vt:variant>
      <vt:variant>
        <vt:i4>1245260</vt:i4>
      </vt:variant>
      <vt:variant>
        <vt:i4>12</vt:i4>
      </vt:variant>
      <vt:variant>
        <vt:i4>0</vt:i4>
      </vt:variant>
      <vt:variant>
        <vt:i4>5</vt:i4>
      </vt:variant>
      <vt:variant>
        <vt:lpwstr>https://www.cde.state.co.us/accountability/cde-advisory-list-of-providers</vt:lpwstr>
      </vt:variant>
      <vt:variant>
        <vt:lpwstr/>
      </vt:variant>
      <vt:variant>
        <vt:i4>1245260</vt:i4>
      </vt:variant>
      <vt:variant>
        <vt:i4>9</vt:i4>
      </vt:variant>
      <vt:variant>
        <vt:i4>0</vt:i4>
      </vt:variant>
      <vt:variant>
        <vt:i4>5</vt:i4>
      </vt:variant>
      <vt:variant>
        <vt:lpwstr>https://www.cde.state.co.us/accountability/cde-advisory-list-of-providers</vt:lpwstr>
      </vt:variant>
      <vt:variant>
        <vt:lpwstr/>
      </vt:variant>
      <vt:variant>
        <vt:i4>3276915</vt:i4>
      </vt:variant>
      <vt:variant>
        <vt:i4>6</vt:i4>
      </vt:variant>
      <vt:variant>
        <vt:i4>0</vt:i4>
      </vt:variant>
      <vt:variant>
        <vt:i4>5</vt:i4>
      </vt:variant>
      <vt:variant>
        <vt:lpwstr>https://www.cde.state.co.us/fedprograms/easiappresourcesandtechnicalassistance</vt:lpwstr>
      </vt:variant>
      <vt:variant>
        <vt:lpwstr/>
      </vt:variant>
      <vt:variant>
        <vt:i4>524353</vt:i4>
      </vt:variant>
      <vt:variant>
        <vt:i4>3</vt:i4>
      </vt:variant>
      <vt:variant>
        <vt:i4>0</vt:i4>
      </vt:variant>
      <vt:variant>
        <vt:i4>5</vt:i4>
      </vt:variant>
      <vt:variant>
        <vt:lpwstr>https://www.cde.state.co.us/communications/strategicplan2025-2028</vt:lpwstr>
      </vt:variant>
      <vt:variant>
        <vt:lpwstr/>
      </vt:variant>
      <vt:variant>
        <vt:i4>5898308</vt:i4>
      </vt:variant>
      <vt:variant>
        <vt:i4>0</vt:i4>
      </vt:variant>
      <vt:variant>
        <vt:i4>0</vt:i4>
      </vt:variant>
      <vt:variant>
        <vt:i4>5</vt:i4>
      </vt:variant>
      <vt:variant>
        <vt:lpwstr>mailto:Cox_L@cde.state.co.us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254</cp:revision>
  <dcterms:created xsi:type="dcterms:W3CDTF">2025-06-10T17:14:00Z</dcterms:created>
  <dcterms:modified xsi:type="dcterms:W3CDTF">2025-09-04T17:44:00Z</dcterms:modified>
</cp:coreProperties>
</file>