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73BF2" w14:textId="77777777" w:rsidR="003A6307" w:rsidRDefault="003A6307">
      <w:pPr>
        <w:pStyle w:val="BodyText"/>
        <w:rPr>
          <w:rFonts w:ascii="Times New Roman"/>
        </w:rPr>
      </w:pPr>
    </w:p>
    <w:p w14:paraId="173388DC" w14:textId="77777777" w:rsidR="003A6307" w:rsidRDefault="003A6307">
      <w:pPr>
        <w:pStyle w:val="BodyText"/>
        <w:spacing w:before="130"/>
        <w:rPr>
          <w:rFonts w:ascii="Times New Roman"/>
        </w:rPr>
      </w:pPr>
    </w:p>
    <w:p w14:paraId="2F162083" w14:textId="77777777" w:rsidR="003A6307" w:rsidRDefault="006F4F60">
      <w:pPr>
        <w:pStyle w:val="BodyText"/>
        <w:spacing w:before="1" w:line="276" w:lineRule="auto"/>
        <w:ind w:left="2518" w:right="2498"/>
        <w:jc w:val="center"/>
        <w:rPr>
          <w:rFonts w:ascii="Calibri"/>
        </w:rPr>
      </w:pPr>
      <w:r>
        <w:rPr>
          <w:rFonts w:ascii="Calibri"/>
        </w:rPr>
        <w:t>Colorado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Department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Education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(CDE) Comments on</w:t>
      </w:r>
    </w:p>
    <w:p w14:paraId="7EEA0B17" w14:textId="77777777" w:rsidR="003A6307" w:rsidRDefault="006F4F60">
      <w:pPr>
        <w:pStyle w:val="BodyText"/>
        <w:ind w:left="16"/>
        <w:jc w:val="center"/>
        <w:rPr>
          <w:rFonts w:ascii="Calibri"/>
        </w:rPr>
      </w:pPr>
      <w:r>
        <w:rPr>
          <w:rFonts w:ascii="Calibri"/>
          <w:u w:val="single"/>
        </w:rPr>
        <w:t>Federal</w:t>
      </w:r>
      <w:r>
        <w:rPr>
          <w:rFonts w:ascii="Calibri"/>
          <w:spacing w:val="-9"/>
          <w:u w:val="single"/>
        </w:rPr>
        <w:t xml:space="preserve"> </w:t>
      </w:r>
      <w:r>
        <w:rPr>
          <w:rFonts w:ascii="Calibri"/>
          <w:u w:val="single"/>
        </w:rPr>
        <w:t>Register/Vol.</w:t>
      </w:r>
      <w:r>
        <w:rPr>
          <w:rFonts w:ascii="Calibri"/>
          <w:spacing w:val="-10"/>
          <w:u w:val="single"/>
        </w:rPr>
        <w:t xml:space="preserve"> </w:t>
      </w:r>
      <w:r>
        <w:rPr>
          <w:rFonts w:ascii="Calibri"/>
          <w:u w:val="single"/>
        </w:rPr>
        <w:t>81,</w:t>
      </w:r>
      <w:r>
        <w:rPr>
          <w:rFonts w:ascii="Calibri"/>
          <w:spacing w:val="-10"/>
          <w:u w:val="single"/>
        </w:rPr>
        <w:t xml:space="preserve"> </w:t>
      </w:r>
      <w:r>
        <w:rPr>
          <w:rFonts w:ascii="Calibri"/>
          <w:u w:val="single"/>
        </w:rPr>
        <w:t>No.</w:t>
      </w:r>
      <w:r>
        <w:rPr>
          <w:rFonts w:ascii="Calibri"/>
          <w:spacing w:val="-10"/>
          <w:u w:val="single"/>
        </w:rPr>
        <w:t xml:space="preserve"> </w:t>
      </w:r>
      <w:r>
        <w:rPr>
          <w:rFonts w:ascii="Calibri"/>
          <w:u w:val="single"/>
        </w:rPr>
        <w:t>132/Monday,</w:t>
      </w:r>
      <w:r>
        <w:rPr>
          <w:rFonts w:ascii="Calibri"/>
          <w:spacing w:val="-11"/>
          <w:u w:val="single"/>
        </w:rPr>
        <w:t xml:space="preserve"> </w:t>
      </w:r>
      <w:r>
        <w:rPr>
          <w:rFonts w:ascii="Calibri"/>
          <w:u w:val="single"/>
        </w:rPr>
        <w:t>July</w:t>
      </w:r>
      <w:r>
        <w:rPr>
          <w:rFonts w:ascii="Calibri"/>
          <w:spacing w:val="-10"/>
          <w:u w:val="single"/>
        </w:rPr>
        <w:t xml:space="preserve"> </w:t>
      </w:r>
      <w:r>
        <w:rPr>
          <w:rFonts w:ascii="Calibri"/>
          <w:u w:val="single"/>
        </w:rPr>
        <w:t>11,</w:t>
      </w:r>
      <w:r>
        <w:rPr>
          <w:rFonts w:ascii="Calibri"/>
          <w:spacing w:val="-10"/>
          <w:u w:val="single"/>
        </w:rPr>
        <w:t xml:space="preserve"> </w:t>
      </w:r>
      <w:r>
        <w:rPr>
          <w:rFonts w:ascii="Calibri"/>
          <w:u w:val="single"/>
        </w:rPr>
        <w:t>2016/Proposed</w:t>
      </w:r>
      <w:r>
        <w:rPr>
          <w:rFonts w:ascii="Calibri"/>
          <w:spacing w:val="-11"/>
          <w:u w:val="single"/>
        </w:rPr>
        <w:t xml:space="preserve"> </w:t>
      </w:r>
      <w:r>
        <w:rPr>
          <w:rFonts w:ascii="Calibri"/>
          <w:spacing w:val="-2"/>
          <w:u w:val="single"/>
        </w:rPr>
        <w:t>Rules</w:t>
      </w:r>
    </w:p>
    <w:p w14:paraId="73B878D3" w14:textId="77777777" w:rsidR="003A6307" w:rsidRDefault="003A6307">
      <w:pPr>
        <w:pStyle w:val="BodyText"/>
        <w:spacing w:before="81"/>
        <w:rPr>
          <w:rFonts w:ascii="Calibri"/>
        </w:rPr>
      </w:pPr>
    </w:p>
    <w:p w14:paraId="07002015" w14:textId="77777777" w:rsidR="003A6307" w:rsidRDefault="006F4F60">
      <w:pPr>
        <w:pStyle w:val="BodyText"/>
        <w:spacing w:line="276" w:lineRule="auto"/>
        <w:ind w:left="120" w:right="7016" w:hanging="1"/>
        <w:rPr>
          <w:rFonts w:ascii="Calibri"/>
        </w:rPr>
      </w:pPr>
      <w:r>
        <w:rPr>
          <w:rFonts w:ascii="Calibri"/>
        </w:rPr>
        <w:t>Department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Education 34 CFR Parts 200</w:t>
      </w:r>
    </w:p>
    <w:p w14:paraId="2ADB689F" w14:textId="77777777" w:rsidR="003A6307" w:rsidRDefault="006F4F60">
      <w:pPr>
        <w:pStyle w:val="BodyText"/>
        <w:spacing w:line="268" w:lineRule="exact"/>
        <w:ind w:left="119"/>
        <w:rPr>
          <w:rFonts w:ascii="Calibri" w:hAnsi="Calibri"/>
        </w:rPr>
      </w:pPr>
      <w:r>
        <w:rPr>
          <w:rFonts w:ascii="Calibri" w:hAnsi="Calibri"/>
        </w:rPr>
        <w:t>RIN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1810‐AB32</w:t>
      </w:r>
    </w:p>
    <w:p w14:paraId="3E496EEF" w14:textId="77777777" w:rsidR="003A6307" w:rsidRDefault="006F4F60">
      <w:pPr>
        <w:pStyle w:val="BodyText"/>
        <w:spacing w:before="41"/>
        <w:ind w:left="119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267651C" wp14:editId="3502B721">
                <wp:simplePos x="0" y="0"/>
                <wp:positionH relativeFrom="page">
                  <wp:posOffset>2682239</wp:posOffset>
                </wp:positionH>
                <wp:positionV relativeFrom="paragraph">
                  <wp:posOffset>175190</wp:posOffset>
                </wp:positionV>
                <wp:extent cx="43180" cy="9525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8C412" id="Graphic 1" o:spid="_x0000_s1026" alt="&quot;&quot;" style="position:absolute;margin-left:211.2pt;margin-top:13.8pt;width:3.4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xWIQIAALMEAAAOAAAAZHJzL2Uyb0RvYy54bWysVMFu2zAMvQ/YPwi6L06ytGuNOMXQosOA&#10;oivQDDsrshwbk0VNVGLn70fJlhN0pw3zQabMJ+rxkfT6rm81OyqHDZiCL2ZzzpSRUDZmX/Dv28cP&#10;N5yhF6YUGowq+Ekhv9u8f7fubK6WUIMulWMUxGDe2YLX3ts8y1DWqhU4A6sMOStwrfC0dfusdKKj&#10;6K3OlvP5ddaBK60DqRDp68Pg5JsYv6qU9N+qCpVnuuDEzcfVxXUX1myzFvneCVs3cqQh/oFFKxpD&#10;l06hHoQX7OCaP0K1jXSAUPmZhDaDqmqkijlQNov5m2xea2FVzIXEQTvJhP8vrHw+vtoXF6ijfQL5&#10;E0mRrLOYT56wwRHTV64NWCLO+qjiaVJR9Z5J+rj6uLghqSV5bq+WV0HiTOTppDyg/6IgRhHHJ/RD&#10;BcpkiTpZsjfJdFTHUEEdK+g5owo6zqiCu6GCVvhwLlALJusmGvXIIrhaOKotRJAP9FfL609LzlIK&#10;xPKM0OYSSflcoJIvvW2MNmBuF6vVmHJyp/cAO1/6F9DYqMQvhZIaUA3ChnyjwpMGhLtUGUE35WOj&#10;dUgc3X53rx07ijAQ8RnZXsBi/YeSh+LvoDy9ONbRlBQcfx2EU5zpr4baMIxUMlwydslwXt9DHLyo&#10;uUO/7X8IZ5kls+CeOuYZUpOLPLUD8Q+AARtOGvh88FA1oVcit4HRuKHJiPmPUxxG73IfUed/zeY3&#10;AAAA//8DAFBLAwQUAAYACAAAACEAl3D+vN8AAAAJAQAADwAAAGRycy9kb3ducmV2LnhtbEyPwU7D&#10;MAyG70i8Q2QkLoili0rHStNpAgHSxIWNB0gb05Y2TtVkW3l7zAmOtj/9/v5iM7tBnHAKnScNy0UC&#10;Aqn2tqNGw8fh+fYeRIiGrBk8oYZvDLApLy8Kk1t/pnc87WMjOIRCbjS0MY65lKFu0Zmw8CMS3z79&#10;5EzkcWqkncyZw90gVZJk0pmO+ENrRnxsse73R6ehf5UvN9sn6ndf1equm96yXXPItL6+mrcPICLO&#10;8Q+GX31Wh5KdKn8kG8SgIVUqZVSDWmUgGEjVWoGoeLFegiwL+b9B+QMAAP//AwBQSwECLQAUAAYA&#10;CAAAACEAtoM4kv4AAADhAQAAEwAAAAAAAAAAAAAAAAAAAAAAW0NvbnRlbnRfVHlwZXNdLnhtbFBL&#10;AQItABQABgAIAAAAIQA4/SH/1gAAAJQBAAALAAAAAAAAAAAAAAAAAC8BAABfcmVscy8ucmVsc1BL&#10;AQItABQABgAIAAAAIQCvO+xWIQIAALMEAAAOAAAAAAAAAAAAAAAAAC4CAABkcnMvZTJvRG9jLnht&#10;bFBLAQItABQABgAIAAAAIQCXcP683wAAAAkBAAAPAAAAAAAAAAAAAAAAAHsEAABkcnMvZG93bnJl&#10;di54bWxQSwUGAAAAAAQABADzAAAAhwUAAAAA&#10;" path="m42672,l,,,9144r42672,l4267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u w:val="single"/>
        </w:rPr>
        <w:t>[</w:t>
      </w:r>
      <w:r>
        <w:rPr>
          <w:rFonts w:ascii="Calibri" w:hAnsi="Calibri"/>
          <w:color w:val="0000FF"/>
          <w:u w:val="single" w:color="0000FF"/>
        </w:rPr>
        <w:t>Docket</w:t>
      </w:r>
      <w:r>
        <w:rPr>
          <w:rFonts w:ascii="Calibri" w:hAnsi="Calibri"/>
          <w:color w:val="0000FF"/>
          <w:spacing w:val="-6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ID</w:t>
      </w:r>
      <w:r>
        <w:rPr>
          <w:rFonts w:ascii="Calibri" w:hAnsi="Calibri"/>
          <w:color w:val="0000FF"/>
          <w:spacing w:val="-4"/>
          <w:u w:val="single" w:color="0000FF"/>
        </w:rPr>
        <w:t xml:space="preserve"> </w:t>
      </w:r>
      <w:r>
        <w:rPr>
          <w:rFonts w:ascii="Calibri" w:hAnsi="Calibri"/>
          <w:color w:val="0000FF"/>
          <w:spacing w:val="-2"/>
          <w:u w:val="single" w:color="0000FF"/>
        </w:rPr>
        <w:t>ED‐2016‐OESE‐0053</w:t>
      </w:r>
      <w:r>
        <w:rPr>
          <w:rFonts w:ascii="Calibri" w:hAnsi="Calibri"/>
          <w:spacing w:val="-2"/>
        </w:rPr>
        <w:t>]</w:t>
      </w:r>
    </w:p>
    <w:p w14:paraId="22319221" w14:textId="77777777" w:rsidR="003A6307" w:rsidRDefault="003A6307">
      <w:pPr>
        <w:pStyle w:val="BodyText"/>
        <w:spacing w:before="79"/>
        <w:rPr>
          <w:rFonts w:ascii="Calibri"/>
        </w:rPr>
      </w:pPr>
    </w:p>
    <w:p w14:paraId="62BFC484" w14:textId="77777777" w:rsidR="003A6307" w:rsidRDefault="006F4F60">
      <w:pPr>
        <w:pStyle w:val="BodyText"/>
        <w:spacing w:before="1" w:line="276" w:lineRule="auto"/>
        <w:ind w:left="120" w:right="116"/>
        <w:rPr>
          <w:rFonts w:ascii="Calibri" w:hAnsi="Calibri"/>
        </w:rPr>
      </w:pPr>
      <w:r>
        <w:rPr>
          <w:rFonts w:ascii="Calibri" w:hAnsi="Calibri"/>
        </w:rPr>
        <w:t xml:space="preserve">The Colorado Department of Education (CDE) submitted the following comments on the </w:t>
      </w:r>
      <w:r>
        <w:rPr>
          <w:rFonts w:ascii="Calibri" w:hAnsi="Calibri"/>
          <w:color w:val="0000FF"/>
          <w:u w:val="single" w:color="0000FF"/>
        </w:rPr>
        <w:t>U.S.</w:t>
      </w:r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 xml:space="preserve">Department of Education (USDE), Notice of Proposed </w:t>
      </w:r>
      <w:proofErr w:type="gramStart"/>
      <w:r>
        <w:rPr>
          <w:rFonts w:ascii="Calibri" w:hAnsi="Calibri"/>
          <w:color w:val="0000FF"/>
          <w:u w:val="single" w:color="0000FF"/>
        </w:rPr>
        <w:t>Rule‐Making</w:t>
      </w:r>
      <w:proofErr w:type="gramEnd"/>
      <w:r>
        <w:rPr>
          <w:rFonts w:ascii="Calibri" w:hAnsi="Calibri"/>
          <w:color w:val="0000FF"/>
          <w:u w:val="single" w:color="0000FF"/>
        </w:rPr>
        <w:t xml:space="preserve"> (NPRM), Title I‐Improving the</w:t>
      </w:r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Academic</w:t>
      </w:r>
      <w:r>
        <w:rPr>
          <w:rFonts w:ascii="Calibri" w:hAnsi="Calibri"/>
          <w:color w:val="0000FF"/>
          <w:spacing w:val="-7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Achievement</w:t>
      </w:r>
      <w:r>
        <w:rPr>
          <w:rFonts w:ascii="Calibri" w:hAnsi="Calibri"/>
          <w:color w:val="0000FF"/>
          <w:spacing w:val="-7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of</w:t>
      </w:r>
      <w:r>
        <w:rPr>
          <w:rFonts w:ascii="Calibri" w:hAnsi="Calibri"/>
          <w:color w:val="0000FF"/>
          <w:spacing w:val="-5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the</w:t>
      </w:r>
      <w:r>
        <w:rPr>
          <w:rFonts w:ascii="Calibri" w:hAnsi="Calibri"/>
          <w:color w:val="0000FF"/>
          <w:spacing w:val="-5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Disadvantaged‐Academic</w:t>
      </w:r>
      <w:r>
        <w:rPr>
          <w:rFonts w:ascii="Calibri" w:hAnsi="Calibri"/>
          <w:color w:val="0000FF"/>
          <w:spacing w:val="-5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Assessments,</w:t>
      </w:r>
      <w:r>
        <w:rPr>
          <w:rFonts w:ascii="Calibri" w:hAnsi="Calibri"/>
          <w:color w:val="0000FF"/>
          <w:spacing w:val="-7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[Docket</w:t>
      </w:r>
      <w:r>
        <w:rPr>
          <w:rFonts w:ascii="Calibri" w:hAnsi="Calibri"/>
          <w:color w:val="0000FF"/>
          <w:spacing w:val="-5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ID</w:t>
      </w:r>
      <w:r>
        <w:rPr>
          <w:rFonts w:ascii="Calibri" w:hAnsi="Calibri"/>
          <w:color w:val="0000FF"/>
          <w:spacing w:val="-5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ED‐2016‐OESE‐0053],</w:t>
      </w:r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published on July 11, 2016.</w:t>
      </w:r>
    </w:p>
    <w:p w14:paraId="71E2F58F" w14:textId="77777777" w:rsidR="003A6307" w:rsidRDefault="003A6307">
      <w:pPr>
        <w:pStyle w:val="BodyText"/>
        <w:rPr>
          <w:rFonts w:ascii="Calibri"/>
        </w:rPr>
      </w:pPr>
    </w:p>
    <w:p w14:paraId="2AF36796" w14:textId="77777777" w:rsidR="003A6307" w:rsidRDefault="003A6307">
      <w:pPr>
        <w:pStyle w:val="BodyText"/>
        <w:spacing w:before="153"/>
        <w:rPr>
          <w:rFonts w:ascii="Calibri"/>
        </w:rPr>
      </w:pPr>
    </w:p>
    <w:p w14:paraId="56D9AA0D" w14:textId="77777777" w:rsidR="003A6307" w:rsidRDefault="006F4F60">
      <w:pPr>
        <w:spacing w:before="1" w:line="278" w:lineRule="auto"/>
        <w:ind w:left="120"/>
        <w:rPr>
          <w:i/>
        </w:rPr>
      </w:pP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§</w:t>
      </w:r>
      <w:r>
        <w:rPr>
          <w:i/>
          <w:color w:val="323232"/>
          <w:spacing w:val="-10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200.2(a),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which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identifies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the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required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subject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areas</w:t>
      </w:r>
      <w:r>
        <w:rPr>
          <w:i/>
          <w:color w:val="323232"/>
          <w:spacing w:val="-2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in</w:t>
      </w:r>
      <w:r>
        <w:rPr>
          <w:i/>
          <w:color w:val="323232"/>
          <w:spacing w:val="-2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which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a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State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must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administer</w:t>
      </w:r>
      <w:r>
        <w:rPr>
          <w:i/>
          <w:color w:val="323232"/>
          <w:spacing w:val="-2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yearly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student academic assessments</w:t>
      </w:r>
    </w:p>
    <w:p w14:paraId="775D9647" w14:textId="77777777" w:rsidR="003A6307" w:rsidRDefault="006F4F60">
      <w:pPr>
        <w:pStyle w:val="BodyText"/>
        <w:spacing w:before="196" w:line="276" w:lineRule="auto"/>
        <w:ind w:left="120"/>
      </w:pPr>
      <w:r>
        <w:rPr>
          <w:color w:val="323232"/>
          <w:shd w:val="clear" w:color="auto" w:fill="F0F0F0"/>
        </w:rPr>
        <w:t>Comment: Both the current and proposed regulations make a significant change from the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legislation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in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the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identification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of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the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required subject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areas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in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which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State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must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administer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yearly student academic assessments.</w:t>
      </w:r>
    </w:p>
    <w:p w14:paraId="5C5B0EAA" w14:textId="77777777" w:rsidR="003A6307" w:rsidRDefault="006F4F60">
      <w:pPr>
        <w:pStyle w:val="BodyText"/>
        <w:spacing w:before="200" w:line="276" w:lineRule="auto"/>
        <w:ind w:left="120"/>
      </w:pPr>
      <w:r>
        <w:rPr>
          <w:color w:val="323232"/>
          <w:shd w:val="clear" w:color="auto" w:fill="F0F0F0"/>
        </w:rPr>
        <w:t>Recommendation: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Make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universal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edit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to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“reading/language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arts”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to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return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to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the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legislative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language of “reading or language arts” to ensure that there is no potential expansion of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requirements beyond those found in legislation (ex., requiring speaking and listening</w:t>
      </w:r>
      <w:r>
        <w:rPr>
          <w:color w:val="323232"/>
        </w:rPr>
        <w:t xml:space="preserve"> </w:t>
      </w:r>
      <w:r>
        <w:rPr>
          <w:color w:val="323232"/>
          <w:spacing w:val="-2"/>
          <w:shd w:val="clear" w:color="auto" w:fill="F0F0F0"/>
        </w:rPr>
        <w:t>assessments).</w:t>
      </w:r>
    </w:p>
    <w:p w14:paraId="2C4E66C0" w14:textId="77777777" w:rsidR="003A6307" w:rsidRDefault="003A6307">
      <w:pPr>
        <w:pStyle w:val="BodyText"/>
      </w:pPr>
    </w:p>
    <w:p w14:paraId="56C8A92B" w14:textId="77777777" w:rsidR="003A6307" w:rsidRDefault="003A6307">
      <w:pPr>
        <w:pStyle w:val="BodyText"/>
        <w:spacing w:before="189"/>
      </w:pPr>
    </w:p>
    <w:p w14:paraId="6B0EB328" w14:textId="77777777" w:rsidR="003A6307" w:rsidRDefault="006F4F60">
      <w:pPr>
        <w:spacing w:before="1" w:line="278" w:lineRule="auto"/>
        <w:ind w:left="120"/>
        <w:rPr>
          <w:i/>
        </w:rPr>
      </w:pP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§</w:t>
      </w:r>
      <w:r>
        <w:rPr>
          <w:i/>
          <w:color w:val="323232"/>
          <w:spacing w:val="-11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200.3(a)(2),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an</w:t>
      </w:r>
      <w:r>
        <w:rPr>
          <w:i/>
          <w:color w:val="323232"/>
          <w:spacing w:val="-2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LEA</w:t>
      </w:r>
      <w:r>
        <w:rPr>
          <w:i/>
          <w:color w:val="323232"/>
          <w:spacing w:val="-2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would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be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required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to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administer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the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same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locally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selected,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nationally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recognized academic assessment to all high school students in the LEA</w:t>
      </w:r>
    </w:p>
    <w:p w14:paraId="2DFBEBE2" w14:textId="77777777" w:rsidR="003A6307" w:rsidRDefault="006F4F60">
      <w:pPr>
        <w:pStyle w:val="BodyText"/>
        <w:spacing w:before="197" w:line="276" w:lineRule="auto"/>
        <w:ind w:left="120" w:right="188"/>
      </w:pPr>
      <w:r>
        <w:rPr>
          <w:color w:val="323232"/>
          <w:shd w:val="clear" w:color="auto" w:fill="F0F0F0"/>
        </w:rPr>
        <w:t xml:space="preserve">Comment: If the </w:t>
      </w:r>
      <w:proofErr w:type="gramStart"/>
      <w:r>
        <w:rPr>
          <w:color w:val="323232"/>
          <w:shd w:val="clear" w:color="auto" w:fill="F0F0F0"/>
        </w:rPr>
        <w:t>nationally-selected</w:t>
      </w:r>
      <w:proofErr w:type="gramEnd"/>
      <w:r>
        <w:rPr>
          <w:color w:val="323232"/>
          <w:shd w:val="clear" w:color="auto" w:fill="F0F0F0"/>
        </w:rPr>
        <w:t xml:space="preserve"> high school assessment is deemed to meet comparability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requirements to be included as an option to the State assessment, the Department is strongly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encouraged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to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consider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allowing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the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same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flexibility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at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the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LEA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level.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This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potentially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could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also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meet the goals of reduced testing and eliminating double testing by allowing decisions and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choices to be made about appropriate testing options at the student level.</w:t>
      </w:r>
    </w:p>
    <w:p w14:paraId="34951BBD" w14:textId="77777777" w:rsidR="003A6307" w:rsidRDefault="006F4F60">
      <w:pPr>
        <w:pStyle w:val="BodyText"/>
        <w:spacing w:before="200" w:line="276" w:lineRule="auto"/>
        <w:ind w:left="120" w:right="116"/>
      </w:pPr>
      <w:r>
        <w:rPr>
          <w:color w:val="323232"/>
          <w:shd w:val="clear" w:color="auto" w:fill="F0F0F0"/>
        </w:rPr>
        <w:t>Recommendation: If a placement exam based on college course expectations meets the State’s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criteria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for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comparability,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student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already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taking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that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exam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for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placement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and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credit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purposes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should not have to also take the State assessment.</w:t>
      </w:r>
    </w:p>
    <w:p w14:paraId="5755E4F2" w14:textId="77777777" w:rsidR="003A6307" w:rsidRDefault="003A6307">
      <w:pPr>
        <w:spacing w:line="276" w:lineRule="auto"/>
        <w:sectPr w:rsidR="003A6307">
          <w:type w:val="continuous"/>
          <w:pgSz w:w="12240" w:h="15840"/>
          <w:pgMar w:top="1820" w:right="1340" w:bottom="280" w:left="1320" w:header="720" w:footer="720" w:gutter="0"/>
          <w:cols w:space="720"/>
        </w:sectPr>
      </w:pPr>
    </w:p>
    <w:p w14:paraId="153CF61A" w14:textId="77777777" w:rsidR="003A6307" w:rsidRDefault="006F4F60">
      <w:pPr>
        <w:spacing w:before="109" w:line="278" w:lineRule="auto"/>
        <w:ind w:left="120" w:right="188"/>
        <w:rPr>
          <w:i/>
        </w:rPr>
      </w:pPr>
      <w:r>
        <w:rPr>
          <w:i/>
          <w:color w:val="323232"/>
          <w:shd w:val="clear" w:color="auto" w:fill="F0F0F0"/>
        </w:rPr>
        <w:lastRenderedPageBreak/>
        <w:t>First, proposed § 200.5(b) would make clear that only a State that administers an end-of-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course</w:t>
      </w:r>
      <w:r>
        <w:rPr>
          <w:i/>
          <w:color w:val="323232"/>
          <w:spacing w:val="-2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mathematics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assessment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to</w:t>
      </w:r>
      <w:r>
        <w:rPr>
          <w:i/>
          <w:color w:val="323232"/>
          <w:spacing w:val="-1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meet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the</w:t>
      </w:r>
      <w:r>
        <w:rPr>
          <w:i/>
          <w:color w:val="323232"/>
          <w:spacing w:val="-2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high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school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assessment</w:t>
      </w:r>
      <w:r>
        <w:rPr>
          <w:i/>
          <w:color w:val="323232"/>
          <w:spacing w:val="-2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requirement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may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offer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the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exception to eighth-grade students, consistent with section 1111(b)(2)(C)(</w:t>
      </w:r>
      <w:proofErr w:type="spellStart"/>
      <w:r>
        <w:rPr>
          <w:i/>
          <w:color w:val="323232"/>
          <w:shd w:val="clear" w:color="auto" w:fill="F0F0F0"/>
        </w:rPr>
        <w:t>i</w:t>
      </w:r>
      <w:proofErr w:type="spellEnd"/>
      <w:r>
        <w:rPr>
          <w:i/>
          <w:color w:val="323232"/>
          <w:shd w:val="clear" w:color="auto" w:fill="F0F0F0"/>
        </w:rPr>
        <w:t>). The exception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would not apply in a State that administers a general mathematics assessment in, for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example, eleventh grade. Second, proposed § 200.5(b)(3)(</w:t>
      </w:r>
      <w:proofErr w:type="spellStart"/>
      <w:r>
        <w:rPr>
          <w:i/>
          <w:color w:val="323232"/>
          <w:shd w:val="clear" w:color="auto" w:fill="F0F0F0"/>
        </w:rPr>
        <w:t>i</w:t>
      </w:r>
      <w:proofErr w:type="spellEnd"/>
      <w:r>
        <w:rPr>
          <w:i/>
          <w:color w:val="323232"/>
          <w:shd w:val="clear" w:color="auto" w:fill="F0F0F0"/>
        </w:rPr>
        <w:t>) would permit a student who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received the exception in eighth grade to take in high school either a State-administered end-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of-course mathematics assessment or a nationally recognized high school academic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assessment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in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mathematics,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as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defined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in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proposed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§</w:t>
      </w:r>
      <w:r>
        <w:rPr>
          <w:i/>
          <w:color w:val="323232"/>
          <w:spacing w:val="-10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200.3(d),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that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is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mor</w:t>
      </w:r>
      <w:r>
        <w:rPr>
          <w:i/>
          <w:color w:val="323232"/>
          <w:shd w:val="clear" w:color="auto" w:fill="F0F0F0"/>
        </w:rPr>
        <w:t>e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advanced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than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the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assessment the student took in eighth grade.</w:t>
      </w:r>
      <w:r>
        <w:rPr>
          <w:i/>
          <w:color w:val="323232"/>
          <w:spacing w:val="40"/>
          <w:shd w:val="clear" w:color="auto" w:fill="F0F0F0"/>
        </w:rPr>
        <w:t xml:space="preserve"> </w:t>
      </w:r>
    </w:p>
    <w:p w14:paraId="5EBA0348" w14:textId="77777777" w:rsidR="003A6307" w:rsidRDefault="006F4F60">
      <w:pPr>
        <w:pStyle w:val="BodyText"/>
        <w:spacing w:before="188"/>
        <w:ind w:left="120"/>
      </w:pPr>
      <w:r>
        <w:rPr>
          <w:color w:val="323232"/>
          <w:shd w:val="clear" w:color="auto" w:fill="F0F0F0"/>
        </w:rPr>
        <w:t>Comment:</w:t>
      </w:r>
      <w:r>
        <w:rPr>
          <w:color w:val="323232"/>
          <w:spacing w:val="-11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Seventh</w:t>
      </w:r>
      <w:r>
        <w:rPr>
          <w:color w:val="323232"/>
          <w:spacing w:val="-10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graders</w:t>
      </w:r>
      <w:r>
        <w:rPr>
          <w:color w:val="323232"/>
          <w:spacing w:val="-9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may</w:t>
      </w:r>
      <w:r>
        <w:rPr>
          <w:color w:val="323232"/>
          <w:spacing w:val="-9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also</w:t>
      </w:r>
      <w:r>
        <w:rPr>
          <w:color w:val="323232"/>
          <w:spacing w:val="-10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be</w:t>
      </w:r>
      <w:r>
        <w:rPr>
          <w:color w:val="323232"/>
          <w:spacing w:val="-11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engaged</w:t>
      </w:r>
      <w:r>
        <w:rPr>
          <w:color w:val="323232"/>
          <w:spacing w:val="-9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in</w:t>
      </w:r>
      <w:r>
        <w:rPr>
          <w:color w:val="323232"/>
          <w:spacing w:val="-10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advanced</w:t>
      </w:r>
      <w:r>
        <w:rPr>
          <w:color w:val="323232"/>
          <w:spacing w:val="-9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math</w:t>
      </w:r>
      <w:r>
        <w:rPr>
          <w:color w:val="323232"/>
          <w:spacing w:val="-10"/>
          <w:shd w:val="clear" w:color="auto" w:fill="F0F0F0"/>
        </w:rPr>
        <w:t xml:space="preserve"> </w:t>
      </w:r>
      <w:r>
        <w:rPr>
          <w:color w:val="323232"/>
          <w:spacing w:val="-2"/>
          <w:shd w:val="clear" w:color="auto" w:fill="F0F0F0"/>
        </w:rPr>
        <w:t>coursework.</w:t>
      </w:r>
    </w:p>
    <w:p w14:paraId="211CD812" w14:textId="77777777" w:rsidR="003A6307" w:rsidRDefault="006F4F60">
      <w:pPr>
        <w:pStyle w:val="BodyText"/>
        <w:spacing w:before="237" w:line="276" w:lineRule="auto"/>
        <w:ind w:left="120"/>
      </w:pPr>
      <w:r>
        <w:rPr>
          <w:color w:val="323232"/>
          <w:shd w:val="clear" w:color="auto" w:fill="F0F0F0"/>
        </w:rPr>
        <w:t>Recommendation:</w:t>
      </w:r>
      <w:r>
        <w:rPr>
          <w:color w:val="323232"/>
          <w:spacing w:val="-4"/>
          <w:shd w:val="clear" w:color="auto" w:fill="F0F0F0"/>
        </w:rPr>
        <w:t xml:space="preserve"> </w:t>
      </w:r>
      <w:proofErr w:type="gramStart"/>
      <w:r>
        <w:rPr>
          <w:color w:val="323232"/>
          <w:shd w:val="clear" w:color="auto" w:fill="F0F0F0"/>
        </w:rPr>
        <w:t>As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long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as</w:t>
      </w:r>
      <w:proofErr w:type="gramEnd"/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there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are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two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additional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more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advanced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assessments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available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for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students to take in future years (one for students to take as 8</w:t>
      </w:r>
      <w:proofErr w:type="spellStart"/>
      <w:r>
        <w:rPr>
          <w:color w:val="323232"/>
          <w:position w:val="6"/>
          <w:sz w:val="14"/>
          <w:shd w:val="clear" w:color="auto" w:fill="F0F0F0"/>
        </w:rPr>
        <w:t>th</w:t>
      </w:r>
      <w:proofErr w:type="spellEnd"/>
      <w:r>
        <w:rPr>
          <w:color w:val="323232"/>
          <w:spacing w:val="23"/>
          <w:position w:val="6"/>
          <w:sz w:val="1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graders and one to take in high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school), extend the flexibility to 7</w:t>
      </w:r>
      <w:proofErr w:type="spellStart"/>
      <w:r>
        <w:rPr>
          <w:color w:val="323232"/>
          <w:position w:val="6"/>
          <w:sz w:val="14"/>
          <w:shd w:val="clear" w:color="auto" w:fill="F0F0F0"/>
        </w:rPr>
        <w:t>th</w:t>
      </w:r>
      <w:proofErr w:type="spellEnd"/>
      <w:r>
        <w:rPr>
          <w:color w:val="323232"/>
          <w:spacing w:val="40"/>
          <w:position w:val="6"/>
          <w:sz w:val="1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grade.</w:t>
      </w:r>
    </w:p>
    <w:p w14:paraId="6A99E821" w14:textId="77777777" w:rsidR="003A6307" w:rsidRDefault="003A6307">
      <w:pPr>
        <w:pStyle w:val="BodyText"/>
      </w:pPr>
    </w:p>
    <w:p w14:paraId="2D6B1FAB" w14:textId="77777777" w:rsidR="003A6307" w:rsidRDefault="003A6307">
      <w:pPr>
        <w:pStyle w:val="BodyText"/>
        <w:spacing w:before="212"/>
      </w:pPr>
    </w:p>
    <w:p w14:paraId="01AAA942" w14:textId="77777777" w:rsidR="003A6307" w:rsidRDefault="006F4F60">
      <w:pPr>
        <w:spacing w:line="276" w:lineRule="auto"/>
        <w:ind w:left="120" w:right="116"/>
        <w:rPr>
          <w:i/>
        </w:rPr>
      </w:pPr>
      <w:r>
        <w:rPr>
          <w:i/>
          <w:color w:val="323232"/>
          <w:shd w:val="clear" w:color="auto" w:fill="F0F0F0"/>
        </w:rPr>
        <w:t>Proposed § 200.6(c) would incorporate new statutory requirements regarding alternate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assessments aligned with alternate academic achievement standards for students with the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most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significant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cognitive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disabilities,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including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the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cap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of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1.0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percent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of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students</w:t>
      </w:r>
      <w:r>
        <w:rPr>
          <w:i/>
          <w:color w:val="323232"/>
          <w:spacing w:val="-3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assessed</w:t>
      </w:r>
      <w:r>
        <w:rPr>
          <w:i/>
          <w:color w:val="323232"/>
          <w:spacing w:val="-4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in</w:t>
      </w:r>
      <w:r>
        <w:rPr>
          <w:i/>
          <w:color w:val="323232"/>
          <w:spacing w:val="-1"/>
          <w:shd w:val="clear" w:color="auto" w:fill="F0F0F0"/>
        </w:rPr>
        <w:t xml:space="preserve"> </w:t>
      </w:r>
      <w:r>
        <w:rPr>
          <w:i/>
          <w:color w:val="323232"/>
          <w:shd w:val="clear" w:color="auto" w:fill="F0F0F0"/>
        </w:rPr>
        <w:t>a</w:t>
      </w:r>
      <w:r>
        <w:rPr>
          <w:i/>
          <w:color w:val="323232"/>
        </w:rPr>
        <w:t xml:space="preserve"> </w:t>
      </w:r>
      <w:r>
        <w:rPr>
          <w:i/>
          <w:color w:val="323232"/>
          <w:shd w:val="clear" w:color="auto" w:fill="F0F0F0"/>
        </w:rPr>
        <w:t>subject in a school year at the State level, as well as clarify other statutory provisions.</w:t>
      </w:r>
    </w:p>
    <w:p w14:paraId="0B2BFD0E" w14:textId="77777777" w:rsidR="003A6307" w:rsidRDefault="006F4F60">
      <w:pPr>
        <w:pStyle w:val="BodyText"/>
        <w:spacing w:before="201" w:line="276" w:lineRule="auto"/>
        <w:ind w:left="120"/>
      </w:pPr>
      <w:r>
        <w:rPr>
          <w:color w:val="323232"/>
          <w:shd w:val="clear" w:color="auto" w:fill="F0F0F0"/>
        </w:rPr>
        <w:t>Recommendation: To ensure inappropriate pressure is not applied to IEP teams based on the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state cap of 1.0 percent, increased emphasis should be added to the rules directing IEP teams to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follow</w:t>
      </w:r>
      <w:r>
        <w:rPr>
          <w:color w:val="323232"/>
          <w:spacing w:val="-5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State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participation</w:t>
      </w:r>
      <w:r>
        <w:rPr>
          <w:color w:val="323232"/>
          <w:spacing w:val="-5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guidelines</w:t>
      </w:r>
      <w:r>
        <w:rPr>
          <w:color w:val="323232"/>
          <w:spacing w:val="-5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when</w:t>
      </w:r>
      <w:r>
        <w:rPr>
          <w:color w:val="323232"/>
          <w:spacing w:val="-3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making</w:t>
      </w:r>
      <w:r>
        <w:rPr>
          <w:color w:val="323232"/>
          <w:spacing w:val="-5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determinations</w:t>
      </w:r>
      <w:r>
        <w:rPr>
          <w:color w:val="323232"/>
          <w:spacing w:val="-5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regarding</w:t>
      </w:r>
      <w:r>
        <w:rPr>
          <w:color w:val="323232"/>
          <w:spacing w:val="-5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which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assessment</w:t>
      </w:r>
      <w:r>
        <w:rPr>
          <w:color w:val="323232"/>
          <w:spacing w:val="-4"/>
          <w:shd w:val="clear" w:color="auto" w:fill="F0F0F0"/>
        </w:rPr>
        <w:t xml:space="preserve"> </w:t>
      </w:r>
      <w:r>
        <w:rPr>
          <w:color w:val="323232"/>
          <w:shd w:val="clear" w:color="auto" w:fill="F0F0F0"/>
        </w:rPr>
        <w:t>a</w:t>
      </w:r>
      <w:r>
        <w:rPr>
          <w:color w:val="323232"/>
        </w:rPr>
        <w:t xml:space="preserve"> </w:t>
      </w:r>
      <w:r>
        <w:rPr>
          <w:color w:val="323232"/>
          <w:shd w:val="clear" w:color="auto" w:fill="F0F0F0"/>
        </w:rPr>
        <w:t>student will take, rather than being influenced by the cap.</w:t>
      </w:r>
    </w:p>
    <w:p w14:paraId="3197BEC8" w14:textId="77777777" w:rsidR="003A6307" w:rsidRDefault="003A6307">
      <w:pPr>
        <w:pStyle w:val="BodyText"/>
        <w:rPr>
          <w:sz w:val="20"/>
        </w:rPr>
      </w:pPr>
    </w:p>
    <w:p w14:paraId="257ECE13" w14:textId="77777777" w:rsidR="003A6307" w:rsidRDefault="006F4F60">
      <w:pPr>
        <w:pStyle w:val="BodyText"/>
        <w:spacing w:before="209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85C1515" wp14:editId="010EE6B0">
                <wp:extent cx="5600700" cy="278892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0" cy="278892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30B31BDC" w14:textId="77777777" w:rsidR="003A6307" w:rsidRDefault="006F4F60">
                            <w:pPr>
                              <w:spacing w:before="135" w:line="360" w:lineRule="auto"/>
                              <w:ind w:left="30" w:right="4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(4) If a State anticipates that it will exceed the cap under paragraph (c)(2) of this section</w:t>
                            </w:r>
                            <w:r>
                              <w:rPr>
                                <w:i/>
                                <w:color w:val="323232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i/>
                                <w:color w:val="32323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respect</w:t>
                            </w:r>
                            <w:r>
                              <w:rPr>
                                <w:i/>
                                <w:color w:val="323232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32323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i/>
                                <w:color w:val="323232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subject</w:t>
                            </w:r>
                            <w:r>
                              <w:rPr>
                                <w:i/>
                                <w:color w:val="32323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i/>
                                <w:color w:val="32323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assessments</w:t>
                            </w:r>
                            <w:r>
                              <w:rPr>
                                <w:i/>
                                <w:color w:val="32323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323232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administered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pacing w:val="-2"/>
                                <w:sz w:val="24"/>
                              </w:rPr>
                              <w:t>under</w:t>
                            </w:r>
                          </w:p>
                          <w:p w14:paraId="62409BA0" w14:textId="77777777" w:rsidR="003A6307" w:rsidRDefault="006F4F60">
                            <w:pPr>
                              <w:spacing w:line="360" w:lineRule="auto"/>
                              <w:ind w:left="30" w:right="4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323232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200.2(a)(1) in any school year, the State may request that the Secretary waive the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cap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relevant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subject,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pursuant</w:t>
                            </w:r>
                            <w:r>
                              <w:rPr>
                                <w:i/>
                                <w:color w:val="323232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8401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Act,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year. Such request must—</w:t>
                            </w:r>
                          </w:p>
                          <w:p w14:paraId="639F435E" w14:textId="77777777" w:rsidR="003A6307" w:rsidRDefault="003A6307">
                            <w:pPr>
                              <w:pStyle w:val="BodyText"/>
                              <w:spacing w:before="82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</w:p>
                          <w:p w14:paraId="6FE8676E" w14:textId="77777777" w:rsidR="003A6307" w:rsidRDefault="006F4F60">
                            <w:pPr>
                              <w:spacing w:line="360" w:lineRule="auto"/>
                              <w:ind w:left="30" w:right="4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)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submitted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least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90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days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prior</w:t>
                            </w:r>
                            <w:r>
                              <w:rPr>
                                <w:i/>
                                <w:color w:val="32323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32323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start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323232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State's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>first</w:t>
                            </w:r>
                            <w:r>
                              <w:rPr>
                                <w:i/>
                                <w:color w:val="32323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23232"/>
                                <w:sz w:val="24"/>
                              </w:rPr>
                              <w:t xml:space="preserve">testing </w:t>
                            </w:r>
                            <w:r>
                              <w:rPr>
                                <w:i/>
                                <w:color w:val="323232"/>
                                <w:spacing w:val="-2"/>
                                <w:sz w:val="24"/>
                              </w:rPr>
                              <w:t>window</w:t>
                            </w:r>
                          </w:p>
                          <w:p w14:paraId="41D4D196" w14:textId="77777777" w:rsidR="003A6307" w:rsidRDefault="006F4F60">
                            <w:pPr>
                              <w:spacing w:before="219" w:line="410" w:lineRule="atLeast"/>
                              <w:ind w:left="30" w:right="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23232"/>
                                <w:sz w:val="24"/>
                              </w:rPr>
                              <w:t>Comment: The waivers and their extensive documentation requirements are unduly</w:t>
                            </w:r>
                            <w:r>
                              <w:rPr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23232"/>
                                <w:sz w:val="24"/>
                              </w:rPr>
                              <w:t>burdensome.</w:t>
                            </w:r>
                            <w:r>
                              <w:rPr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2323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23232"/>
                                <w:sz w:val="24"/>
                              </w:rPr>
                              <w:t>submission</w:t>
                            </w:r>
                            <w:r>
                              <w:rPr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23232"/>
                                <w:sz w:val="24"/>
                              </w:rPr>
                              <w:t>requirement</w:t>
                            </w:r>
                            <w:r>
                              <w:rPr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23232"/>
                                <w:sz w:val="24"/>
                              </w:rPr>
                              <w:t>90</w:t>
                            </w:r>
                            <w:r>
                              <w:rPr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23232"/>
                                <w:sz w:val="24"/>
                              </w:rPr>
                              <w:t>days</w:t>
                            </w:r>
                            <w:r>
                              <w:rPr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23232"/>
                                <w:sz w:val="24"/>
                              </w:rPr>
                              <w:t>prior</w:t>
                            </w:r>
                            <w:r>
                              <w:rPr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23232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2323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23232"/>
                                <w:sz w:val="24"/>
                              </w:rPr>
                              <w:t>start</w:t>
                            </w:r>
                            <w:r>
                              <w:rPr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2323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32323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23232"/>
                                <w:sz w:val="24"/>
                              </w:rP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5C151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41pt;height:2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vrsgEAAFADAAAOAAAAZHJzL2Uyb0RvYy54bWysU9tu2zAMfR+wfxD0vtgNsDYz4hRbiwwD&#10;im1Auw+QZSkRJosaqcTO349Scym2t6IwIFMmdXTOIb28nQYv9gbJQWjl1ayWwgQNvQubVv56Wn9Y&#10;SEFJhV55CKaVB0PydvX+3XKMjZnDFnxvUDBIoGaMrdymFJuqIr01g6IZRBM4aQEHlXiLm6pHNTL6&#10;4Kt5XV9XI2AfEbQh4q/3z0m5KvjWGp1+WEsmCd9K5pbKimXt8lqtlqrZoIpbp4801CtYDMoFvvQM&#10;da+SEjt0/0ENTiMQ2DTTMFRgrdOmaGA1V/U/ah63Kpqihc2heLaJ3g5Wf98/xp8o0vQFJm5gEUHx&#10;AfRvYm+qMVJzrMmeUkNcnYVOFof8ZgmCD7K3h7OfZkpC88eP13V9U3NKc25+s1h8mhfHq8vxiJS+&#10;GhhEDlqJ3LBCQe0fKGUCqjmV5NsIvOvXzvuywU1351HsFTd3Xecn95OPvCgrCp5JZ/pp6iauyWEH&#10;/YGVj9z8VtKfnUIjhf8W2N08KacAT0F3CjD5OyjzlFkE+LxLYF1he8E9esdtK4yOI5bn4uW+VF1+&#10;hNVfAAAA//8DAFBLAwQUAAYACAAAACEA9DzBEdsAAAAFAQAADwAAAGRycy9kb3ducmV2LnhtbEyP&#10;zU7DMBCE70i8g7VIXBB1CFVJQ5wKIRWp3Ppz6W0bL4lFvI5stwlvj+ECl5FGs5r5tlpNthcX8sE4&#10;VvAwy0AQN04bbhUc9uv7AkSIyBp7x6TgiwKs6uurCkvtRt7SZRdbkUo4lKigi3EopQxNRxbDzA3E&#10;Kftw3mJM1rdSexxTue1lnmULadFwWuhwoNeOms/d2Sp4N9Ev8Gmc3x0a3pq340bv1xulbm+ml2cQ&#10;kab4dww/+Akd6sR0cmfWQfQK0iPxV1NWFHmyJwXzx2UOsq7kf/r6GwAA//8DAFBLAQItABQABgAI&#10;AAAAIQC2gziS/gAAAOEBAAATAAAAAAAAAAAAAAAAAAAAAABbQ29udGVudF9UeXBlc10ueG1sUEsB&#10;Ai0AFAAGAAgAAAAhADj9If/WAAAAlAEAAAsAAAAAAAAAAAAAAAAALwEAAF9yZWxzLy5yZWxzUEsB&#10;Ai0AFAAGAAgAAAAhAGFVm+uyAQAAUAMAAA4AAAAAAAAAAAAAAAAALgIAAGRycy9lMm9Eb2MueG1s&#10;UEsBAi0AFAAGAAgAAAAhAPQ8wRHbAAAABQEAAA8AAAAAAAAAAAAAAAAADAQAAGRycy9kb3ducmV2&#10;LnhtbFBLBQYAAAAABAAEAPMAAAAUBQAAAAA=&#10;" fillcolor="#f0f0f0" stroked="f">
                <v:textbox inset="0,0,0,0">
                  <w:txbxContent>
                    <w:p w14:paraId="30B31BDC" w14:textId="77777777" w:rsidR="003A6307" w:rsidRDefault="006F4F60">
                      <w:pPr>
                        <w:spacing w:before="135" w:line="360" w:lineRule="auto"/>
                        <w:ind w:left="30" w:right="4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323232"/>
                          <w:sz w:val="24"/>
                        </w:rPr>
                        <w:t>(4) If a State anticipates that it will exceed the cap under paragraph (c)(2) of this section</w:t>
                      </w:r>
                      <w:r>
                        <w:rPr>
                          <w:i/>
                          <w:color w:val="323232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with</w:t>
                      </w:r>
                      <w:r>
                        <w:rPr>
                          <w:i/>
                          <w:color w:val="32323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respect</w:t>
                      </w:r>
                      <w:r>
                        <w:rPr>
                          <w:i/>
                          <w:color w:val="323232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to</w:t>
                      </w:r>
                      <w:r>
                        <w:rPr>
                          <w:i/>
                          <w:color w:val="32323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any</w:t>
                      </w:r>
                      <w:r>
                        <w:rPr>
                          <w:i/>
                          <w:color w:val="323232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subject</w:t>
                      </w:r>
                      <w:r>
                        <w:rPr>
                          <w:i/>
                          <w:color w:val="32323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for</w:t>
                      </w:r>
                      <w:r>
                        <w:rPr>
                          <w:i/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which</w:t>
                      </w:r>
                      <w:r>
                        <w:rPr>
                          <w:i/>
                          <w:color w:val="32323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assessments</w:t>
                      </w:r>
                      <w:r>
                        <w:rPr>
                          <w:i/>
                          <w:color w:val="32323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are</w:t>
                      </w:r>
                      <w:r>
                        <w:rPr>
                          <w:i/>
                          <w:color w:val="323232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administered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pacing w:val="-2"/>
                          <w:sz w:val="24"/>
                        </w:rPr>
                        <w:t>under</w:t>
                      </w:r>
                    </w:p>
                    <w:p w14:paraId="62409BA0" w14:textId="77777777" w:rsidR="003A6307" w:rsidRDefault="006F4F60">
                      <w:pPr>
                        <w:spacing w:line="360" w:lineRule="auto"/>
                        <w:ind w:left="30" w:right="4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323232"/>
                          <w:sz w:val="24"/>
                        </w:rPr>
                        <w:t>§</w:t>
                      </w:r>
                      <w:r>
                        <w:rPr>
                          <w:i/>
                          <w:color w:val="323232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200.2(a)(1) in any school year, the State may request that the Secretary waive the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cap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for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relevant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subject,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pursuant</w:t>
                      </w:r>
                      <w:r>
                        <w:rPr>
                          <w:i/>
                          <w:color w:val="323232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to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section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8401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of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Act,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for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one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year. Such request must—</w:t>
                      </w:r>
                    </w:p>
                    <w:p w14:paraId="639F435E" w14:textId="77777777" w:rsidR="003A6307" w:rsidRDefault="003A6307">
                      <w:pPr>
                        <w:pStyle w:val="BodyText"/>
                        <w:spacing w:before="82"/>
                        <w:rPr>
                          <w:i/>
                          <w:color w:val="000000"/>
                          <w:sz w:val="24"/>
                        </w:rPr>
                      </w:pPr>
                    </w:p>
                    <w:p w14:paraId="6FE8676E" w14:textId="77777777" w:rsidR="003A6307" w:rsidRDefault="006F4F60">
                      <w:pPr>
                        <w:spacing w:line="360" w:lineRule="auto"/>
                        <w:ind w:left="30" w:right="4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323232"/>
                          <w:sz w:val="24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color w:val="323232"/>
                          <w:sz w:val="24"/>
                        </w:rPr>
                        <w:t>i</w:t>
                      </w:r>
                      <w:proofErr w:type="spellEnd"/>
                      <w:r>
                        <w:rPr>
                          <w:i/>
                          <w:color w:val="323232"/>
                          <w:sz w:val="24"/>
                        </w:rPr>
                        <w:t>)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Be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submitted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at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least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90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days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prior</w:t>
                      </w:r>
                      <w:r>
                        <w:rPr>
                          <w:i/>
                          <w:color w:val="32323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to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32323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start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of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323232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State's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>first</w:t>
                      </w:r>
                      <w:r>
                        <w:rPr>
                          <w:i/>
                          <w:color w:val="32323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23232"/>
                          <w:sz w:val="24"/>
                        </w:rPr>
                        <w:t xml:space="preserve">testing </w:t>
                      </w:r>
                      <w:r>
                        <w:rPr>
                          <w:i/>
                          <w:color w:val="323232"/>
                          <w:spacing w:val="-2"/>
                          <w:sz w:val="24"/>
                        </w:rPr>
                        <w:t>window</w:t>
                      </w:r>
                    </w:p>
                    <w:p w14:paraId="41D4D196" w14:textId="77777777" w:rsidR="003A6307" w:rsidRDefault="006F4F60">
                      <w:pPr>
                        <w:spacing w:before="219" w:line="410" w:lineRule="atLeast"/>
                        <w:ind w:left="30" w:right="4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23232"/>
                          <w:sz w:val="24"/>
                        </w:rPr>
                        <w:t>Comment: The waivers and their extensive documentation requirements are unduly</w:t>
                      </w:r>
                      <w:r>
                        <w:rPr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23232"/>
                          <w:sz w:val="24"/>
                        </w:rPr>
                        <w:t>burdensome.</w:t>
                      </w:r>
                      <w:r>
                        <w:rPr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23232"/>
                          <w:sz w:val="24"/>
                        </w:rPr>
                        <w:t>The</w:t>
                      </w:r>
                      <w:r>
                        <w:rPr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23232"/>
                          <w:sz w:val="24"/>
                        </w:rPr>
                        <w:t>submission</w:t>
                      </w:r>
                      <w:r>
                        <w:rPr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23232"/>
                          <w:sz w:val="24"/>
                        </w:rPr>
                        <w:t>requirement</w:t>
                      </w:r>
                      <w:r>
                        <w:rPr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23232"/>
                          <w:sz w:val="24"/>
                        </w:rPr>
                        <w:t>90</w:t>
                      </w:r>
                      <w:r>
                        <w:rPr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23232"/>
                          <w:sz w:val="24"/>
                        </w:rPr>
                        <w:t>days</w:t>
                      </w:r>
                      <w:r>
                        <w:rPr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23232"/>
                          <w:sz w:val="24"/>
                        </w:rPr>
                        <w:t>prior</w:t>
                      </w:r>
                      <w:r>
                        <w:rPr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23232"/>
                          <w:sz w:val="24"/>
                        </w:rPr>
                        <w:t>to</w:t>
                      </w:r>
                      <w:r>
                        <w:rPr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23232"/>
                          <w:sz w:val="24"/>
                        </w:rPr>
                        <w:t>the</w:t>
                      </w:r>
                      <w:r>
                        <w:rPr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23232"/>
                          <w:sz w:val="24"/>
                        </w:rPr>
                        <w:t>start</w:t>
                      </w:r>
                      <w:r>
                        <w:rPr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23232"/>
                          <w:sz w:val="24"/>
                        </w:rPr>
                        <w:t>of</w:t>
                      </w:r>
                      <w:r>
                        <w:rPr>
                          <w:color w:val="323232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23232"/>
                          <w:sz w:val="24"/>
                        </w:rPr>
                        <w:t>the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B467D0" w14:textId="77777777" w:rsidR="003A6307" w:rsidRDefault="003A6307">
      <w:pPr>
        <w:rPr>
          <w:sz w:val="20"/>
        </w:rPr>
        <w:sectPr w:rsidR="003A6307">
          <w:pgSz w:w="12240" w:h="15840"/>
          <w:pgMar w:top="1820" w:right="1340" w:bottom="280" w:left="1320" w:header="720" w:footer="720" w:gutter="0"/>
          <w:cols w:space="720"/>
        </w:sectPr>
      </w:pPr>
    </w:p>
    <w:p w14:paraId="7FFF5B88" w14:textId="77777777" w:rsidR="003A6307" w:rsidRDefault="006F4F60">
      <w:pPr>
        <w:pStyle w:val="BodyText"/>
        <w:ind w:left="39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23D7F52" wp14:editId="16573336">
                <wp:extent cx="5600700" cy="518159"/>
                <wp:effectExtent l="0" t="0" r="0" b="5715"/>
                <wp:docPr id="3" name="Group 3" descr="testing window is untenable. Recommendation: revise so that the documentation requirements are based on prior year’s alternate assessment participation rate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0700" cy="518159"/>
                          <a:chOff x="0" y="0"/>
                          <a:chExt cx="5600700" cy="51815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60070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0" h="518159">
                                <a:moveTo>
                                  <a:pt x="560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"/>
                                </a:lnTo>
                                <a:lnTo>
                                  <a:pt x="0" y="518160"/>
                                </a:lnTo>
                                <a:lnTo>
                                  <a:pt x="5600700" y="518160"/>
                                </a:lnTo>
                                <a:lnTo>
                                  <a:pt x="5600700" y="259080"/>
                                </a:lnTo>
                                <a:lnTo>
                                  <a:pt x="560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600700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C9CE35" w14:textId="77777777" w:rsidR="003A6307" w:rsidRDefault="006F4F60">
                              <w:pPr>
                                <w:spacing w:before="8" w:line="400" w:lineRule="atLeast"/>
                                <w:ind w:left="30" w:righ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23232"/>
                                  <w:sz w:val="24"/>
                                </w:rPr>
                                <w:t>testing</w:t>
                              </w:r>
                              <w:r>
                                <w:rPr>
                                  <w:color w:val="32323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window</w:t>
                              </w:r>
                              <w:r>
                                <w:rPr>
                                  <w:color w:val="32323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32323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untenable.</w:t>
                              </w:r>
                              <w:r>
                                <w:rPr>
                                  <w:color w:val="32323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Recommendation:</w:t>
                              </w:r>
                              <w:r>
                                <w:rPr>
                                  <w:color w:val="32323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revise</w:t>
                              </w:r>
                              <w:r>
                                <w:rPr>
                                  <w:color w:val="32323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color w:val="32323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32323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32323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documentation requirements are based on prior year’s alternate assessment participation rates.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D7F52" id="Group 3" o:spid="_x0000_s1027" alt="testing window is untenable. Recommendation: revise so that the documentation requirements are based on prior year’s alternate assessment participation rates." style="width:441pt;height:40.8pt;mso-position-horizontal-relative:char;mso-position-vertical-relative:line" coordsize="56007,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uchuwIAAPAHAAAOAAAAZHJzL2Uyb0RvYy54bWy0VdtO3DAQfa/Uf7D8XpJFLIWILGqhrCoh&#10;isRWfXYc56I6Gdf2bsLfd+zE2WiREAWqSMnYHk9mzjljX1z2jSQ7oU0NbUoXRzElouWQ122Z0p+b&#10;m09nlBjL2pxJaEVKH4Whl6uPHy46lYhjqEDmQhMM0pqkUymtrFVJFBleiYaZI1CixcUCdMMsDnUZ&#10;5Zp1GL2R0XEcn0Yd6Fxp4MIYnL0eFunKxy8Kwe2PojDCEplSzM36t/bvzL2j1QVLSs1UVfMxDfaK&#10;LBpWt/jTKdQ1s4xsdf0kVFNzDQYKe8ShiaAoai58DVjNIj6oZq1hq3wtZdKVaoIJoT3A6dVh+d1u&#10;rdWDutdD9mjeAv9tEJeoU2UyX3fjcu/cF7pxm7AI0ntEHydERW8Jx8nlaRx/jhF4jmvLxdlieT5A&#10;zivk5ck2Xn17fmPEkuG3PrkpmU6hesweIPM2gB4qpoTH3TgA7jWp85SeUNKyBjW8HuVy4kpxv0Yf&#10;h+A4MiOYb8BnKpMlfGvsWoBHmu1ujR0UmweLVcHifRtMjbp3ipde8ZYSVLymBBWfDfArZt0+R58z&#10;STejqpqYcssN7MQGvKN1fE2MBrIx172PbOe+yPvMK6yFr/LxBp/j5Xl85rsRwwWH8J07Og2dPu84&#10;z/Af3V+Qxjz6YR5cghHID9bgUJ0MjzROzrk0IOv8ppbSQWt0mV1JTXYMSbuJ3eN4wi0zN5S8SQZx&#10;OSuD/BGV2aEYU2r+bJkWlMjvLWrfHXTB0MHIgqGtvAJ/HHpWtbGb/hfTiig0U2qxd+8gtABLguhc&#10;UZOv29nCl62FonaK9LkNGY0DbMehOf57Xy5DX24w8wx6sjzoS2L7r4DSXYT59+1Qh4rr0BE/13v+&#10;KjgAbmjiAxJtn/X+cJlyeydaX0COP0LxWvE6G69Ad2/Nx57M/UW9+gsAAP//AwBQSwMEFAAGAAgA&#10;AAAhAEXftw7aAAAABAEAAA8AAABkcnMvZG93bnJldi54bWxMj0FLw0AQhe9C/8MyBW92k4olxGxK&#10;KeqpCLaCeJsm0yQ0Oxuy2yT9945e7GWYxxvefC9bT7ZVA/W+cWwgXkSgiAtXNlwZ+Dy8PiSgfEAu&#10;sXVMBq7kYZ3P7jJMSzfyBw37UCkJYZ+igTqELtXaFzVZ9AvXEYt3cr3FILKvdNnjKOG21csoWmmL&#10;DcuHGjva1lSc9xdr4G3EcfMYvwy782l7/T48vX/tYjLmfj5tnkEFmsL/MfziCzrkwnR0Fy69ag1I&#10;kfA3xUuSpcijLPEKdJ7pW/j8BwAA//8DAFBLAQItABQABgAIAAAAIQC2gziS/gAAAOEBAAATAAAA&#10;AAAAAAAAAAAAAAAAAABbQ29udGVudF9UeXBlc10ueG1sUEsBAi0AFAAGAAgAAAAhADj9If/WAAAA&#10;lAEAAAsAAAAAAAAAAAAAAAAALwEAAF9yZWxzLy5yZWxzUEsBAi0AFAAGAAgAAAAhAHhq5yG7AgAA&#10;8AcAAA4AAAAAAAAAAAAAAAAALgIAAGRycy9lMm9Eb2MueG1sUEsBAi0AFAAGAAgAAAAhAEXftw7a&#10;AAAABAEAAA8AAAAAAAAAAAAAAAAAFQUAAGRycy9kb3ducmV2LnhtbFBLBQYAAAAABAAEAPMAAAAc&#10;BgAAAAA=&#10;">
                <v:shape id="Graphic 4" o:spid="_x0000_s1028" style="position:absolute;width:56007;height:5181;visibility:visible;mso-wrap-style:square;v-text-anchor:top" coordsize="560070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VijxAAAANoAAAAPAAAAZHJzL2Rvd25yZXYueG1sRI9Ba8JA&#10;FITvQv/D8gq96aahLTV1lVIa8FQxKuLtmX1mQ7NvQ3aN8d+7QqHHYWa+YWaLwTaip87XjhU8TxIQ&#10;xKXTNVcKtpt8/A7CB2SNjWNScCUPi/nDaIaZdhdeU1+ESkQI+wwVmBDaTEpfGrLoJ64ljt7JdRZD&#10;lF0ldYeXCLeNTJPkTVqsOS4YbOnLUPlbnK0CO0yPq+Kn6ff+e3Mw4XWVp7uTUk+Pw+cHiEBD+A//&#10;tZdawQvcr8QbIOc3AAAA//8DAFBLAQItABQABgAIAAAAIQDb4fbL7gAAAIUBAAATAAAAAAAAAAAA&#10;AAAAAAAAAABbQ29udGVudF9UeXBlc10ueG1sUEsBAi0AFAAGAAgAAAAhAFr0LFu/AAAAFQEAAAsA&#10;AAAAAAAAAAAAAAAAHwEAAF9yZWxzLy5yZWxzUEsBAi0AFAAGAAgAAAAhAJchWKPEAAAA2gAAAA8A&#10;AAAAAAAAAAAAAAAABwIAAGRycy9kb3ducmV2LnhtbFBLBQYAAAAAAwADALcAAAD4AgAAAAA=&#10;" path="m5600700,l,,,259080,,518160r5600700,l5600700,259080,5600700,xe" fillcolor="#f0f0f0" stroked="f">
                  <v:path arrowok="t"/>
                </v:shape>
                <v:shape id="Textbox 5" o:spid="_x0000_s1029" type="#_x0000_t202" style="position:absolute;width:56007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FC9CE35" w14:textId="77777777" w:rsidR="003A6307" w:rsidRDefault="006F4F60">
                        <w:pPr>
                          <w:spacing w:before="8" w:line="400" w:lineRule="atLeast"/>
                          <w:ind w:left="30" w:right="4"/>
                          <w:rPr>
                            <w:sz w:val="24"/>
                          </w:rPr>
                        </w:pPr>
                        <w:r>
                          <w:rPr>
                            <w:color w:val="323232"/>
                            <w:sz w:val="24"/>
                          </w:rPr>
                          <w:t>testing</w:t>
                        </w:r>
                        <w:r>
                          <w:rPr>
                            <w:color w:val="32323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>window</w:t>
                        </w:r>
                        <w:r>
                          <w:rPr>
                            <w:color w:val="32323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>is</w:t>
                        </w:r>
                        <w:r>
                          <w:rPr>
                            <w:color w:val="32323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>untenable.</w:t>
                        </w:r>
                        <w:r>
                          <w:rPr>
                            <w:color w:val="32323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>Recommendation:</w:t>
                        </w:r>
                        <w:r>
                          <w:rPr>
                            <w:color w:val="32323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>revise</w:t>
                        </w:r>
                        <w:r>
                          <w:rPr>
                            <w:color w:val="32323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>so</w:t>
                        </w:r>
                        <w:r>
                          <w:rPr>
                            <w:color w:val="32323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>that</w:t>
                        </w:r>
                        <w:r>
                          <w:rPr>
                            <w:color w:val="32323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>the</w:t>
                        </w:r>
                        <w:r>
                          <w:rPr>
                            <w:color w:val="32323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>documentation requirements are based on prior year’s alternate assessment participation rates.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A6307">
      <w:pgSz w:w="12240" w:h="15840"/>
      <w:pgMar w:top="14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307"/>
    <w:rsid w:val="003A6307"/>
    <w:rsid w:val="006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3BA9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ESSA_Assessment_Comments_Colorado_Department_of_Education</dc:title>
  <dc:creator>Christensen_A</dc:creator>
  <cp:lastModifiedBy>Owen, Emily</cp:lastModifiedBy>
  <cp:revision>2</cp:revision>
  <dcterms:created xsi:type="dcterms:W3CDTF">2024-04-04T20:34:00Z</dcterms:created>
  <dcterms:modified xsi:type="dcterms:W3CDTF">2024-04-04T20:35:00Z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2024-04-04T00:00:00Z</vt:filetime>
  </property>
  <property fmtid="{D5CDD505-2E9C-101B-9397-08002B2CF9AE}" pid="5" name="Producer">
    <vt:lpwstr>Acrobat Distiller 10.0.0 (Windows)</vt:lpwstr>
  </property>
</Properties>
</file>