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83389" w14:textId="77777777" w:rsidR="000F1AFA" w:rsidRDefault="007E4DF1">
      <w:pPr>
        <w:pStyle w:val="Title"/>
      </w:pPr>
      <w:bookmarkStart w:id="0" w:name="_gjdgxs" w:colFirst="0" w:colLast="0"/>
      <w:bookmarkEnd w:id="0"/>
      <w:r>
        <w:rPr>
          <w:noProof/>
        </w:rPr>
        <w:drawing>
          <wp:inline distT="0" distB="0" distL="0" distR="0" wp14:anchorId="794B6B11" wp14:editId="5AB45E6E">
            <wp:extent cx="4292337" cy="782753"/>
            <wp:effectExtent l="0" t="0" r="0" b="0"/>
            <wp:docPr id="3" name="image7.png" title="Colorado Department of Education "/>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4292337" cy="782753"/>
                    </a:xfrm>
                    <a:prstGeom prst="rect">
                      <a:avLst/>
                    </a:prstGeom>
                    <a:ln/>
                  </pic:spPr>
                </pic:pic>
              </a:graphicData>
            </a:graphic>
          </wp:inline>
        </w:drawing>
      </w:r>
    </w:p>
    <w:p w14:paraId="183DCDDD" w14:textId="5249FA26" w:rsidR="000F1AFA" w:rsidRDefault="007E4DF1">
      <w:pPr>
        <w:pStyle w:val="Title"/>
      </w:pPr>
      <w:r>
        <w:rPr>
          <w:sz w:val="48"/>
          <w:szCs w:val="48"/>
        </w:rPr>
        <w:t xml:space="preserve">ELPA Excellence Award Evaluation Synthesis Report </w:t>
      </w:r>
      <w:r>
        <w:rPr>
          <w:sz w:val="48"/>
          <w:szCs w:val="48"/>
        </w:rPr>
        <w:br/>
      </w:r>
      <w:r>
        <w:rPr>
          <w:sz w:val="48"/>
          <w:szCs w:val="48"/>
        </w:rPr>
        <w:br/>
        <w:t>Lessons Learned from 2016-2017 Awardees: Districts</w:t>
      </w:r>
      <w:r>
        <w:rPr>
          <w:sz w:val="48"/>
          <w:szCs w:val="48"/>
        </w:rPr>
        <w:br/>
      </w:r>
      <w:r>
        <w:rPr>
          <w:sz w:val="48"/>
          <w:szCs w:val="48"/>
        </w:rPr>
        <w:br/>
      </w:r>
      <w:r w:rsidR="000720C3">
        <w:rPr>
          <w:sz w:val="48"/>
          <w:szCs w:val="48"/>
        </w:rPr>
        <w:t>September</w:t>
      </w:r>
      <w:r>
        <w:rPr>
          <w:sz w:val="48"/>
          <w:szCs w:val="48"/>
        </w:rPr>
        <w:t xml:space="preserve"> 2018</w:t>
      </w:r>
    </w:p>
    <w:p w14:paraId="160F4884" w14:textId="225BFEF2" w:rsidR="000F1AFA" w:rsidRDefault="000F1AFA">
      <w:pPr>
        <w:tabs>
          <w:tab w:val="left" w:pos="2250"/>
        </w:tabs>
        <w:jc w:val="center"/>
      </w:pPr>
    </w:p>
    <w:p w14:paraId="635DB064" w14:textId="3E505D03" w:rsidR="000F1AFA" w:rsidRDefault="001C2A49">
      <w:pPr>
        <w:widowControl w:val="0"/>
        <w:pBdr>
          <w:top w:val="nil"/>
          <w:left w:val="nil"/>
          <w:bottom w:val="nil"/>
          <w:right w:val="nil"/>
          <w:between w:val="nil"/>
        </w:pBdr>
        <w:spacing w:line="276" w:lineRule="auto"/>
        <w:sectPr w:rsidR="000F1AFA">
          <w:headerReference w:type="even" r:id="rId8"/>
          <w:headerReference w:type="default" r:id="rId9"/>
          <w:pgSz w:w="12240" w:h="15840"/>
          <w:pgMar w:top="1568" w:right="1080" w:bottom="720" w:left="1080" w:header="720" w:footer="720" w:gutter="0"/>
          <w:pgNumType w:start="1"/>
          <w:cols w:space="720"/>
          <w:titlePg/>
        </w:sectPr>
      </w:pPr>
      <w:r>
        <w:rPr>
          <w:noProof/>
        </w:rPr>
        <mc:AlternateContent>
          <mc:Choice Requires="wps">
            <w:drawing>
              <wp:anchor distT="0" distB="0" distL="114300" distR="114300" simplePos="0" relativeHeight="251655680" behindDoc="1" locked="0" layoutInCell="1" hidden="0" allowOverlap="1" wp14:anchorId="7AB71CE6" wp14:editId="1C23B8C9">
                <wp:simplePos x="0" y="0"/>
                <wp:positionH relativeFrom="margin">
                  <wp:posOffset>-187325</wp:posOffset>
                </wp:positionH>
                <wp:positionV relativeFrom="paragraph">
                  <wp:posOffset>1240790</wp:posOffset>
                </wp:positionV>
                <wp:extent cx="6858000" cy="1935480"/>
                <wp:effectExtent l="0" t="0" r="0" b="762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6858000" cy="1935480"/>
                        </a:xfrm>
                        <a:prstGeom prst="rect">
                          <a:avLst/>
                        </a:prstGeom>
                        <a:noFill/>
                        <a:ln>
                          <a:noFill/>
                        </a:ln>
                      </wps:spPr>
                      <wps:txbx>
                        <w:txbxContent>
                          <w:p w14:paraId="78E0B3DC" w14:textId="77777777" w:rsidR="000F1AFA" w:rsidRDefault="000F1AFA">
                            <w:pPr>
                              <w:jc w:val="center"/>
                              <w:textDirection w:val="btLr"/>
                            </w:pPr>
                          </w:p>
                          <w:p w14:paraId="5F60FC6D" w14:textId="77777777" w:rsidR="000F1AFA" w:rsidRDefault="000F1AFA">
                            <w:pPr>
                              <w:jc w:val="center"/>
                              <w:textDirection w:val="btLr"/>
                            </w:pPr>
                          </w:p>
                          <w:p w14:paraId="26C0C508" w14:textId="77777777" w:rsidR="000F1AFA" w:rsidRDefault="007E4DF1">
                            <w:pPr>
                              <w:jc w:val="center"/>
                              <w:textDirection w:val="btLr"/>
                            </w:pPr>
                            <w:r>
                              <w:rPr>
                                <w:color w:val="000000"/>
                                <w:sz w:val="24"/>
                              </w:rPr>
                              <w:t>Data, Program Evaluation and Reporting Office</w:t>
                            </w:r>
                          </w:p>
                          <w:p w14:paraId="4C5378CE" w14:textId="77777777" w:rsidR="000F1AFA" w:rsidRDefault="007E4DF1">
                            <w:pPr>
                              <w:jc w:val="center"/>
                              <w:textDirection w:val="btLr"/>
                            </w:pPr>
                            <w:r>
                              <w:rPr>
                                <w:color w:val="000000"/>
                                <w:sz w:val="24"/>
                              </w:rPr>
                              <w:t>Office of Culturally and Linguistically Diverse Education</w:t>
                            </w:r>
                          </w:p>
                          <w:p w14:paraId="394E59D1" w14:textId="77777777" w:rsidR="000F1AFA" w:rsidRDefault="007E4DF1">
                            <w:pPr>
                              <w:jc w:val="center"/>
                              <w:textDirection w:val="btLr"/>
                            </w:pPr>
                            <w:r>
                              <w:rPr>
                                <w:color w:val="000000"/>
                                <w:sz w:val="24"/>
                              </w:rPr>
                              <w:t>201 E. Colfax Ave., Denver, CO 80203</w:t>
                            </w:r>
                          </w:p>
                          <w:p w14:paraId="0DD87EBF" w14:textId="77777777" w:rsidR="000F1AFA" w:rsidRDefault="007E4DF1">
                            <w:pPr>
                              <w:jc w:val="center"/>
                              <w:textDirection w:val="btLr"/>
                              <w:rPr>
                                <w:rFonts w:ascii="Arial" w:eastAsia="Arial" w:hAnsi="Arial" w:cs="Arial"/>
                                <w:color w:val="333333"/>
                                <w:sz w:val="21"/>
                              </w:rPr>
                            </w:pPr>
                            <w:r>
                              <w:rPr>
                                <w:color w:val="000000"/>
                                <w:sz w:val="24"/>
                              </w:rPr>
                              <w:t>303-866-6777</w:t>
                            </w:r>
                            <w:r>
                              <w:rPr>
                                <w:rFonts w:ascii="Arial" w:eastAsia="Arial" w:hAnsi="Arial" w:cs="Arial"/>
                                <w:color w:val="333333"/>
                                <w:sz w:val="21"/>
                                <w:highlight w:val="white"/>
                              </w:rPr>
                              <w:t xml:space="preserve"> </w:t>
                            </w:r>
                          </w:p>
                          <w:p w14:paraId="21ADA30A" w14:textId="77777777" w:rsidR="001C2A49" w:rsidRPr="001C2A49" w:rsidRDefault="001C2A49">
                            <w:pPr>
                              <w:jc w:val="center"/>
                              <w:textDirection w:val="btLr"/>
                              <w:rPr>
                                <w:sz w:val="16"/>
                                <w:szCs w:val="16"/>
                              </w:rPr>
                            </w:pPr>
                          </w:p>
                          <w:p w14:paraId="2C7F532E" w14:textId="77777777" w:rsidR="00554874" w:rsidRPr="001C2A49" w:rsidRDefault="007E4DF1">
                            <w:pPr>
                              <w:jc w:val="center"/>
                              <w:textDirection w:val="btLr"/>
                              <w:rPr>
                                <w:rStyle w:val="Hyperlink"/>
                                <w:sz w:val="24"/>
                                <w:szCs w:val="24"/>
                              </w:rPr>
                            </w:pPr>
                            <w:r w:rsidRPr="001C2A49">
                              <w:rPr>
                                <w:rFonts w:eastAsia="Arial"/>
                                <w:b/>
                                <w:color w:val="333333"/>
                                <w:sz w:val="24"/>
                                <w:szCs w:val="24"/>
                                <w:highlight w:val="white"/>
                              </w:rPr>
                              <w:t>N</w:t>
                            </w:r>
                            <w:r w:rsidRPr="001C2A49">
                              <w:rPr>
                                <w:color w:val="000000"/>
                                <w:sz w:val="24"/>
                                <w:szCs w:val="24"/>
                              </w:rPr>
                              <w:t xml:space="preserve">azanin Mohajeri-Nelson at </w:t>
                            </w:r>
                            <w:hyperlink r:id="rId10" w:history="1">
                              <w:r w:rsidR="005D72AF" w:rsidRPr="001C2A49">
                                <w:rPr>
                                  <w:rStyle w:val="Hyperlink"/>
                                  <w:sz w:val="24"/>
                                  <w:szCs w:val="24"/>
                                </w:rPr>
                                <w:t>mohajeri-nelson_n@cde.state.co.us</w:t>
                              </w:r>
                            </w:hyperlink>
                          </w:p>
                          <w:p w14:paraId="4583145E" w14:textId="5C61FA70" w:rsidR="000F1AFA" w:rsidRPr="001C2A49" w:rsidRDefault="00554874">
                            <w:pPr>
                              <w:jc w:val="center"/>
                              <w:textDirection w:val="btLr"/>
                              <w:rPr>
                                <w:sz w:val="24"/>
                                <w:szCs w:val="24"/>
                              </w:rPr>
                            </w:pPr>
                            <w:r w:rsidRPr="001C2A49">
                              <w:rPr>
                                <w:color w:val="000000"/>
                                <w:sz w:val="24"/>
                                <w:szCs w:val="24"/>
                              </w:rPr>
                              <w:t xml:space="preserve">Tina Negley at </w:t>
                            </w:r>
                            <w:r w:rsidRPr="001C2A49">
                              <w:rPr>
                                <w:rStyle w:val="Hyperlink"/>
                                <w:sz w:val="24"/>
                                <w:szCs w:val="24"/>
                              </w:rPr>
                              <w:t>Negley_t@cde.state.co.us</w:t>
                            </w:r>
                            <w:r w:rsidR="005D72AF" w:rsidRPr="001C2A49">
                              <w:rPr>
                                <w:color w:val="000000"/>
                                <w:sz w:val="24"/>
                                <w:szCs w:val="24"/>
                              </w:rPr>
                              <w:t xml:space="preserve"> </w:t>
                            </w:r>
                          </w:p>
                          <w:p w14:paraId="50B12FB7" w14:textId="4FAD5272" w:rsidR="000F1AFA" w:rsidRPr="001C2A49" w:rsidRDefault="007E4DF1">
                            <w:pPr>
                              <w:jc w:val="center"/>
                              <w:textDirection w:val="btLr"/>
                              <w:rPr>
                                <w:sz w:val="24"/>
                                <w:szCs w:val="24"/>
                              </w:rPr>
                            </w:pPr>
                            <w:r w:rsidRPr="001C2A49">
                              <w:rPr>
                                <w:color w:val="000000"/>
                                <w:sz w:val="24"/>
                                <w:szCs w:val="24"/>
                              </w:rPr>
                              <w:t xml:space="preserve">Linnea Hulshof at </w:t>
                            </w:r>
                            <w:hyperlink r:id="rId11" w:history="1">
                              <w:r w:rsidR="005D72AF" w:rsidRPr="001C2A49">
                                <w:rPr>
                                  <w:rStyle w:val="Hyperlink"/>
                                  <w:sz w:val="24"/>
                                  <w:szCs w:val="24"/>
                                </w:rPr>
                                <w:t>Hulshof_l@cde.state.co.us</w:t>
                              </w:r>
                            </w:hyperlink>
                            <w:r w:rsidR="005D72AF" w:rsidRPr="001C2A49">
                              <w:rPr>
                                <w:color w:val="000000"/>
                                <w:sz w:val="24"/>
                                <w:szCs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B71CE6" id="Rectangle 1" o:spid="_x0000_s1026" style="position:absolute;margin-left:-14.75pt;margin-top:97.7pt;width:540pt;height:152.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" filled="f" stroked="f">
                <v:textbox inset="2.53958mm,1.2694mm,2.53958mm,1.2694mm">
                  <w:txbxContent>
                    <w:p w14:paraId="78E0B3DC" w14:textId="77777777" w:rsidR="000F1AFA" w:rsidRDefault="000F1AFA">
                      <w:pPr>
                        <w:jc w:val="center"/>
                        <w:textDirection w:val="btLr"/>
                      </w:pPr>
                    </w:p>
                    <w:p w14:paraId="5F60FC6D" w14:textId="77777777" w:rsidR="000F1AFA" w:rsidRDefault="000F1AFA">
                      <w:pPr>
                        <w:jc w:val="center"/>
                        <w:textDirection w:val="btLr"/>
                      </w:pPr>
                    </w:p>
                    <w:p w14:paraId="26C0C508" w14:textId="77777777" w:rsidR="000F1AFA" w:rsidRDefault="007E4DF1">
                      <w:pPr>
                        <w:jc w:val="center"/>
                        <w:textDirection w:val="btLr"/>
                      </w:pPr>
                      <w:r>
                        <w:rPr>
                          <w:color w:val="000000"/>
                          <w:sz w:val="24"/>
                        </w:rPr>
                        <w:t>Data, Program Evaluation and Reporting Office</w:t>
                      </w:r>
                    </w:p>
                    <w:p w14:paraId="4C5378CE" w14:textId="77777777" w:rsidR="000F1AFA" w:rsidRDefault="007E4DF1">
                      <w:pPr>
                        <w:jc w:val="center"/>
                        <w:textDirection w:val="btLr"/>
                      </w:pPr>
                      <w:r>
                        <w:rPr>
                          <w:color w:val="000000"/>
                          <w:sz w:val="24"/>
                        </w:rPr>
                        <w:t>Office of Culturally and Linguistically Diverse Education</w:t>
                      </w:r>
                    </w:p>
                    <w:p w14:paraId="394E59D1" w14:textId="77777777" w:rsidR="000F1AFA" w:rsidRDefault="007E4DF1">
                      <w:pPr>
                        <w:jc w:val="center"/>
                        <w:textDirection w:val="btLr"/>
                      </w:pPr>
                      <w:r>
                        <w:rPr>
                          <w:color w:val="000000"/>
                          <w:sz w:val="24"/>
                        </w:rPr>
                        <w:t>201 E. Colfax Ave., Denver, CO 80203</w:t>
                      </w:r>
                    </w:p>
                    <w:p w14:paraId="0DD87EBF" w14:textId="77777777" w:rsidR="000F1AFA" w:rsidRDefault="007E4DF1">
                      <w:pPr>
                        <w:jc w:val="center"/>
                        <w:textDirection w:val="btLr"/>
                        <w:rPr>
                          <w:rFonts w:ascii="Arial" w:eastAsia="Arial" w:hAnsi="Arial" w:cs="Arial"/>
                          <w:color w:val="333333"/>
                          <w:sz w:val="21"/>
                        </w:rPr>
                      </w:pPr>
                      <w:r>
                        <w:rPr>
                          <w:color w:val="000000"/>
                          <w:sz w:val="24"/>
                        </w:rPr>
                        <w:t>303-866-6777</w:t>
                      </w:r>
                      <w:r>
                        <w:rPr>
                          <w:rFonts w:ascii="Arial" w:eastAsia="Arial" w:hAnsi="Arial" w:cs="Arial"/>
                          <w:color w:val="333333"/>
                          <w:sz w:val="21"/>
                          <w:highlight w:val="white"/>
                        </w:rPr>
                        <w:t xml:space="preserve"> </w:t>
                      </w:r>
                    </w:p>
                    <w:p w14:paraId="21ADA30A" w14:textId="77777777" w:rsidR="001C2A49" w:rsidRPr="001C2A49" w:rsidRDefault="001C2A49">
                      <w:pPr>
                        <w:jc w:val="center"/>
                        <w:textDirection w:val="btLr"/>
                        <w:rPr>
                          <w:sz w:val="16"/>
                          <w:szCs w:val="16"/>
                        </w:rPr>
                      </w:pPr>
                    </w:p>
                    <w:p w14:paraId="2C7F532E" w14:textId="77777777" w:rsidR="00554874" w:rsidRPr="001C2A49" w:rsidRDefault="007E4DF1">
                      <w:pPr>
                        <w:jc w:val="center"/>
                        <w:textDirection w:val="btLr"/>
                        <w:rPr>
                          <w:rStyle w:val="Hyperlink"/>
                          <w:sz w:val="24"/>
                          <w:szCs w:val="24"/>
                        </w:rPr>
                      </w:pPr>
                      <w:r w:rsidRPr="001C2A49">
                        <w:rPr>
                          <w:rFonts w:eastAsia="Arial"/>
                          <w:b/>
                          <w:color w:val="333333"/>
                          <w:sz w:val="24"/>
                          <w:szCs w:val="24"/>
                          <w:highlight w:val="white"/>
                        </w:rPr>
                        <w:t>N</w:t>
                      </w:r>
                      <w:r w:rsidRPr="001C2A49">
                        <w:rPr>
                          <w:color w:val="000000"/>
                          <w:sz w:val="24"/>
                          <w:szCs w:val="24"/>
                        </w:rPr>
                        <w:t xml:space="preserve">azanin Mohajeri-Nelson at </w:t>
                      </w:r>
                      <w:hyperlink r:id="rId12" w:history="1">
                        <w:r w:rsidR="005D72AF" w:rsidRPr="001C2A49">
                          <w:rPr>
                            <w:rStyle w:val="Hyperlink"/>
                            <w:sz w:val="24"/>
                            <w:szCs w:val="24"/>
                          </w:rPr>
                          <w:t>mohajeri-nelson_n@cde.state.co.us</w:t>
                        </w:r>
                      </w:hyperlink>
                    </w:p>
                    <w:p w14:paraId="4583145E" w14:textId="5C61FA70" w:rsidR="000F1AFA" w:rsidRPr="001C2A49" w:rsidRDefault="00554874">
                      <w:pPr>
                        <w:jc w:val="center"/>
                        <w:textDirection w:val="btLr"/>
                        <w:rPr>
                          <w:sz w:val="24"/>
                          <w:szCs w:val="24"/>
                        </w:rPr>
                      </w:pPr>
                      <w:r w:rsidRPr="001C2A49">
                        <w:rPr>
                          <w:color w:val="000000"/>
                          <w:sz w:val="24"/>
                          <w:szCs w:val="24"/>
                        </w:rPr>
                        <w:t xml:space="preserve">Tina Negley at </w:t>
                      </w:r>
                      <w:r w:rsidRPr="001C2A49">
                        <w:rPr>
                          <w:rStyle w:val="Hyperlink"/>
                          <w:sz w:val="24"/>
                          <w:szCs w:val="24"/>
                        </w:rPr>
                        <w:t>Negley_t@cde.state.co.us</w:t>
                      </w:r>
                      <w:r w:rsidR="005D72AF" w:rsidRPr="001C2A49">
                        <w:rPr>
                          <w:color w:val="000000"/>
                          <w:sz w:val="24"/>
                          <w:szCs w:val="24"/>
                        </w:rPr>
                        <w:t xml:space="preserve"> </w:t>
                      </w:r>
                    </w:p>
                    <w:p w14:paraId="50B12FB7" w14:textId="4FAD5272" w:rsidR="000F1AFA" w:rsidRPr="001C2A49" w:rsidRDefault="007E4DF1">
                      <w:pPr>
                        <w:jc w:val="center"/>
                        <w:textDirection w:val="btLr"/>
                        <w:rPr>
                          <w:sz w:val="24"/>
                          <w:szCs w:val="24"/>
                        </w:rPr>
                      </w:pPr>
                      <w:r w:rsidRPr="001C2A49">
                        <w:rPr>
                          <w:color w:val="000000"/>
                          <w:sz w:val="24"/>
                          <w:szCs w:val="24"/>
                        </w:rPr>
                        <w:t xml:space="preserve">Linnea Hulshof at </w:t>
                      </w:r>
                      <w:hyperlink r:id="rId13" w:history="1">
                        <w:r w:rsidR="005D72AF" w:rsidRPr="001C2A49">
                          <w:rPr>
                            <w:rStyle w:val="Hyperlink"/>
                            <w:sz w:val="24"/>
                            <w:szCs w:val="24"/>
                          </w:rPr>
                          <w:t>Hulshof_l@cde.state.co.us</w:t>
                        </w:r>
                      </w:hyperlink>
                      <w:r w:rsidR="005D72AF" w:rsidRPr="001C2A49">
                        <w:rPr>
                          <w:color w:val="000000"/>
                          <w:sz w:val="24"/>
                          <w:szCs w:val="24"/>
                        </w:rPr>
                        <w:t xml:space="preserve"> </w:t>
                      </w:r>
                    </w:p>
                  </w:txbxContent>
                </v:textbox>
                <w10:wrap type="square" anchorx="margin"/>
              </v:rect>
            </w:pict>
          </mc:Fallback>
        </mc:AlternateContent>
      </w:r>
      <w:r w:rsidR="007E4DF1">
        <w:br w:type="page"/>
      </w:r>
      <w:bookmarkStart w:id="1" w:name="_GoBack"/>
      <w:bookmarkEnd w:id="1"/>
    </w:p>
    <w:p w14:paraId="1C44CE43" w14:textId="77777777" w:rsidR="000F1AFA" w:rsidRDefault="007E4DF1">
      <w:pPr>
        <w:pBdr>
          <w:top w:val="nil"/>
          <w:left w:val="nil"/>
          <w:bottom w:val="nil"/>
          <w:right w:val="nil"/>
          <w:between w:val="nil"/>
        </w:pBdr>
        <w:spacing w:after="240" w:line="300" w:lineRule="auto"/>
        <w:rPr>
          <w:rFonts w:ascii="Museo Slab 500" w:eastAsia="Museo Slab 500" w:hAnsi="Museo Slab 500" w:cs="Museo Slab 500"/>
          <w:color w:val="5C6670"/>
          <w:sz w:val="36"/>
          <w:szCs w:val="36"/>
        </w:rPr>
      </w:pPr>
      <w:r>
        <w:rPr>
          <w:rFonts w:ascii="Museo Slab 500" w:eastAsia="Museo Slab 500" w:hAnsi="Museo Slab 500" w:cs="Museo Slab 500"/>
          <w:color w:val="5C6670"/>
          <w:sz w:val="36"/>
          <w:szCs w:val="36"/>
        </w:rPr>
        <w:lastRenderedPageBreak/>
        <w:t>Table of Contents</w:t>
      </w:r>
    </w:p>
    <w:p w14:paraId="16A9A354" w14:textId="296EDF99" w:rsidR="000F1AFA" w:rsidRDefault="007E4DF1">
      <w:pPr>
        <w:pBdr>
          <w:top w:val="nil"/>
          <w:left w:val="nil"/>
          <w:bottom w:val="single" w:sz="8" w:space="0" w:color="9AA3AC"/>
          <w:right w:val="nil"/>
          <w:between w:val="nil"/>
        </w:pBdr>
        <w:tabs>
          <w:tab w:val="right" w:pos="7200"/>
        </w:tabs>
        <w:spacing w:before="240" w:after="6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Introduction</w:t>
      </w:r>
      <w:r w:rsidR="00D83724">
        <w:rPr>
          <w:rFonts w:ascii="Museo Slab 500" w:eastAsia="Museo Slab 500" w:hAnsi="Museo Slab 500" w:cs="Museo Slab 500"/>
          <w:color w:val="5C6670"/>
          <w:sz w:val="24"/>
          <w:szCs w:val="24"/>
        </w:rPr>
        <w:tab/>
      </w:r>
      <w:r w:rsidR="00D83724">
        <w:rPr>
          <w:rFonts w:ascii="Museo Slab 500" w:eastAsia="Museo Slab 500" w:hAnsi="Museo Slab 500" w:cs="Museo Slab 500"/>
          <w:color w:val="5C6670"/>
          <w:sz w:val="24"/>
          <w:szCs w:val="24"/>
        </w:rPr>
        <w:tab/>
      </w:r>
      <w:r w:rsidR="00D83724">
        <w:rPr>
          <w:rFonts w:ascii="Museo Slab 500" w:eastAsia="Museo Slab 500" w:hAnsi="Museo Slab 500" w:cs="Museo Slab 500"/>
          <w:color w:val="5C6670"/>
          <w:sz w:val="24"/>
          <w:szCs w:val="24"/>
        </w:rPr>
        <w:tab/>
      </w:r>
      <w:r>
        <w:rPr>
          <w:rFonts w:ascii="Museo Slab 500" w:eastAsia="Museo Slab 500" w:hAnsi="Museo Slab 500" w:cs="Museo Slab 500"/>
          <w:color w:val="5C6670"/>
          <w:sz w:val="24"/>
          <w:szCs w:val="24"/>
        </w:rPr>
        <w:t>#</w:t>
      </w:r>
      <w:r w:rsidR="00040174">
        <w:rPr>
          <w:rFonts w:ascii="Museo Slab 500" w:eastAsia="Museo Slab 500" w:hAnsi="Museo Slab 500" w:cs="Museo Slab 500"/>
          <w:color w:val="5C6670"/>
          <w:sz w:val="24"/>
          <w:szCs w:val="24"/>
        </w:rPr>
        <w:t>3</w:t>
      </w:r>
    </w:p>
    <w:p w14:paraId="04EB8FD5" w14:textId="77777777" w:rsidR="000F1AFA" w:rsidRDefault="007E4DF1">
      <w:pPr>
        <w:pBdr>
          <w:top w:val="nil"/>
          <w:left w:val="nil"/>
          <w:bottom w:val="nil"/>
          <w:right w:val="nil"/>
          <w:between w:val="nil"/>
        </w:pBdr>
        <w:tabs>
          <w:tab w:val="right" w:pos="7200"/>
        </w:tabs>
        <w:spacing w:before="120" w:after="12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Study Methodology</w:t>
      </w:r>
    </w:p>
    <w:p w14:paraId="5BF98856" w14:textId="77777777" w:rsidR="000F1AFA" w:rsidRDefault="007E4DF1">
      <w:pPr>
        <w:pBdr>
          <w:top w:val="nil"/>
          <w:left w:val="nil"/>
          <w:bottom w:val="nil"/>
          <w:right w:val="nil"/>
          <w:between w:val="nil"/>
        </w:pBdr>
        <w:tabs>
          <w:tab w:val="right" w:pos="7200"/>
        </w:tabs>
        <w:spacing w:before="120" w:after="12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b/>
      </w:r>
    </w:p>
    <w:p w14:paraId="0EF040A8" w14:textId="32BBF890" w:rsidR="000F1AFA" w:rsidRDefault="007E4DF1">
      <w:pPr>
        <w:pBdr>
          <w:top w:val="nil"/>
          <w:left w:val="nil"/>
          <w:bottom w:val="single" w:sz="8" w:space="1" w:color="9AA3AC"/>
          <w:right w:val="nil"/>
          <w:between w:val="nil"/>
        </w:pBdr>
        <w:tabs>
          <w:tab w:val="left" w:pos="90"/>
        </w:tabs>
        <w:spacing w:before="120" w:after="12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Factors Contributing to the Effectiveness of Awardees’ ELD Programs</w:t>
      </w:r>
      <w:r w:rsidR="00D83724">
        <w:rPr>
          <w:rFonts w:ascii="Museo Slab 500" w:eastAsia="Museo Slab 500" w:hAnsi="Museo Slab 500" w:cs="Museo Slab 500"/>
          <w:color w:val="5C6670"/>
          <w:sz w:val="24"/>
          <w:szCs w:val="24"/>
        </w:rPr>
        <w:tab/>
      </w:r>
      <w:r w:rsidR="00040174">
        <w:rPr>
          <w:rFonts w:ascii="Museo Slab 500" w:eastAsia="Museo Slab 500" w:hAnsi="Museo Slab 500" w:cs="Museo Slab 500"/>
          <w:color w:val="5C6670"/>
          <w:sz w:val="24"/>
          <w:szCs w:val="24"/>
        </w:rPr>
        <w:t>#</w:t>
      </w:r>
      <w:r>
        <w:rPr>
          <w:rFonts w:ascii="Museo Slab 500" w:eastAsia="Museo Slab 500" w:hAnsi="Museo Slab 500" w:cs="Museo Slab 500"/>
          <w:color w:val="5C6670"/>
          <w:sz w:val="24"/>
          <w:szCs w:val="24"/>
        </w:rPr>
        <w:t xml:space="preserve"> </w:t>
      </w:r>
      <w:r w:rsidR="00D83724">
        <w:rPr>
          <w:rFonts w:ascii="Museo Slab 500" w:eastAsia="Museo Slab 500" w:hAnsi="Museo Slab 500" w:cs="Museo Slab 500"/>
          <w:color w:val="5C6670"/>
          <w:sz w:val="24"/>
          <w:szCs w:val="24"/>
        </w:rPr>
        <w:t>4</w:t>
      </w:r>
    </w:p>
    <w:p w14:paraId="31ED38B6" w14:textId="2ECC5803" w:rsidR="000F1AFA" w:rsidRDefault="00040174">
      <w:pPr>
        <w:pBdr>
          <w:top w:val="nil"/>
          <w:left w:val="nil"/>
          <w:bottom w:val="nil"/>
          <w:right w:val="nil"/>
          <w:between w:val="nil"/>
        </w:pBdr>
        <w:tabs>
          <w:tab w:val="right" w:pos="7200"/>
        </w:tabs>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Fiscal Resources</w:t>
      </w:r>
    </w:p>
    <w:p w14:paraId="630415FC" w14:textId="277B89AF" w:rsidR="00040174" w:rsidRDefault="00040174">
      <w:pPr>
        <w:pBdr>
          <w:top w:val="nil"/>
          <w:left w:val="nil"/>
          <w:bottom w:val="nil"/>
          <w:right w:val="nil"/>
          <w:between w:val="nil"/>
        </w:pBdr>
        <w:tabs>
          <w:tab w:val="right" w:pos="7200"/>
        </w:tabs>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Collaborative Leadership</w:t>
      </w:r>
    </w:p>
    <w:p w14:paraId="495DC7DB" w14:textId="35EF64D1" w:rsidR="00040174" w:rsidRDefault="00040174">
      <w:pPr>
        <w:pBdr>
          <w:top w:val="nil"/>
          <w:left w:val="nil"/>
          <w:bottom w:val="nil"/>
          <w:right w:val="nil"/>
          <w:between w:val="nil"/>
        </w:pBdr>
        <w:tabs>
          <w:tab w:val="right" w:pos="7200"/>
        </w:tabs>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Teacher Learning </w:t>
      </w:r>
    </w:p>
    <w:p w14:paraId="416AB6B0" w14:textId="77F6F144" w:rsidR="00040174" w:rsidRDefault="00040174">
      <w:pPr>
        <w:pBdr>
          <w:top w:val="nil"/>
          <w:left w:val="nil"/>
          <w:bottom w:val="nil"/>
          <w:right w:val="nil"/>
          <w:between w:val="nil"/>
        </w:pBdr>
        <w:tabs>
          <w:tab w:val="right" w:pos="7200"/>
        </w:tabs>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Research Based ELD Program</w:t>
      </w:r>
    </w:p>
    <w:p w14:paraId="5792BD74" w14:textId="2D00B3DB" w:rsidR="00040174" w:rsidRDefault="00040174">
      <w:pPr>
        <w:pBdr>
          <w:top w:val="nil"/>
          <w:left w:val="nil"/>
          <w:bottom w:val="nil"/>
          <w:right w:val="nil"/>
          <w:between w:val="nil"/>
        </w:pBdr>
        <w:tabs>
          <w:tab w:val="right" w:pos="7200"/>
        </w:tabs>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Systemic Processes and Procedures</w:t>
      </w:r>
    </w:p>
    <w:p w14:paraId="74A56320" w14:textId="62ADA38C" w:rsidR="000F1AFA" w:rsidRDefault="007E4DF1">
      <w:pPr>
        <w:pBdr>
          <w:top w:val="nil"/>
          <w:left w:val="nil"/>
          <w:bottom w:val="single" w:sz="8" w:space="0" w:color="9AA3AC"/>
          <w:right w:val="nil"/>
          <w:between w:val="nil"/>
        </w:pBdr>
        <w:tabs>
          <w:tab w:val="right" w:pos="7200"/>
        </w:tabs>
        <w:spacing w:before="240" w:after="6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Conclusion</w:t>
      </w:r>
      <w:r w:rsidR="00D83724">
        <w:rPr>
          <w:rFonts w:ascii="Museo Slab 500" w:eastAsia="Museo Slab 500" w:hAnsi="Museo Slab 500" w:cs="Museo Slab 500"/>
          <w:color w:val="5C6670"/>
          <w:sz w:val="24"/>
          <w:szCs w:val="24"/>
        </w:rPr>
        <w:tab/>
      </w:r>
      <w:r w:rsidR="00D83724">
        <w:rPr>
          <w:rFonts w:ascii="Museo Slab 500" w:eastAsia="Museo Slab 500" w:hAnsi="Museo Slab 500" w:cs="Museo Slab 500"/>
          <w:color w:val="5C6670"/>
          <w:sz w:val="24"/>
          <w:szCs w:val="24"/>
        </w:rPr>
        <w:tab/>
      </w:r>
      <w:r w:rsidR="00D83724">
        <w:rPr>
          <w:rFonts w:ascii="Museo Slab 500" w:eastAsia="Museo Slab 500" w:hAnsi="Museo Slab 500" w:cs="Museo Slab 500"/>
          <w:color w:val="5C6670"/>
          <w:sz w:val="24"/>
          <w:szCs w:val="24"/>
        </w:rPr>
        <w:tab/>
      </w:r>
      <w:r w:rsidR="00040174">
        <w:rPr>
          <w:rFonts w:ascii="Museo Slab 500" w:eastAsia="Museo Slab 500" w:hAnsi="Museo Slab 500" w:cs="Museo Slab 500"/>
          <w:color w:val="5C6670"/>
          <w:sz w:val="24"/>
          <w:szCs w:val="24"/>
        </w:rPr>
        <w:t>#5</w:t>
      </w:r>
    </w:p>
    <w:p w14:paraId="07D8A7A2"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1DA39FA3"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292FE305"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2D24F023"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7D1D46D4"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6733243B"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3001D6F5"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51A04194"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0C00BD09"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1360B5D3"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002C11EF"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35B8ACBB"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08C7508A"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61696E63" w14:textId="77777777" w:rsidR="000F1AFA" w:rsidRDefault="000F1AFA"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69F01DDC" w14:textId="77777777" w:rsidR="003E30D2" w:rsidRDefault="003E30D2"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3BB67164" w14:textId="77777777" w:rsidR="003E30D2" w:rsidRDefault="003E30D2"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7691B1F5" w14:textId="77777777" w:rsidR="003E30D2" w:rsidRDefault="003E30D2" w:rsidP="00040174">
      <w:pPr>
        <w:pBdr>
          <w:top w:val="nil"/>
          <w:left w:val="nil"/>
          <w:bottom w:val="single" w:sz="8" w:space="5" w:color="9AA3AC"/>
          <w:right w:val="nil"/>
          <w:between w:val="nil"/>
        </w:pBdr>
        <w:tabs>
          <w:tab w:val="left" w:pos="90"/>
        </w:tabs>
        <w:spacing w:after="60"/>
        <w:rPr>
          <w:rFonts w:ascii="Museo Slab 500" w:eastAsia="Museo Slab 500" w:hAnsi="Museo Slab 500" w:cs="Museo Slab 500"/>
          <w:b/>
          <w:color w:val="5C6670"/>
          <w:sz w:val="36"/>
          <w:szCs w:val="36"/>
        </w:rPr>
      </w:pPr>
    </w:p>
    <w:p w14:paraId="24BCA4E8" w14:textId="2B5BDC26" w:rsidR="000F1AFA" w:rsidRPr="003E30D2" w:rsidRDefault="003E30D2" w:rsidP="002F2956">
      <w:pPr>
        <w:pBdr>
          <w:top w:val="nil"/>
          <w:left w:val="nil"/>
          <w:bottom w:val="single" w:sz="8" w:space="0" w:color="9AA3AC"/>
          <w:right w:val="nil"/>
          <w:between w:val="nil"/>
        </w:pBdr>
        <w:tabs>
          <w:tab w:val="left" w:pos="90"/>
        </w:tabs>
        <w:spacing w:before="120"/>
        <w:rPr>
          <w:rFonts w:ascii="Museo Slab 500" w:eastAsia="Museo Slab 500" w:hAnsi="Museo Slab 500" w:cs="Museo Slab 500"/>
          <w:b/>
          <w:color w:val="5C6670"/>
          <w:sz w:val="30"/>
          <w:szCs w:val="30"/>
        </w:rPr>
      </w:pPr>
      <w:r w:rsidRPr="003E30D2">
        <w:rPr>
          <w:rFonts w:ascii="Museo Slab 500" w:eastAsia="Museo Slab 500" w:hAnsi="Museo Slab 500" w:cs="Museo Slab 500"/>
          <w:b/>
          <w:color w:val="5C6670"/>
          <w:sz w:val="30"/>
          <w:szCs w:val="30"/>
        </w:rPr>
        <w:lastRenderedPageBreak/>
        <w:t>Introduction</w:t>
      </w:r>
    </w:p>
    <w:p w14:paraId="50B072AA" w14:textId="63BDC6C3" w:rsidR="002F2956" w:rsidRDefault="002F2956" w:rsidP="002F2956">
      <w:r>
        <w:t xml:space="preserve">In 2014, Colorado legislators re-enacted the English Language Proficiency Act (ELPA). ELPA funds Colorado districts to provide supports and services to English learners (ELs). As part of the re-enacted legislation, funding was earmarked </w:t>
      </w:r>
      <w:r w:rsidR="005D72AF">
        <w:t>to</w:t>
      </w:r>
      <w:r>
        <w:t xml:space="preserve"> identify and award high performing local education providers (LEPs) with evidence-based English language development (ELD) programs and a demonstrated record of effectiveness. Specifically, high performing districts and charter schools were identified based on </w:t>
      </w:r>
      <w:r w:rsidR="005D72AF">
        <w:t xml:space="preserve">ELs’ English </w:t>
      </w:r>
      <w:r>
        <w:t xml:space="preserve">language and academic performance on three equally-weighted criteria: </w:t>
      </w:r>
    </w:p>
    <w:p w14:paraId="1C2BBE80" w14:textId="77777777" w:rsidR="002F2956" w:rsidRDefault="002F2956" w:rsidP="002F2956"/>
    <w:p w14:paraId="5537E6B3" w14:textId="027F1B82" w:rsidR="002F2956" w:rsidRDefault="002F2956" w:rsidP="002F2956">
      <w:pPr>
        <w:numPr>
          <w:ilvl w:val="0"/>
          <w:numId w:val="2"/>
        </w:numPr>
        <w:pBdr>
          <w:top w:val="nil"/>
          <w:left w:val="nil"/>
          <w:bottom w:val="nil"/>
          <w:right w:val="nil"/>
          <w:between w:val="nil"/>
        </w:pBdr>
      </w:pPr>
      <w:r>
        <w:rPr>
          <w:b/>
          <w:i/>
        </w:rPr>
        <w:t>Linguistic growth</w:t>
      </w:r>
      <w:r>
        <w:t xml:space="preserve"> of ELs in program</w:t>
      </w:r>
      <w:r w:rsidR="005D72AF">
        <w:t>,</w:t>
      </w:r>
      <w:r>
        <w:t xml:space="preserve"> measured by growth on the WIDA ACCESS for ELLs assessment; </w:t>
      </w:r>
    </w:p>
    <w:p w14:paraId="5C9A55B0" w14:textId="2D56A05A" w:rsidR="002F2956" w:rsidRDefault="002F2956" w:rsidP="002F2956">
      <w:pPr>
        <w:numPr>
          <w:ilvl w:val="0"/>
          <w:numId w:val="2"/>
        </w:numPr>
        <w:pBdr>
          <w:top w:val="nil"/>
          <w:left w:val="nil"/>
          <w:bottom w:val="nil"/>
          <w:right w:val="nil"/>
          <w:between w:val="nil"/>
        </w:pBdr>
      </w:pPr>
      <w:r>
        <w:rPr>
          <w:b/>
          <w:i/>
        </w:rPr>
        <w:t>Academic growth</w:t>
      </w:r>
      <w:r>
        <w:t xml:space="preserve"> of ELs in program</w:t>
      </w:r>
      <w:r w:rsidR="005D72AF">
        <w:t>,</w:t>
      </w:r>
      <w:r>
        <w:t xml:space="preserve"> measured by growth on </w:t>
      </w:r>
      <w:r w:rsidR="005D72AF">
        <w:t xml:space="preserve">Colorado’s </w:t>
      </w:r>
      <w:r>
        <w:t>CMAS English language arts (ELA) and math assessments; and</w:t>
      </w:r>
    </w:p>
    <w:p w14:paraId="27D63A06" w14:textId="5B8699C1" w:rsidR="002F2956" w:rsidRDefault="002F2956" w:rsidP="002F2956">
      <w:pPr>
        <w:numPr>
          <w:ilvl w:val="0"/>
          <w:numId w:val="2"/>
        </w:numPr>
        <w:pBdr>
          <w:top w:val="nil"/>
          <w:left w:val="nil"/>
          <w:bottom w:val="nil"/>
          <w:right w:val="nil"/>
          <w:between w:val="nil"/>
        </w:pBdr>
      </w:pPr>
      <w:r>
        <w:rPr>
          <w:b/>
          <w:i/>
        </w:rPr>
        <w:t>Academic achievement</w:t>
      </w:r>
      <w:r>
        <w:t xml:space="preserve"> of ELs </w:t>
      </w:r>
      <w:r w:rsidR="005D72AF">
        <w:t xml:space="preserve">who </w:t>
      </w:r>
      <w:r>
        <w:t>have exited the ELD program</w:t>
      </w:r>
      <w:r w:rsidR="005D72AF">
        <w:t>,</w:t>
      </w:r>
      <w:r>
        <w:t xml:space="preserve"> </w:t>
      </w:r>
      <w:r w:rsidR="005D72AF">
        <w:t>specifically</w:t>
      </w:r>
      <w:r>
        <w:t xml:space="preserve"> the percent scor</w:t>
      </w:r>
      <w:r w:rsidR="00983067">
        <w:t>ing</w:t>
      </w:r>
      <w:r>
        <w:t xml:space="preserve"> in the top two </w:t>
      </w:r>
      <w:r w:rsidR="00983067">
        <w:t xml:space="preserve">CMAS ELA and math </w:t>
      </w:r>
      <w:r>
        <w:t xml:space="preserve">performance levels. </w:t>
      </w:r>
    </w:p>
    <w:p w14:paraId="607CC009" w14:textId="77777777" w:rsidR="002F2956" w:rsidRDefault="002F2956" w:rsidP="002F2956"/>
    <w:p w14:paraId="2CDFFA87" w14:textId="66689A47" w:rsidR="002F2956" w:rsidRPr="00445017" w:rsidRDefault="002F2956" w:rsidP="002F2956">
      <w:pPr>
        <w:rPr>
          <w:rFonts w:eastAsia="Times New Roman"/>
        </w:rPr>
      </w:pPr>
      <w:r>
        <w:t>In 2016-2017, these legislated criteria were used to identify 10 districts and 10 charter schools for ELPA Excellence Awards</w:t>
      </w:r>
      <w:r w:rsidR="005C559F">
        <w:t>.</w:t>
      </w:r>
      <w:r>
        <w:t xml:space="preserve"> (See Table 1 below for </w:t>
      </w:r>
      <w:r w:rsidR="000E3A9D">
        <w:t xml:space="preserve">district </w:t>
      </w:r>
      <w:r>
        <w:t xml:space="preserve">awardees; for </w:t>
      </w:r>
      <w:r w:rsidR="000E3A9D">
        <w:t>charter school</w:t>
      </w:r>
      <w:r>
        <w:t xml:space="preserve"> awardees please visit: </w:t>
      </w:r>
      <w:hyperlink r:id="rId14">
        <w:r w:rsidR="00D83724">
          <w:rPr>
            <w:rFonts w:eastAsia="Times New Roman"/>
            <w:color w:val="0000FF"/>
            <w:u w:val="single"/>
          </w:rPr>
          <w:t>ELPA Excellence Award</w:t>
        </w:r>
      </w:hyperlink>
      <w:r w:rsidR="005C559F" w:rsidRPr="00445017">
        <w:rPr>
          <w:rFonts w:eastAsia="Times New Roman"/>
          <w:color w:val="0000FF"/>
          <w:u w:val="single"/>
        </w:rPr>
        <w:t>.</w:t>
      </w:r>
      <w:r w:rsidRPr="00445017">
        <w:t>)</w:t>
      </w:r>
    </w:p>
    <w:p w14:paraId="5CFE509C" w14:textId="77777777" w:rsidR="000F1AFA" w:rsidRPr="00445017" w:rsidRDefault="000F1AFA">
      <w:pPr>
        <w:pBdr>
          <w:top w:val="nil"/>
          <w:left w:val="nil"/>
          <w:bottom w:val="nil"/>
          <w:right w:val="nil"/>
          <w:between w:val="nil"/>
        </w:pBdr>
        <w:rPr>
          <w:rFonts w:eastAsia="Times New Roman"/>
          <w:color w:val="000000"/>
        </w:rPr>
      </w:pPr>
    </w:p>
    <w:p w14:paraId="2367669C" w14:textId="2663E32E" w:rsidR="000F1AFA" w:rsidRDefault="007E4DF1">
      <w:pPr>
        <w:pBdr>
          <w:top w:val="nil"/>
          <w:left w:val="nil"/>
          <w:bottom w:val="nil"/>
          <w:right w:val="nil"/>
          <w:between w:val="nil"/>
        </w:pBdr>
        <w:rPr>
          <w:i/>
          <w:color w:val="000000"/>
        </w:rPr>
      </w:pPr>
      <w:r>
        <w:rPr>
          <w:i/>
          <w:color w:val="000000"/>
        </w:rPr>
        <w:t>Table 1. 2016-2017 ELPA Excellence Award Districts</w:t>
      </w:r>
    </w:p>
    <w:tbl>
      <w:tblPr>
        <w:tblStyle w:val="a"/>
        <w:tblW w:w="5003" w:type="dxa"/>
        <w:tblInd w:w="85" w:type="dxa"/>
        <w:tblLayout w:type="fixed"/>
        <w:tblLook w:val="0400" w:firstRow="0" w:lastRow="0" w:firstColumn="0" w:lastColumn="0" w:noHBand="0" w:noVBand="1"/>
        <w:tblCaption w:val="2016-17 ELPA Local Education Providers "/>
      </w:tblPr>
      <w:tblGrid>
        <w:gridCol w:w="5003"/>
      </w:tblGrid>
      <w:tr w:rsidR="000F1AFA" w14:paraId="13D2E1BB" w14:textId="77777777" w:rsidTr="00445017">
        <w:trPr>
          <w:trHeight w:val="420"/>
          <w:tblHeader/>
        </w:trPr>
        <w:tc>
          <w:tcPr>
            <w:tcW w:w="5003" w:type="dxa"/>
            <w:tcBorders>
              <w:top w:val="single" w:sz="4" w:space="0" w:color="9BBB59"/>
              <w:left w:val="single" w:sz="4" w:space="0" w:color="9BBB59"/>
              <w:bottom w:val="single" w:sz="8" w:space="0" w:color="9BBB59"/>
              <w:right w:val="single" w:sz="4" w:space="0" w:color="9BBB59"/>
            </w:tcBorders>
            <w:shd w:val="clear" w:color="auto" w:fill="auto"/>
            <w:vAlign w:val="center"/>
          </w:tcPr>
          <w:p w14:paraId="50D844C4" w14:textId="77777777" w:rsidR="000F1AFA" w:rsidRDefault="007E4DF1">
            <w:pPr>
              <w:ind w:left="-42"/>
              <w:jc w:val="center"/>
              <w:rPr>
                <w:b/>
                <w:color w:val="000000"/>
              </w:rPr>
            </w:pPr>
            <w:r>
              <w:rPr>
                <w:b/>
                <w:color w:val="000000"/>
              </w:rPr>
              <w:t>Organization (Local Education Providers)</w:t>
            </w:r>
          </w:p>
        </w:tc>
      </w:tr>
      <w:tr w:rsidR="000F1AFA" w14:paraId="261E5406"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1C2A8433" w14:textId="77777777" w:rsidR="000F1AFA" w:rsidRDefault="007E4DF1">
            <w:pPr>
              <w:rPr>
                <w:color w:val="000000"/>
              </w:rPr>
            </w:pPr>
            <w:r>
              <w:rPr>
                <w:color w:val="000000"/>
              </w:rPr>
              <w:t>Academy School District 20</w:t>
            </w:r>
          </w:p>
        </w:tc>
      </w:tr>
      <w:tr w:rsidR="000F1AFA" w14:paraId="72E838F5"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748A2632" w14:textId="77777777" w:rsidR="000F1AFA" w:rsidRDefault="007E4DF1">
            <w:pPr>
              <w:rPr>
                <w:color w:val="000000"/>
              </w:rPr>
            </w:pPr>
            <w:r>
              <w:rPr>
                <w:color w:val="000000"/>
              </w:rPr>
              <w:t>Cherry Creek School District 5</w:t>
            </w:r>
          </w:p>
        </w:tc>
      </w:tr>
      <w:tr w:rsidR="000F1AFA" w14:paraId="4D7EC712"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51DE0551" w14:textId="77777777" w:rsidR="000F1AFA" w:rsidRDefault="007E4DF1">
            <w:pPr>
              <w:rPr>
                <w:color w:val="000000"/>
              </w:rPr>
            </w:pPr>
            <w:r>
              <w:rPr>
                <w:color w:val="000000"/>
              </w:rPr>
              <w:t>Cheyenne Mountain School District</w:t>
            </w:r>
          </w:p>
        </w:tc>
      </w:tr>
      <w:tr w:rsidR="000F1AFA" w14:paraId="2B00FEC3"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13A7E4CB" w14:textId="77777777" w:rsidR="000F1AFA" w:rsidRDefault="007E4DF1">
            <w:pPr>
              <w:rPr>
                <w:color w:val="000000"/>
              </w:rPr>
            </w:pPr>
            <w:r>
              <w:rPr>
                <w:color w:val="000000"/>
              </w:rPr>
              <w:t>Denver Public Schools</w:t>
            </w:r>
          </w:p>
        </w:tc>
      </w:tr>
      <w:tr w:rsidR="000F1AFA" w14:paraId="38074CCA"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603A4F76" w14:textId="77777777" w:rsidR="000F1AFA" w:rsidRDefault="007E4DF1">
            <w:pPr>
              <w:rPr>
                <w:color w:val="000000"/>
              </w:rPr>
            </w:pPr>
            <w:r>
              <w:rPr>
                <w:color w:val="000000"/>
              </w:rPr>
              <w:t>East Grand School District 2</w:t>
            </w:r>
          </w:p>
        </w:tc>
      </w:tr>
      <w:tr w:rsidR="000F1AFA" w14:paraId="76585E0E"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0B19C2F1" w14:textId="77777777" w:rsidR="000F1AFA" w:rsidRDefault="007E4DF1">
            <w:pPr>
              <w:rPr>
                <w:color w:val="000000"/>
              </w:rPr>
            </w:pPr>
            <w:r>
              <w:rPr>
                <w:color w:val="000000"/>
              </w:rPr>
              <w:t>Fountain-Fort Carson School District 8</w:t>
            </w:r>
          </w:p>
        </w:tc>
      </w:tr>
      <w:tr w:rsidR="000F1AFA" w14:paraId="77A1B098"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371D3C5E" w14:textId="77777777" w:rsidR="000F1AFA" w:rsidRDefault="007E4DF1">
            <w:pPr>
              <w:rPr>
                <w:color w:val="000000"/>
              </w:rPr>
            </w:pPr>
            <w:r>
              <w:rPr>
                <w:color w:val="000000"/>
              </w:rPr>
              <w:t>Harrison School District 2</w:t>
            </w:r>
          </w:p>
        </w:tc>
      </w:tr>
      <w:tr w:rsidR="000F1AFA" w14:paraId="648F1049"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1100BE3E" w14:textId="77777777" w:rsidR="000F1AFA" w:rsidRDefault="007E4DF1">
            <w:pPr>
              <w:rPr>
                <w:color w:val="000000"/>
              </w:rPr>
            </w:pPr>
            <w:r>
              <w:rPr>
                <w:color w:val="000000"/>
              </w:rPr>
              <w:t>Lewis-Palmer School District 38</w:t>
            </w:r>
          </w:p>
        </w:tc>
      </w:tr>
      <w:tr w:rsidR="000F1AFA" w14:paraId="012E86F2" w14:textId="77777777" w:rsidTr="00445017">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5F70B076" w14:textId="77777777" w:rsidR="000F1AFA" w:rsidRDefault="007E4DF1">
            <w:pPr>
              <w:rPr>
                <w:color w:val="000000"/>
              </w:rPr>
            </w:pPr>
            <w:r>
              <w:rPr>
                <w:color w:val="000000"/>
              </w:rPr>
              <w:t>Littleton Public Schools</w:t>
            </w:r>
          </w:p>
        </w:tc>
      </w:tr>
      <w:tr w:rsidR="000F1AFA" w14:paraId="02BC8B38" w14:textId="77777777" w:rsidTr="00445017">
        <w:trPr>
          <w:trHeight w:val="180"/>
          <w:tblHeader/>
        </w:trPr>
        <w:tc>
          <w:tcPr>
            <w:tcW w:w="5003" w:type="dxa"/>
            <w:tcBorders>
              <w:top w:val="single" w:sz="4" w:space="0" w:color="9BBB59"/>
              <w:left w:val="single" w:sz="4" w:space="0" w:color="9BBB59"/>
              <w:bottom w:val="single" w:sz="8" w:space="0" w:color="9BBB59"/>
              <w:right w:val="single" w:sz="4" w:space="0" w:color="9BBB59"/>
            </w:tcBorders>
            <w:shd w:val="clear" w:color="auto" w:fill="auto"/>
            <w:vAlign w:val="bottom"/>
          </w:tcPr>
          <w:p w14:paraId="70FBB0DA" w14:textId="77777777" w:rsidR="000F1AFA" w:rsidRDefault="007E4DF1">
            <w:pPr>
              <w:rPr>
                <w:color w:val="000000"/>
              </w:rPr>
            </w:pPr>
            <w:r>
              <w:rPr>
                <w:color w:val="000000"/>
              </w:rPr>
              <w:t>Steamboat Springs School District RE-2</w:t>
            </w:r>
          </w:p>
        </w:tc>
      </w:tr>
    </w:tbl>
    <w:p w14:paraId="16359147" w14:textId="77777777" w:rsidR="000F1AFA" w:rsidRDefault="000F1AFA">
      <w:pPr>
        <w:rPr>
          <w:rFonts w:ascii="Source Sans Pro" w:eastAsia="Source Sans Pro" w:hAnsi="Source Sans Pro" w:cs="Source Sans Pro"/>
          <w:b/>
          <w:color w:val="636D78"/>
        </w:rPr>
      </w:pPr>
    </w:p>
    <w:p w14:paraId="20131189" w14:textId="609D2522" w:rsidR="000F1AFA" w:rsidRDefault="000516CA">
      <w:pPr>
        <w:pBdr>
          <w:top w:val="nil"/>
          <w:left w:val="nil"/>
          <w:bottom w:val="nil"/>
          <w:right w:val="nil"/>
          <w:between w:val="nil"/>
        </w:pBdr>
        <w:rPr>
          <w:color w:val="000000"/>
        </w:rPr>
      </w:pPr>
      <w:r>
        <w:rPr>
          <w:color w:val="000000"/>
        </w:rPr>
        <w:t>L</w:t>
      </w:r>
      <w:r w:rsidR="007E4DF1">
        <w:rPr>
          <w:color w:val="000000"/>
        </w:rPr>
        <w:t xml:space="preserve">egislation also required the Colorado Department of Education (CDE) to conduct an evaluation to identify the factors contributing to the success of the awardees and disseminate the effective practices implemented by the awardees. This report summarizes the practices and procedures </w:t>
      </w:r>
      <w:r w:rsidR="00E13DF0">
        <w:rPr>
          <w:color w:val="000000"/>
        </w:rPr>
        <w:t>common to</w:t>
      </w:r>
      <w:r w:rsidR="007E4DF1">
        <w:rPr>
          <w:color w:val="000000"/>
        </w:rPr>
        <w:t xml:space="preserve"> the awarded </w:t>
      </w:r>
      <w:r w:rsidR="000720C3">
        <w:rPr>
          <w:color w:val="000000"/>
        </w:rPr>
        <w:t>districts</w:t>
      </w:r>
      <w:r w:rsidR="007E4DF1">
        <w:rPr>
          <w:color w:val="000000"/>
        </w:rPr>
        <w:t xml:space="preserve"> and highlights the</w:t>
      </w:r>
      <w:r w:rsidR="00E13DF0">
        <w:rPr>
          <w:color w:val="000000"/>
        </w:rPr>
        <w:t>ir</w:t>
      </w:r>
      <w:r w:rsidR="007E4DF1">
        <w:rPr>
          <w:color w:val="000000"/>
        </w:rPr>
        <w:t xml:space="preserve"> exemplary practices. A companion report delineates the findings for the awarded </w:t>
      </w:r>
      <w:r w:rsidR="000720C3">
        <w:rPr>
          <w:color w:val="000000"/>
        </w:rPr>
        <w:t>charter schools</w:t>
      </w:r>
      <w:r w:rsidR="007E4DF1">
        <w:rPr>
          <w:color w:val="000000"/>
        </w:rPr>
        <w:t xml:space="preserve"> (see </w:t>
      </w:r>
      <w:hyperlink r:id="rId15" w:history="1">
        <w:r w:rsidR="00D83724">
          <w:rPr>
            <w:rStyle w:val="Hyperlink"/>
          </w:rPr>
          <w:t>2016-2017 ELPA Charter Evaluation Report</w:t>
        </w:r>
      </w:hyperlink>
      <w:r w:rsidR="007E4DF1">
        <w:rPr>
          <w:color w:val="000000"/>
        </w:rPr>
        <w:t>).</w:t>
      </w:r>
    </w:p>
    <w:p w14:paraId="16947CDA" w14:textId="77777777" w:rsidR="000F1AFA" w:rsidRDefault="000F1AFA">
      <w:pPr>
        <w:pBdr>
          <w:top w:val="nil"/>
          <w:left w:val="nil"/>
          <w:bottom w:val="nil"/>
          <w:right w:val="nil"/>
          <w:between w:val="nil"/>
        </w:pBdr>
        <w:rPr>
          <w:color w:val="000000"/>
        </w:rPr>
      </w:pPr>
    </w:p>
    <w:p w14:paraId="598686FE" w14:textId="77777777" w:rsidR="000F1AFA" w:rsidRDefault="007E4DF1">
      <w:pPr>
        <w:pBdr>
          <w:top w:val="nil"/>
          <w:left w:val="nil"/>
          <w:bottom w:val="nil"/>
          <w:right w:val="nil"/>
          <w:between w:val="nil"/>
        </w:pBdr>
        <w:spacing w:before="120" w:after="60"/>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Study Methodology</w:t>
      </w:r>
    </w:p>
    <w:p w14:paraId="73961D9A" w14:textId="25D10B66" w:rsidR="000F1AFA" w:rsidRPr="00D8371D" w:rsidRDefault="007E4DF1" w:rsidP="00D8371D">
      <w:pPr>
        <w:pStyle w:val="CommentText"/>
        <w:rPr>
          <w:color w:val="FF0000"/>
          <w:sz w:val="22"/>
          <w:szCs w:val="22"/>
        </w:rPr>
      </w:pPr>
      <w:r w:rsidRPr="00D8371D">
        <w:rPr>
          <w:sz w:val="22"/>
        </w:rPr>
        <w:t>CDE collected information from the 2016-2017 ELPA Excellence Award districts</w:t>
      </w:r>
      <w:r w:rsidR="004204AF" w:rsidRPr="00D8371D">
        <w:rPr>
          <w:sz w:val="22"/>
        </w:rPr>
        <w:t xml:space="preserve"> using Colorado’s Implementation Reflection Rubric</w:t>
      </w:r>
      <w:r w:rsidR="00272027" w:rsidRPr="00D8371D">
        <w:rPr>
          <w:sz w:val="22"/>
        </w:rPr>
        <w:t xml:space="preserve">. </w:t>
      </w:r>
      <w:r w:rsidRPr="00D8371D">
        <w:rPr>
          <w:sz w:val="22"/>
        </w:rPr>
        <w:t>Awardees self-identif</w:t>
      </w:r>
      <w:r w:rsidR="002D5879" w:rsidRPr="00D8371D">
        <w:rPr>
          <w:sz w:val="22"/>
        </w:rPr>
        <w:t>ied</w:t>
      </w:r>
      <w:r w:rsidRPr="00D8371D">
        <w:rPr>
          <w:sz w:val="22"/>
        </w:rPr>
        <w:t xml:space="preserve"> their strengths in support of the ELD program</w:t>
      </w:r>
      <w:r w:rsidR="002D5879" w:rsidRPr="00D8371D">
        <w:rPr>
          <w:sz w:val="22"/>
        </w:rPr>
        <w:t xml:space="preserve"> in the following areas</w:t>
      </w:r>
      <w:r w:rsidRPr="00D8371D">
        <w:rPr>
          <w:sz w:val="22"/>
        </w:rPr>
        <w:t xml:space="preserve">:  systemic processes, collaborative leadership, </w:t>
      </w:r>
      <w:proofErr w:type="gramStart"/>
      <w:r w:rsidRPr="00D8371D">
        <w:rPr>
          <w:sz w:val="22"/>
        </w:rPr>
        <w:t>ongoing</w:t>
      </w:r>
      <w:proofErr w:type="gramEnd"/>
      <w:r w:rsidRPr="00D8371D">
        <w:rPr>
          <w:sz w:val="22"/>
        </w:rPr>
        <w:t xml:space="preserve"> evaluation of ELD programs, human resources, fiscal resources, teacher/learning, research-based ELD program</w:t>
      </w:r>
      <w:r w:rsidR="00D4728F" w:rsidRPr="00D8371D">
        <w:rPr>
          <w:sz w:val="22"/>
        </w:rPr>
        <w:t>s</w:t>
      </w:r>
      <w:r w:rsidRPr="00D8371D">
        <w:rPr>
          <w:sz w:val="22"/>
        </w:rPr>
        <w:t>, family/community partnerships, and organizational culture. Items within each section of the self-reflection rubric were aggregated to a</w:t>
      </w:r>
      <w:r w:rsidR="000720C3" w:rsidRPr="00D8371D">
        <w:rPr>
          <w:sz w:val="22"/>
        </w:rPr>
        <w:t xml:space="preserve">nalyze trends across districts. The rubric contains a rating scale for sub-indicators which can be used calculate an index score on each </w:t>
      </w:r>
      <w:r w:rsidR="000720C3" w:rsidRPr="00D8371D">
        <w:rPr>
          <w:sz w:val="22"/>
        </w:rPr>
        <w:lastRenderedPageBreak/>
        <w:t>construct or category</w:t>
      </w:r>
      <w:r w:rsidR="00272027" w:rsidRPr="00D8371D">
        <w:rPr>
          <w:sz w:val="22"/>
        </w:rPr>
        <w:t xml:space="preserve">. </w:t>
      </w:r>
      <w:r w:rsidRPr="00D8371D">
        <w:rPr>
          <w:sz w:val="22"/>
          <w:szCs w:val="22"/>
        </w:rPr>
        <w:t xml:space="preserve">The common practices identified as areas of strength were then synthesized and reports from awardees were used to analyze the components within each area that were </w:t>
      </w:r>
      <w:r w:rsidR="000720C3" w:rsidRPr="00D8371D">
        <w:rPr>
          <w:sz w:val="22"/>
          <w:szCs w:val="22"/>
        </w:rPr>
        <w:t>rated highest among the districts</w:t>
      </w:r>
      <w:r w:rsidR="00272027" w:rsidRPr="00D8371D">
        <w:rPr>
          <w:sz w:val="22"/>
          <w:szCs w:val="22"/>
        </w:rPr>
        <w:t xml:space="preserve">. </w:t>
      </w:r>
      <w:r w:rsidR="00F23B04" w:rsidRPr="00D8371D">
        <w:rPr>
          <w:sz w:val="22"/>
          <w:szCs w:val="22"/>
        </w:rPr>
        <w:t>A few</w:t>
      </w:r>
      <w:r w:rsidRPr="00D8371D">
        <w:rPr>
          <w:sz w:val="22"/>
          <w:szCs w:val="22"/>
        </w:rPr>
        <w:t xml:space="preserve"> areas of strength were common across ELPA Excellence Awardees and have been summarized in this report. </w:t>
      </w:r>
    </w:p>
    <w:p w14:paraId="60FA9A99" w14:textId="77777777" w:rsidR="000F1AFA" w:rsidRPr="00D8371D" w:rsidRDefault="000F1AFA">
      <w:pPr>
        <w:pBdr>
          <w:top w:val="nil"/>
          <w:left w:val="nil"/>
          <w:bottom w:val="single" w:sz="8" w:space="1" w:color="9AA3AC"/>
          <w:right w:val="nil"/>
          <w:between w:val="nil"/>
        </w:pBdr>
        <w:tabs>
          <w:tab w:val="left" w:pos="90"/>
        </w:tabs>
        <w:spacing w:before="120" w:after="120"/>
        <w:rPr>
          <w:rFonts w:ascii="Museo Slab 500" w:eastAsia="Museo Slab 500" w:hAnsi="Museo Slab 500" w:cs="Museo Slab 500"/>
          <w:color w:val="5C6670"/>
        </w:rPr>
      </w:pPr>
    </w:p>
    <w:p w14:paraId="0909D0F4" w14:textId="3972842E" w:rsidR="000F1AFA" w:rsidRDefault="007E4DF1">
      <w:pPr>
        <w:pBdr>
          <w:top w:val="nil"/>
          <w:left w:val="nil"/>
          <w:bottom w:val="single" w:sz="8" w:space="0" w:color="9AA3AC"/>
          <w:right w:val="nil"/>
          <w:between w:val="nil"/>
        </w:pBdr>
        <w:tabs>
          <w:tab w:val="left" w:pos="90"/>
        </w:tabs>
        <w:spacing w:before="120" w:after="120"/>
        <w:rPr>
          <w:rFonts w:ascii="Museo Slab 500" w:eastAsia="Museo Slab 500" w:hAnsi="Museo Slab 500" w:cs="Museo Slab 500"/>
          <w:b/>
          <w:color w:val="5C6670"/>
          <w:sz w:val="30"/>
          <w:szCs w:val="30"/>
        </w:rPr>
      </w:pPr>
      <w:r>
        <w:rPr>
          <w:rFonts w:ascii="Museo Slab 500" w:eastAsia="Museo Slab 500" w:hAnsi="Museo Slab 500" w:cs="Museo Slab 500"/>
          <w:b/>
          <w:color w:val="5C6670"/>
          <w:sz w:val="30"/>
          <w:szCs w:val="30"/>
        </w:rPr>
        <w:t xml:space="preserve">Factors Contributing to the Effectiveness of </w:t>
      </w:r>
      <w:r w:rsidR="004E6A30">
        <w:rPr>
          <w:rFonts w:ascii="Museo Slab 500" w:eastAsia="Museo Slab 500" w:hAnsi="Museo Slab 500" w:cs="Museo Slab 500"/>
          <w:b/>
          <w:color w:val="5C6670"/>
          <w:sz w:val="30"/>
          <w:szCs w:val="30"/>
        </w:rPr>
        <w:t xml:space="preserve">District ELPA Excellence </w:t>
      </w:r>
      <w:r>
        <w:rPr>
          <w:rFonts w:ascii="Museo Slab 500" w:eastAsia="Museo Slab 500" w:hAnsi="Museo Slab 500" w:cs="Museo Slab 500"/>
          <w:b/>
          <w:color w:val="5C6670"/>
          <w:sz w:val="30"/>
          <w:szCs w:val="30"/>
        </w:rPr>
        <w:t>Award ELD Programs</w:t>
      </w:r>
    </w:p>
    <w:p w14:paraId="58A1CD4C" w14:textId="77777777" w:rsidR="000F1AFA" w:rsidRDefault="007E4DF1">
      <w:pPr>
        <w:pStyle w:val="Heading1"/>
      </w:pPr>
      <w:r>
        <w:t>Fiscal Resources</w:t>
      </w:r>
    </w:p>
    <w:p w14:paraId="524DC057" w14:textId="5B25AEE2" w:rsidR="000F1AFA" w:rsidRDefault="00530914">
      <w:pPr>
        <w:tabs>
          <w:tab w:val="left" w:pos="90"/>
        </w:tabs>
      </w:pPr>
      <w:r>
        <w:t>All</w:t>
      </w:r>
      <w:r w:rsidR="007E4DF1">
        <w:t xml:space="preserve"> </w:t>
      </w:r>
      <w:r w:rsidR="004E6A30">
        <w:t xml:space="preserve">10 </w:t>
      </w:r>
      <w:r w:rsidR="007E4DF1">
        <w:t>districts reported using a number of funding streams to support their E</w:t>
      </w:r>
      <w:r w:rsidR="004E6A30">
        <w:t>LD</w:t>
      </w:r>
      <w:r w:rsidR="007E4DF1">
        <w:t xml:space="preserve"> programs</w:t>
      </w:r>
      <w:r w:rsidR="009850FD">
        <w:t>,</w:t>
      </w:r>
      <w:r w:rsidR="007E4DF1">
        <w:t xml:space="preserve"> </w:t>
      </w:r>
      <w:r w:rsidR="0040382B">
        <w:t xml:space="preserve">drawing </w:t>
      </w:r>
      <w:r w:rsidR="007E4DF1">
        <w:t>from Per Pupil Revenue (PPR), ELPA allocations, an</w:t>
      </w:r>
      <w:r w:rsidR="000720C3">
        <w:t>d supplemental federal grants</w:t>
      </w:r>
      <w:r w:rsidR="00E61F41" w:rsidRPr="000720C3">
        <w:t xml:space="preserve">, in order to meet the </w:t>
      </w:r>
      <w:r w:rsidR="00BB4DBC" w:rsidRPr="000720C3">
        <w:t>specific linguistic, social-emotional, and academic needs of those students</w:t>
      </w:r>
      <w:r w:rsidR="007E4DF1" w:rsidRPr="000720C3">
        <w:t>.</w:t>
      </w:r>
      <w:r w:rsidR="000720C3">
        <w:t xml:space="preserve"> </w:t>
      </w:r>
      <w:r w:rsidR="007E4DF1">
        <w:t>Six districts reported that they evaluate the</w:t>
      </w:r>
      <w:r w:rsidR="00816993">
        <w:t>ir</w:t>
      </w:r>
      <w:r w:rsidR="007E4DF1">
        <w:t xml:space="preserve"> financial formula</w:t>
      </w:r>
      <w:r w:rsidR="001A7C3F">
        <w:t>s</w:t>
      </w:r>
      <w:r w:rsidR="007E4DF1">
        <w:t xml:space="preserve"> annually</w:t>
      </w:r>
      <w:r w:rsidR="001A7C3F">
        <w:t>,</w:t>
      </w:r>
      <w:r w:rsidR="007E4DF1">
        <w:t xml:space="preserve"> and modif</w:t>
      </w:r>
      <w:r w:rsidR="001913D4">
        <w:t>y</w:t>
      </w:r>
      <w:r w:rsidR="007E4DF1">
        <w:t xml:space="preserve"> as needed</w:t>
      </w:r>
      <w:r w:rsidR="001A7C3F">
        <w:t>,</w:t>
      </w:r>
      <w:r w:rsidR="007E4DF1">
        <w:t xml:space="preserve"> to ensure quality E</w:t>
      </w:r>
      <w:r w:rsidR="001A7C3F">
        <w:t>LD</w:t>
      </w:r>
      <w:r w:rsidR="007E4DF1">
        <w:t xml:space="preserve"> programs</w:t>
      </w:r>
      <w:r w:rsidR="00272027">
        <w:t xml:space="preserve">. </w:t>
      </w:r>
      <w:r w:rsidR="009F74F7">
        <w:t xml:space="preserve">Districts </w:t>
      </w:r>
      <w:r w:rsidR="00E415B1">
        <w:t xml:space="preserve">regularly </w:t>
      </w:r>
      <w:r w:rsidR="009F74F7">
        <w:t xml:space="preserve">analyzed </w:t>
      </w:r>
      <w:r w:rsidR="006B7E93">
        <w:t xml:space="preserve">factors such as staffing ratios and the number and percentage of </w:t>
      </w:r>
      <w:r w:rsidR="001A7C3F">
        <w:t>ELs</w:t>
      </w:r>
      <w:r w:rsidR="006B7E93">
        <w:t xml:space="preserve"> </w:t>
      </w:r>
      <w:r w:rsidR="00BF37E0">
        <w:t xml:space="preserve">to ensure appropriate resources were in place to support successful </w:t>
      </w:r>
      <w:r w:rsidR="001913D4">
        <w:t xml:space="preserve">ELD program </w:t>
      </w:r>
      <w:r w:rsidR="00BF37E0">
        <w:t xml:space="preserve">implementation </w:t>
      </w:r>
      <w:r w:rsidR="00223F8A">
        <w:t>across schools</w:t>
      </w:r>
      <w:r w:rsidR="00BF37E0">
        <w:t>.</w:t>
      </w:r>
      <w:r w:rsidR="009F74F7">
        <w:t xml:space="preserve"> </w:t>
      </w:r>
      <w:r w:rsidR="001913D4">
        <w:t>C</w:t>
      </w:r>
      <w:r w:rsidR="007E4DF1">
        <w:t>areful analysis of how best to use financial resources to support E</w:t>
      </w:r>
      <w:r w:rsidR="001A7C3F">
        <w:t>L</w:t>
      </w:r>
      <w:r w:rsidR="007E4DF1">
        <w:t xml:space="preserve">s was key to the overall success of district programs. </w:t>
      </w:r>
      <w:r w:rsidR="000720C3">
        <w:t>The districts’ use of funds in support of ELs demonstrates prioritization of ELD supports and services.</w:t>
      </w:r>
    </w:p>
    <w:p w14:paraId="2C1BE429" w14:textId="77777777" w:rsidR="00272027" w:rsidRDefault="00272027">
      <w:pPr>
        <w:tabs>
          <w:tab w:val="left" w:pos="90"/>
        </w:tabs>
      </w:pPr>
    </w:p>
    <w:p w14:paraId="0BD89A62" w14:textId="77777777" w:rsidR="000F1AFA" w:rsidRDefault="007E4DF1">
      <w:pPr>
        <w:pStyle w:val="Heading1"/>
      </w:pPr>
      <w:bookmarkStart w:id="2" w:name="_vvrql0x32whr" w:colFirst="0" w:colLast="0"/>
      <w:bookmarkEnd w:id="2"/>
      <w:r>
        <w:t>Collaborative Leadership</w:t>
      </w:r>
    </w:p>
    <w:p w14:paraId="453631A6" w14:textId="1E704773" w:rsidR="00A76BAE" w:rsidRDefault="007E4DF1">
      <w:pPr>
        <w:tabs>
          <w:tab w:val="left" w:pos="90"/>
        </w:tabs>
      </w:pPr>
      <w:r>
        <w:t xml:space="preserve">Both </w:t>
      </w:r>
      <w:r w:rsidR="009B76B7">
        <w:t xml:space="preserve">self-reflection rubric </w:t>
      </w:r>
      <w:r>
        <w:t>questions related to collaborative leadership elicited high ratings</w:t>
      </w:r>
      <w:r w:rsidR="00272027">
        <w:t xml:space="preserve">. </w:t>
      </w:r>
      <w:r w:rsidR="006B7D8A">
        <w:t xml:space="preserve">All </w:t>
      </w:r>
      <w:r w:rsidR="009B76B7">
        <w:t>awarded</w:t>
      </w:r>
      <w:r w:rsidR="006B7D8A">
        <w:t xml:space="preserve"> districts </w:t>
      </w:r>
      <w:r w:rsidR="009B76B7">
        <w:t>included</w:t>
      </w:r>
      <w:r w:rsidR="006B7D8A">
        <w:t xml:space="preserve"> both district and school stakeholders </w:t>
      </w:r>
      <w:r w:rsidR="000720C3">
        <w:t>in decision-making</w:t>
      </w:r>
      <w:r w:rsidR="006B7D8A">
        <w:t xml:space="preserve"> about E</w:t>
      </w:r>
      <w:r w:rsidR="009B76B7">
        <w:t>LD</w:t>
      </w:r>
      <w:r w:rsidR="006B7D8A">
        <w:t xml:space="preserve"> programming. </w:t>
      </w:r>
      <w:r w:rsidR="009B76B7">
        <w:t>Decision-</w:t>
      </w:r>
      <w:r w:rsidR="00D0686A">
        <w:t>making includes collaboration at both the district-level</w:t>
      </w:r>
      <w:r w:rsidR="00027CC6">
        <w:t xml:space="preserve"> (e.g</w:t>
      </w:r>
      <w:r w:rsidR="009B76B7">
        <w:t>.</w:t>
      </w:r>
      <w:r w:rsidR="00027CC6">
        <w:t xml:space="preserve">, </w:t>
      </w:r>
      <w:r w:rsidR="00D0686A">
        <w:t xml:space="preserve">superintendent, directors, </w:t>
      </w:r>
      <w:proofErr w:type="gramStart"/>
      <w:r w:rsidR="00D0686A">
        <w:t>ELD</w:t>
      </w:r>
      <w:proofErr w:type="gramEnd"/>
      <w:r w:rsidR="00D0686A">
        <w:t xml:space="preserve"> specialists</w:t>
      </w:r>
      <w:r w:rsidR="00027CC6">
        <w:t xml:space="preserve">) and </w:t>
      </w:r>
      <w:r w:rsidR="00D0686A">
        <w:t>the school-level</w:t>
      </w:r>
      <w:r w:rsidR="00027CC6">
        <w:t xml:space="preserve"> (e.g., principals, teachers)</w:t>
      </w:r>
      <w:r w:rsidR="00AC3607">
        <w:t xml:space="preserve">. </w:t>
      </w:r>
      <w:r w:rsidR="0065770D">
        <w:t>A number of districts also reported regular collaboration between E</w:t>
      </w:r>
      <w:r w:rsidR="009B76B7">
        <w:t>LD</w:t>
      </w:r>
      <w:r w:rsidR="0065770D">
        <w:t xml:space="preserve"> instructional staff and general education teache</w:t>
      </w:r>
      <w:r w:rsidR="008A1950">
        <w:t>rs</w:t>
      </w:r>
      <w:r w:rsidR="00A76BAE">
        <w:t xml:space="preserve">. Collaboration frequently occurs through </w:t>
      </w:r>
      <w:r w:rsidR="0047104F">
        <w:t>structures</w:t>
      </w:r>
      <w:r w:rsidR="00540877">
        <w:t xml:space="preserve"> such as </w:t>
      </w:r>
      <w:r w:rsidR="00A76BAE">
        <w:t>professional learning communities</w:t>
      </w:r>
      <w:r w:rsidR="0007006E">
        <w:t xml:space="preserve"> </w:t>
      </w:r>
      <w:r w:rsidR="009B76B7">
        <w:t>(PLCs)</w:t>
      </w:r>
      <w:r w:rsidR="00A76BAE">
        <w:t xml:space="preserve"> or data teams, which provide </w:t>
      </w:r>
      <w:r w:rsidR="0047104F">
        <w:t>opportunit</w:t>
      </w:r>
      <w:r w:rsidR="009B76B7">
        <w:t>ies</w:t>
      </w:r>
      <w:r w:rsidR="001C715D">
        <w:t xml:space="preserve"> to </w:t>
      </w:r>
      <w:r w:rsidR="0047104F">
        <w:t xml:space="preserve">analyze data, make informed decisions based on trends and results, </w:t>
      </w:r>
      <w:r w:rsidR="00CD2E85">
        <w:t xml:space="preserve">and communicate regarding student progress. </w:t>
      </w:r>
    </w:p>
    <w:p w14:paraId="6329EAF9" w14:textId="77777777" w:rsidR="00E869E2" w:rsidRDefault="00E869E2">
      <w:pPr>
        <w:tabs>
          <w:tab w:val="left" w:pos="90"/>
        </w:tabs>
      </w:pPr>
    </w:p>
    <w:p w14:paraId="4A86FD51" w14:textId="208DFE3E" w:rsidR="00303B61" w:rsidRDefault="00E869E2">
      <w:pPr>
        <w:tabs>
          <w:tab w:val="left" w:pos="90"/>
        </w:tabs>
      </w:pPr>
      <w:r>
        <w:t xml:space="preserve">In Harrison </w:t>
      </w:r>
      <w:r w:rsidR="0007006E">
        <w:t>School District</w:t>
      </w:r>
      <w:r w:rsidR="001913D4">
        <w:t xml:space="preserve"> (HSD)</w:t>
      </w:r>
      <w:r>
        <w:t>, for example, ELD and general education teachers collaboratively write an E</w:t>
      </w:r>
      <w:r w:rsidR="0007006E">
        <w:t>L</w:t>
      </w:r>
      <w:r w:rsidR="004230C5">
        <w:t xml:space="preserve"> p</w:t>
      </w:r>
      <w:r>
        <w:t>lan</w:t>
      </w:r>
      <w:r w:rsidR="001913D4">
        <w:t xml:space="preserve"> that</w:t>
      </w:r>
      <w:r>
        <w:t xml:space="preserve"> outlines the ELD services to be provided and documents goals, instructional strategies, progress monitoring, and assessment data</w:t>
      </w:r>
      <w:r w:rsidR="00937FB1">
        <w:t xml:space="preserve"> for each student</w:t>
      </w:r>
      <w:r>
        <w:t>.</w:t>
      </w:r>
    </w:p>
    <w:p w14:paraId="1AAC374A" w14:textId="77777777" w:rsidR="00303B61" w:rsidRDefault="00303B61">
      <w:pPr>
        <w:tabs>
          <w:tab w:val="left" w:pos="90"/>
        </w:tabs>
      </w:pPr>
    </w:p>
    <w:p w14:paraId="7801EF17" w14:textId="733EEAC3" w:rsidR="0064653B" w:rsidRDefault="00372437">
      <w:pPr>
        <w:tabs>
          <w:tab w:val="left" w:pos="90"/>
        </w:tabs>
      </w:pPr>
      <w:r>
        <w:t>All districts reported that</w:t>
      </w:r>
      <w:r w:rsidR="007E4DF1">
        <w:t xml:space="preserve"> leadership teams often disaggregate and analyze academic </w:t>
      </w:r>
      <w:r w:rsidR="00653954">
        <w:t xml:space="preserve">and linguistic </w:t>
      </w:r>
      <w:r w:rsidR="007E4DF1">
        <w:t xml:space="preserve">growth and achievement data to inform decisions </w:t>
      </w:r>
      <w:r w:rsidR="001913D4">
        <w:t xml:space="preserve">concerning </w:t>
      </w:r>
      <w:r w:rsidR="007E4DF1">
        <w:t>the E</w:t>
      </w:r>
      <w:r w:rsidR="00937FB1">
        <w:t>LD</w:t>
      </w:r>
      <w:r w:rsidR="007E4DF1">
        <w:t xml:space="preserve"> program. </w:t>
      </w:r>
      <w:r w:rsidR="000F026F">
        <w:t xml:space="preserve">Data is disaggregated for all content areas, by both </w:t>
      </w:r>
      <w:r w:rsidR="00937FB1">
        <w:t>grade-</w:t>
      </w:r>
      <w:r w:rsidR="000F026F">
        <w:t xml:space="preserve">span and school, </w:t>
      </w:r>
      <w:r w:rsidR="000331AA">
        <w:t>enabling</w:t>
      </w:r>
      <w:r w:rsidR="000F026F">
        <w:t xml:space="preserve"> districts </w:t>
      </w:r>
      <w:r w:rsidR="000331AA">
        <w:t>to</w:t>
      </w:r>
      <w:r w:rsidR="000F026F">
        <w:t xml:space="preserve"> make informed decisions </w:t>
      </w:r>
      <w:r w:rsidR="000331AA">
        <w:t>regarding</w:t>
      </w:r>
      <w:r w:rsidR="000F026F">
        <w:t xml:space="preserve"> ELD programming, </w:t>
      </w:r>
      <w:r w:rsidR="000331AA">
        <w:t xml:space="preserve">such as staffing needs, availability of resources, </w:t>
      </w:r>
      <w:r w:rsidR="00151468">
        <w:t>and areas of focus for the instructional program.</w:t>
      </w:r>
    </w:p>
    <w:p w14:paraId="555BFA99" w14:textId="77777777" w:rsidR="0064653B" w:rsidRDefault="0064653B">
      <w:pPr>
        <w:tabs>
          <w:tab w:val="left" w:pos="90"/>
        </w:tabs>
      </w:pPr>
    </w:p>
    <w:p w14:paraId="4E835B12" w14:textId="53388588" w:rsidR="009E3B3D" w:rsidRDefault="0064653B">
      <w:pPr>
        <w:tabs>
          <w:tab w:val="left" w:pos="90"/>
        </w:tabs>
      </w:pPr>
      <w:r>
        <w:t>In Denver Public Schools</w:t>
      </w:r>
      <w:r w:rsidR="00614033">
        <w:t xml:space="preserve"> (DPS)</w:t>
      </w:r>
      <w:r>
        <w:t>, for example, the English language acquisition team collaborates not only with the general education team, but also with special education, gifted and talented, early childhood, and family and community engagement teams</w:t>
      </w:r>
      <w:r w:rsidR="00614033">
        <w:t xml:space="preserve"> and</w:t>
      </w:r>
      <w:r>
        <w:t xml:space="preserve"> network partners, to ensure </w:t>
      </w:r>
      <w:r w:rsidR="001913D4">
        <w:t xml:space="preserve">that </w:t>
      </w:r>
      <w:r>
        <w:t>both students and staff receiv</w:t>
      </w:r>
      <w:r w:rsidR="00614033">
        <w:t>e</w:t>
      </w:r>
      <w:r>
        <w:t xml:space="preserve"> appropriate supports. </w:t>
      </w:r>
      <w:r w:rsidR="00614033">
        <w:t xml:space="preserve">DPS’s </w:t>
      </w:r>
      <w:r>
        <w:t>English language acquisition team also collaborates with the accountability, research</w:t>
      </w:r>
      <w:r w:rsidR="006B7E13">
        <w:t>,</w:t>
      </w:r>
      <w:r>
        <w:t xml:space="preserve"> and evaluation team to analyze data and review demographic and enrollment</w:t>
      </w:r>
      <w:r w:rsidR="00614033" w:rsidRPr="00614033">
        <w:t xml:space="preserve"> </w:t>
      </w:r>
      <w:r w:rsidR="00614033">
        <w:t>trends</w:t>
      </w:r>
      <w:r>
        <w:t>, as well as student achievement, growth, and graduation rates.</w:t>
      </w:r>
    </w:p>
    <w:p w14:paraId="434DA4BD" w14:textId="77777777" w:rsidR="009E3B3D" w:rsidRDefault="009E3B3D">
      <w:pPr>
        <w:tabs>
          <w:tab w:val="left" w:pos="90"/>
        </w:tabs>
      </w:pPr>
    </w:p>
    <w:p w14:paraId="3288ABC4" w14:textId="2BFD0A86" w:rsidR="00C60C0D" w:rsidRDefault="007E4DF1">
      <w:pPr>
        <w:tabs>
          <w:tab w:val="left" w:pos="90"/>
        </w:tabs>
      </w:pPr>
      <w:r>
        <w:lastRenderedPageBreak/>
        <w:t xml:space="preserve">Using data and soliciting input from multiple stakeholders contributed to collaborative leadership within the districts and supported collective </w:t>
      </w:r>
      <w:r w:rsidR="004662B7">
        <w:t>decision-</w:t>
      </w:r>
      <w:r>
        <w:t xml:space="preserve">making </w:t>
      </w:r>
      <w:r w:rsidR="004662B7">
        <w:t>around</w:t>
      </w:r>
      <w:r>
        <w:t xml:space="preserve"> E</w:t>
      </w:r>
      <w:r w:rsidR="004662B7">
        <w:t>LD</w:t>
      </w:r>
      <w:r>
        <w:t xml:space="preserve"> programs</w:t>
      </w:r>
      <w:r w:rsidR="00272027">
        <w:t xml:space="preserve">. </w:t>
      </w:r>
    </w:p>
    <w:p w14:paraId="205DFE9D" w14:textId="77777777" w:rsidR="000F1AFA" w:rsidRDefault="000F1AFA">
      <w:pPr>
        <w:tabs>
          <w:tab w:val="left" w:pos="90"/>
        </w:tabs>
      </w:pPr>
    </w:p>
    <w:p w14:paraId="50FD944B" w14:textId="77777777" w:rsidR="000F1AFA" w:rsidRDefault="007E4DF1">
      <w:pPr>
        <w:pStyle w:val="Heading1"/>
      </w:pPr>
      <w:bookmarkStart w:id="3" w:name="_hpta65vmsj9c" w:colFirst="0" w:colLast="0"/>
      <w:bookmarkEnd w:id="3"/>
      <w:r>
        <w:t>Teaching and Learning</w:t>
      </w:r>
    </w:p>
    <w:p w14:paraId="2B2ED11F" w14:textId="04EC4F22" w:rsidR="000F1AFA" w:rsidRDefault="0018016E" w:rsidP="00A6636F">
      <w:pPr>
        <w:tabs>
          <w:tab w:val="left" w:pos="90"/>
        </w:tabs>
      </w:pPr>
      <w:r>
        <w:t xml:space="preserve">Most districts reported that professional learning needs are </w:t>
      </w:r>
      <w:r w:rsidR="0023595E">
        <w:t>identified</w:t>
      </w:r>
      <w:r>
        <w:t xml:space="preserve"> in collaboration with school staff, and </w:t>
      </w:r>
      <w:r w:rsidR="00E00F64">
        <w:t>frequently based on student data or staff needs. Three districts survey</w:t>
      </w:r>
      <w:r w:rsidR="005019B3">
        <w:t>ed</w:t>
      </w:r>
      <w:r w:rsidR="00E00F64">
        <w:t xml:space="preserve"> school and district stakeholders</w:t>
      </w:r>
      <w:r w:rsidR="00830E05">
        <w:t xml:space="preserve">, and six </w:t>
      </w:r>
      <w:r w:rsidR="00B266F9">
        <w:t>analy</w:t>
      </w:r>
      <w:r w:rsidR="005019B3">
        <w:t>zed</w:t>
      </w:r>
      <w:r w:rsidR="007E4DF1">
        <w:t xml:space="preserve"> disaggregated qualitative and quantitative data</w:t>
      </w:r>
      <w:r w:rsidR="006B7E13">
        <w:t>,</w:t>
      </w:r>
      <w:r w:rsidR="001640F4">
        <w:t xml:space="preserve"> to determine and design professional learning opportunities</w:t>
      </w:r>
      <w:r w:rsidR="007E4DF1">
        <w:t>.</w:t>
      </w:r>
      <w:r w:rsidR="00A6636F">
        <w:t xml:space="preserve"> Most districts</w:t>
      </w:r>
      <w:r w:rsidR="00FA69EE">
        <w:t xml:space="preserve"> reported that</w:t>
      </w:r>
      <w:r w:rsidR="00EB484B">
        <w:t xml:space="preserve"> </w:t>
      </w:r>
      <w:r w:rsidR="007E4DF1">
        <w:t xml:space="preserve">all instructional staff, including non-ESL, </w:t>
      </w:r>
      <w:r w:rsidR="00EB484B">
        <w:t xml:space="preserve">are encouraged or expected </w:t>
      </w:r>
      <w:r w:rsidR="007E4DF1">
        <w:t xml:space="preserve">to participate in </w:t>
      </w:r>
      <w:r w:rsidR="006B7E13">
        <w:t>high-</w:t>
      </w:r>
      <w:r w:rsidR="007E4DF1">
        <w:t xml:space="preserve">quality, targeted, and job-embedded professional </w:t>
      </w:r>
      <w:r w:rsidR="003F1A8C">
        <w:t xml:space="preserve">development </w:t>
      </w:r>
      <w:r w:rsidR="005019B3">
        <w:t xml:space="preserve">(PD) in </w:t>
      </w:r>
      <w:r w:rsidR="003F1A8C">
        <w:t>support of E</w:t>
      </w:r>
      <w:r w:rsidR="005019B3">
        <w:t>L</w:t>
      </w:r>
      <w:r w:rsidR="003F1A8C">
        <w:t>s in both content and ELD programming</w:t>
      </w:r>
      <w:r w:rsidR="007E4DF1">
        <w:t>.</w:t>
      </w:r>
    </w:p>
    <w:p w14:paraId="395129FA" w14:textId="77777777" w:rsidR="003F1A8C" w:rsidRDefault="003F1A8C" w:rsidP="00A6636F">
      <w:pPr>
        <w:tabs>
          <w:tab w:val="left" w:pos="90"/>
        </w:tabs>
      </w:pPr>
    </w:p>
    <w:p w14:paraId="79C423E6" w14:textId="7F49F938" w:rsidR="003F1A8C" w:rsidRDefault="0074114D" w:rsidP="00A6636F">
      <w:pPr>
        <w:tabs>
          <w:tab w:val="left" w:pos="90"/>
        </w:tabs>
      </w:pPr>
      <w:r>
        <w:t>Littleton Public Schools</w:t>
      </w:r>
      <w:r w:rsidR="005019B3">
        <w:t xml:space="preserve"> (LPS)</w:t>
      </w:r>
      <w:r>
        <w:t xml:space="preserve"> integrates job-embedded professional learning opportunities into monthly </w:t>
      </w:r>
      <w:r w:rsidR="002F7ED8">
        <w:t xml:space="preserve">ELD </w:t>
      </w:r>
      <w:r>
        <w:t>staff meetings. The consistent introduction and use of strategies during the</w:t>
      </w:r>
      <w:r w:rsidR="005019B3">
        <w:t>se</w:t>
      </w:r>
      <w:r>
        <w:t xml:space="preserve"> meetings better enable staff to apply th</w:t>
      </w:r>
      <w:r w:rsidR="002B1762">
        <w:t>em</w:t>
      </w:r>
      <w:r>
        <w:t xml:space="preserve"> in the classroom.</w:t>
      </w:r>
      <w:r w:rsidR="00265E13">
        <w:t xml:space="preserve"> </w:t>
      </w:r>
      <w:r w:rsidR="005019B3">
        <w:t>LPS</w:t>
      </w:r>
      <w:r w:rsidR="00265E13">
        <w:t xml:space="preserve"> also provides school-specific trainings and coaching </w:t>
      </w:r>
      <w:r w:rsidR="008C7388">
        <w:t xml:space="preserve">based on data analysis and </w:t>
      </w:r>
      <w:r w:rsidR="00093D9C">
        <w:t>teacher reflection</w:t>
      </w:r>
      <w:r w:rsidR="002D50CE">
        <w:t>s</w:t>
      </w:r>
      <w:r w:rsidR="00093D9C">
        <w:t>.</w:t>
      </w:r>
    </w:p>
    <w:p w14:paraId="38498B43" w14:textId="77777777" w:rsidR="00A32CC2" w:rsidRDefault="00A32CC2" w:rsidP="00A6636F">
      <w:pPr>
        <w:tabs>
          <w:tab w:val="left" w:pos="90"/>
        </w:tabs>
      </w:pPr>
    </w:p>
    <w:p w14:paraId="78705D1B" w14:textId="12A956E6" w:rsidR="00A32CC2" w:rsidRDefault="00C52476" w:rsidP="00A6636F">
      <w:pPr>
        <w:tabs>
          <w:tab w:val="left" w:pos="90"/>
        </w:tabs>
      </w:pPr>
      <w:r>
        <w:t>Fountain</w:t>
      </w:r>
      <w:r w:rsidR="005019B3">
        <w:t xml:space="preserve">-Fort Carson (FFC) </w:t>
      </w:r>
      <w:r w:rsidR="004D54D1">
        <w:t>S</w:t>
      </w:r>
      <w:r>
        <w:t xml:space="preserve">chool </w:t>
      </w:r>
      <w:r w:rsidR="004D54D1">
        <w:t xml:space="preserve">District </w:t>
      </w:r>
      <w:r w:rsidR="00482A91">
        <w:t xml:space="preserve">fosters collaboration between ELD, content, and grade-level </w:t>
      </w:r>
      <w:r w:rsidR="002B1762">
        <w:t>teachers</w:t>
      </w:r>
      <w:r w:rsidR="00482A91">
        <w:t xml:space="preserve"> by</w:t>
      </w:r>
      <w:r w:rsidR="00844D9D">
        <w:t xml:space="preserve"> </w:t>
      </w:r>
      <w:r w:rsidR="004D54D1">
        <w:t>having</w:t>
      </w:r>
      <w:r w:rsidR="00844D9D">
        <w:t xml:space="preserve"> ELD teachers train general education teachers each semester. </w:t>
      </w:r>
      <w:r w:rsidR="00691C43">
        <w:t>Trainings</w:t>
      </w:r>
      <w:r w:rsidR="0096356E">
        <w:t xml:space="preserve"> can be tailored </w:t>
      </w:r>
      <w:r w:rsidR="002B1762">
        <w:t>to</w:t>
      </w:r>
      <w:r w:rsidR="0096356E">
        <w:t xml:space="preserve"> individual skill sets and have included </w:t>
      </w:r>
      <w:r w:rsidR="00691C43">
        <w:t>topics</w:t>
      </w:r>
      <w:r w:rsidR="0096356E">
        <w:t xml:space="preserve"> such as </w:t>
      </w:r>
      <w:r w:rsidR="00773D21">
        <w:t>effective co-teaching models, cultural integration within core programming, vocabulary building, and connecting language to the Colorado Academic Standards (CAS).</w:t>
      </w:r>
    </w:p>
    <w:p w14:paraId="3E195DDD" w14:textId="01CB9C61" w:rsidR="000F1AFA" w:rsidRDefault="007E4DF1">
      <w:pPr>
        <w:pStyle w:val="Heading1"/>
      </w:pPr>
      <w:r>
        <w:br/>
        <w:t>Research</w:t>
      </w:r>
      <w:r w:rsidR="00272027">
        <w:t>-</w:t>
      </w:r>
      <w:r>
        <w:t>Based ELD Program</w:t>
      </w:r>
      <w:r w:rsidR="00272027">
        <w:t>s</w:t>
      </w:r>
    </w:p>
    <w:p w14:paraId="6E32CBB0" w14:textId="52ABA332" w:rsidR="000F1AFA" w:rsidRDefault="007E4DF1" w:rsidP="001B64FE">
      <w:r>
        <w:t xml:space="preserve">Overall, </w:t>
      </w:r>
      <w:r w:rsidR="004D54D1">
        <w:t xml:space="preserve">ELPA Excellence Award </w:t>
      </w:r>
      <w:r>
        <w:t xml:space="preserve">districts supported their schools in implementing </w:t>
      </w:r>
      <w:r w:rsidR="005D5760">
        <w:t>research-</w:t>
      </w:r>
      <w:r>
        <w:t>based E</w:t>
      </w:r>
      <w:r w:rsidR="004D54D1">
        <w:t>LD</w:t>
      </w:r>
      <w:r>
        <w:t xml:space="preserve"> program models that reflect</w:t>
      </w:r>
      <w:r w:rsidR="004D54D1">
        <w:t>ed</w:t>
      </w:r>
      <w:r>
        <w:t xml:space="preserve"> their E</w:t>
      </w:r>
      <w:r w:rsidR="004D54D1">
        <w:t>L</w:t>
      </w:r>
      <w:r>
        <w:t xml:space="preserve"> populations. </w:t>
      </w:r>
      <w:r w:rsidR="00C11BB0">
        <w:t xml:space="preserve">All reported that district and school stakeholders </w:t>
      </w:r>
      <w:r w:rsidR="008F0E63">
        <w:t xml:space="preserve">collaboratively </w:t>
      </w:r>
      <w:r w:rsidR="00C11BB0">
        <w:t>develop the ELD program</w:t>
      </w:r>
      <w:r w:rsidR="00113644">
        <w:t>,</w:t>
      </w:r>
      <w:r w:rsidR="00C11BB0">
        <w:t xml:space="preserve"> based on relevant research</w:t>
      </w:r>
      <w:r w:rsidR="004D54D1">
        <w:t>;</w:t>
      </w:r>
      <w:r w:rsidR="00C11BB0">
        <w:t xml:space="preserve"> most indicated the</w:t>
      </w:r>
      <w:r w:rsidR="006B7E13">
        <w:t>ir</w:t>
      </w:r>
      <w:r w:rsidR="00C11BB0">
        <w:t xml:space="preserve"> ELD program</w:t>
      </w:r>
      <w:r w:rsidR="006B7E13">
        <w:t>s</w:t>
      </w:r>
      <w:r w:rsidR="00C11BB0">
        <w:t xml:space="preserve"> reflect the</w:t>
      </w:r>
      <w:r w:rsidR="004D54D1">
        <w:t>ir ELs’</w:t>
      </w:r>
      <w:r w:rsidR="00C11BB0">
        <w:t xml:space="preserve"> specific linguistic, social-emotional, and academic needs. </w:t>
      </w:r>
      <w:r>
        <w:t xml:space="preserve">Additionally, </w:t>
      </w:r>
      <w:r w:rsidR="004D54D1">
        <w:t>all but one</w:t>
      </w:r>
      <w:r>
        <w:t xml:space="preserve"> district </w:t>
      </w:r>
      <w:r w:rsidR="003C0534">
        <w:t>ha</w:t>
      </w:r>
      <w:r w:rsidR="004D54D1">
        <w:t>d</w:t>
      </w:r>
      <w:r w:rsidR="00DE63C8">
        <w:t xml:space="preserve"> consistent</w:t>
      </w:r>
      <w:r w:rsidR="003C0534">
        <w:t xml:space="preserve"> processes to monitor </w:t>
      </w:r>
      <w:r w:rsidR="004D54D1">
        <w:t>ELD program</w:t>
      </w:r>
      <w:r w:rsidR="004D54D1" w:rsidRPr="004D54D1">
        <w:t xml:space="preserve"> </w:t>
      </w:r>
      <w:r w:rsidR="003C0534">
        <w:t>implementation</w:t>
      </w:r>
      <w:r w:rsidR="004D54D1">
        <w:t>.</w:t>
      </w:r>
      <w:r w:rsidR="006A4B17">
        <w:t xml:space="preserve"> </w:t>
      </w:r>
      <w:r w:rsidR="00CE27DF">
        <w:t>District personnel regularly collect data</w:t>
      </w:r>
      <w:r w:rsidR="00BA7B9C">
        <w:t xml:space="preserve"> and feedback from school </w:t>
      </w:r>
      <w:r w:rsidR="00775094">
        <w:t xml:space="preserve">staff </w:t>
      </w:r>
      <w:r w:rsidR="00CE27DF">
        <w:t>to measure fidelity of implementation</w:t>
      </w:r>
      <w:r w:rsidR="00775094">
        <w:t xml:space="preserve"> and </w:t>
      </w:r>
      <w:r w:rsidR="00CE27DF">
        <w:t>target areas for improvement</w:t>
      </w:r>
      <w:r w:rsidR="00272027">
        <w:t xml:space="preserve">. </w:t>
      </w:r>
      <w:r>
        <w:t>Many districts hav</w:t>
      </w:r>
      <w:r w:rsidR="006B7E13">
        <w:t>e</w:t>
      </w:r>
      <w:r>
        <w:t xml:space="preserve"> strong processes in place for systematic and continuous use of data</w:t>
      </w:r>
      <w:r w:rsidR="006B7E13">
        <w:t>,</w:t>
      </w:r>
      <w:r>
        <w:t xml:space="preserve"> to </w:t>
      </w:r>
      <w:r w:rsidR="006B7E13">
        <w:t>assess</w:t>
      </w:r>
      <w:r>
        <w:t xml:space="preserve"> implementation of the</w:t>
      </w:r>
      <w:r w:rsidR="006B7E13">
        <w:t>ir chosen</w:t>
      </w:r>
      <w:r>
        <w:t xml:space="preserve"> </w:t>
      </w:r>
      <w:r w:rsidR="00720EFD">
        <w:t>research-</w:t>
      </w:r>
      <w:r>
        <w:t>based model</w:t>
      </w:r>
      <w:r w:rsidR="006B7E13">
        <w:t>s</w:t>
      </w:r>
      <w:r w:rsidR="00190EDF">
        <w:t xml:space="preserve">, </w:t>
      </w:r>
      <w:r w:rsidR="006B7E13">
        <w:t xml:space="preserve">and be able to </w:t>
      </w:r>
      <w:r w:rsidR="0036673F">
        <w:t>adjust</w:t>
      </w:r>
      <w:r w:rsidR="00544F99">
        <w:t>,</w:t>
      </w:r>
      <w:r w:rsidR="0036673F">
        <w:t xml:space="preserve"> modif</w:t>
      </w:r>
      <w:r w:rsidR="006B7E13">
        <w:t>y</w:t>
      </w:r>
      <w:r w:rsidR="00544F99">
        <w:t>, and improve</w:t>
      </w:r>
      <w:r w:rsidR="00272027">
        <w:t xml:space="preserve">. </w:t>
      </w:r>
    </w:p>
    <w:p w14:paraId="1DA09454" w14:textId="77777777" w:rsidR="00272027" w:rsidRDefault="00272027" w:rsidP="001B64FE"/>
    <w:p w14:paraId="47EB21A8" w14:textId="77777777" w:rsidR="000F1AFA" w:rsidRDefault="007E4DF1">
      <w:pPr>
        <w:pStyle w:val="Heading2"/>
        <w:tabs>
          <w:tab w:val="left" w:pos="90"/>
        </w:tabs>
      </w:pPr>
      <w:bookmarkStart w:id="4" w:name="_5fvyz2uls9oi" w:colFirst="0" w:colLast="0"/>
      <w:bookmarkEnd w:id="4"/>
      <w:r>
        <w:t>Other Notable Trends</w:t>
      </w:r>
    </w:p>
    <w:p w14:paraId="22770DB0" w14:textId="77777777" w:rsidR="000F1AFA" w:rsidRDefault="007E4DF1">
      <w:pPr>
        <w:pStyle w:val="Heading1"/>
      </w:pPr>
      <w:bookmarkStart w:id="5" w:name="_27j7napfg8ra" w:colFirst="0" w:colLast="0"/>
      <w:bookmarkEnd w:id="5"/>
      <w:r>
        <w:t>Systemic Processes and Procedures</w:t>
      </w:r>
    </w:p>
    <w:p w14:paraId="049BF26F" w14:textId="04056648" w:rsidR="00775094" w:rsidRDefault="00775094" w:rsidP="00C933EA">
      <w:bookmarkStart w:id="6" w:name="_30j0zll" w:colFirst="0" w:colLast="0"/>
      <w:bookmarkEnd w:id="6"/>
      <w:r>
        <w:t>ELPA A</w:t>
      </w:r>
      <w:r w:rsidR="007E4DF1">
        <w:t>ward</w:t>
      </w:r>
      <w:r>
        <w:t xml:space="preserve"> districts</w:t>
      </w:r>
      <w:r w:rsidR="007E4DF1">
        <w:t xml:space="preserve"> have strong ELD plan</w:t>
      </w:r>
      <w:r>
        <w:t>s</w:t>
      </w:r>
      <w:r w:rsidR="007E4DF1">
        <w:t xml:space="preserve"> or process</w:t>
      </w:r>
      <w:r>
        <w:t>es</w:t>
      </w:r>
      <w:r w:rsidR="007E4DF1">
        <w:t xml:space="preserve"> in place. </w:t>
      </w:r>
      <w:r w:rsidR="00C933EA">
        <w:t xml:space="preserve">Seven districts </w:t>
      </w:r>
      <w:r w:rsidR="007E4DF1">
        <w:t>communicat</w:t>
      </w:r>
      <w:r>
        <w:t>e</w:t>
      </w:r>
      <w:r w:rsidR="007E4DF1">
        <w:t xml:space="preserve"> the</w:t>
      </w:r>
      <w:r w:rsidR="004C3A51">
        <w:t>ir</w:t>
      </w:r>
      <w:r w:rsidR="007E4DF1">
        <w:t xml:space="preserve"> ELD plan</w:t>
      </w:r>
      <w:r w:rsidR="004C3A51">
        <w:t>s</w:t>
      </w:r>
      <w:r w:rsidR="007E4DF1">
        <w:t xml:space="preserve"> to all offices, departments, and schools</w:t>
      </w:r>
      <w:r w:rsidR="00565041">
        <w:t xml:space="preserve">, </w:t>
      </w:r>
      <w:r>
        <w:t xml:space="preserve">with explicit </w:t>
      </w:r>
      <w:r w:rsidR="00565041">
        <w:t>expectation</w:t>
      </w:r>
      <w:r w:rsidR="00C94938">
        <w:t>s</w:t>
      </w:r>
      <w:r w:rsidR="00565041">
        <w:t xml:space="preserve"> </w:t>
      </w:r>
      <w:r>
        <w:t>that</w:t>
      </w:r>
      <w:r w:rsidR="007E4DF1">
        <w:t xml:space="preserve"> practices </w:t>
      </w:r>
      <w:r>
        <w:t xml:space="preserve">will be aligned </w:t>
      </w:r>
      <w:r w:rsidR="007E4DF1">
        <w:t>across the district.</w:t>
      </w:r>
      <w:r w:rsidR="00F11F67">
        <w:t xml:space="preserve"> Five of those districts </w:t>
      </w:r>
      <w:r>
        <w:t>report that</w:t>
      </w:r>
      <w:r w:rsidR="00F11F67">
        <w:t xml:space="preserve"> they support all schools </w:t>
      </w:r>
      <w:r w:rsidR="00267D88">
        <w:t>in implement</w:t>
      </w:r>
      <w:r>
        <w:t>ing</w:t>
      </w:r>
      <w:r w:rsidR="00267D88">
        <w:t xml:space="preserve"> </w:t>
      </w:r>
      <w:r w:rsidR="00272027">
        <w:t xml:space="preserve">ELD </w:t>
      </w:r>
      <w:r w:rsidR="00267D88">
        <w:t>services</w:t>
      </w:r>
      <w:r w:rsidR="00272027">
        <w:t xml:space="preserve"> in their plans</w:t>
      </w:r>
      <w:r w:rsidR="00267D88">
        <w:t>.</w:t>
      </w:r>
      <w:r w:rsidR="007E4DF1">
        <w:t xml:space="preserve"> </w:t>
      </w:r>
      <w:r>
        <w:t>Award d</w:t>
      </w:r>
      <w:r w:rsidR="007E4DF1">
        <w:t xml:space="preserve">istricts value and uphold the importance of the ELD plan, which empowers </w:t>
      </w:r>
      <w:r w:rsidR="004C3A51">
        <w:t xml:space="preserve">their </w:t>
      </w:r>
      <w:r>
        <w:t xml:space="preserve">staff </w:t>
      </w:r>
      <w:r w:rsidR="007E4DF1">
        <w:t xml:space="preserve">to prioritize </w:t>
      </w:r>
      <w:r w:rsidR="00C94938">
        <w:t>its</w:t>
      </w:r>
      <w:r w:rsidR="007E4DF1">
        <w:t xml:space="preserve"> implementation</w:t>
      </w:r>
      <w:r w:rsidR="00272027">
        <w:t xml:space="preserve">. </w:t>
      </w:r>
    </w:p>
    <w:p w14:paraId="1DFF67F9" w14:textId="77777777" w:rsidR="00775094" w:rsidRDefault="00775094" w:rsidP="00C933EA"/>
    <w:p w14:paraId="4C54E2BE" w14:textId="1F3AAFCB" w:rsidR="000F1AFA" w:rsidRDefault="007E4DF1" w:rsidP="00C933EA">
      <w:r>
        <w:t>Another strength</w:t>
      </w:r>
      <w:r w:rsidR="004C3A51">
        <w:t xml:space="preserve"> that emerged</w:t>
      </w:r>
      <w:r>
        <w:t xml:space="preserve"> across rubrics was how </w:t>
      </w:r>
      <w:r w:rsidR="004C3A51">
        <w:t xml:space="preserve">ELPA Award </w:t>
      </w:r>
      <w:r>
        <w:t>districts monitor and ensure implementation of ELD procedures</w:t>
      </w:r>
      <w:r w:rsidR="00272027">
        <w:t xml:space="preserve">. </w:t>
      </w:r>
      <w:r>
        <w:t xml:space="preserve">Many regularly collect data to measure their progress toward implementing </w:t>
      </w:r>
      <w:r>
        <w:lastRenderedPageBreak/>
        <w:t>ELD strategies to meet specific targets and used the data consistently to focus on areas need</w:t>
      </w:r>
      <w:r w:rsidR="004C3A51">
        <w:t>ing</w:t>
      </w:r>
      <w:r>
        <w:t xml:space="preserve"> improvement</w:t>
      </w:r>
      <w:r w:rsidR="00272027">
        <w:t xml:space="preserve">. </w:t>
      </w:r>
      <w:r>
        <w:t>District and school stakeholders, including leadership teams, regularly collect feedback on ELD program deliver</w:t>
      </w:r>
      <w:r w:rsidR="004C3A51">
        <w:t>y</w:t>
      </w:r>
      <w:r>
        <w:t xml:space="preserve"> in the schools, continuously evaluate this feedback, and adjust implementation of the plan accordingly.</w:t>
      </w:r>
    </w:p>
    <w:p w14:paraId="2976BA8A" w14:textId="77777777" w:rsidR="00272027" w:rsidRDefault="00272027" w:rsidP="00C933EA">
      <w:pPr>
        <w:rPr>
          <w:rFonts w:ascii="Trebuchet MS" w:eastAsia="Trebuchet MS" w:hAnsi="Trebuchet MS" w:cs="Trebuchet MS"/>
          <w:b/>
          <w:color w:val="000000"/>
          <w:sz w:val="24"/>
          <w:szCs w:val="24"/>
        </w:rPr>
      </w:pPr>
    </w:p>
    <w:p w14:paraId="52609184" w14:textId="77777777" w:rsidR="000F1AFA" w:rsidRPr="0008149E" w:rsidRDefault="007E4DF1" w:rsidP="0008149E">
      <w:pPr>
        <w:pStyle w:val="Heading1"/>
      </w:pPr>
      <w:r>
        <w:t>Conclusion</w:t>
      </w:r>
    </w:p>
    <w:p w14:paraId="5DBB662B" w14:textId="15AE48F1" w:rsidR="000F1AFA" w:rsidRPr="0008149E" w:rsidRDefault="0008149E">
      <w:pPr>
        <w:pBdr>
          <w:top w:val="nil"/>
          <w:left w:val="nil"/>
          <w:bottom w:val="nil"/>
          <w:right w:val="nil"/>
          <w:between w:val="nil"/>
        </w:pBdr>
        <w:spacing w:after="120"/>
      </w:pPr>
      <w:r w:rsidRPr="0008149E">
        <w:t xml:space="preserve">A number of factors contributed to the success of the ELPA Excellence Award </w:t>
      </w:r>
      <w:r w:rsidR="00C94938">
        <w:t>d</w:t>
      </w:r>
      <w:r w:rsidRPr="0008149E">
        <w:t>istricts.</w:t>
      </w:r>
      <w:r>
        <w:t xml:space="preserve"> Fiscal resources were thoughtfully planned and adjusted to support ELs in attaining English proficiency</w:t>
      </w:r>
      <w:r w:rsidR="00272027">
        <w:t xml:space="preserve">. </w:t>
      </w:r>
      <w:r w:rsidR="009E14E2">
        <w:t xml:space="preserve">Collaborative </w:t>
      </w:r>
      <w:r w:rsidR="004C3A51">
        <w:t>decision-</w:t>
      </w:r>
      <w:r w:rsidR="009E14E2">
        <w:t xml:space="preserve">making, stakeholder involvement, and data were tools leadership </w:t>
      </w:r>
      <w:r w:rsidR="001939C4">
        <w:t xml:space="preserve">used </w:t>
      </w:r>
      <w:r w:rsidR="009E14E2">
        <w:t xml:space="preserve">to </w:t>
      </w:r>
      <w:r w:rsidR="001939C4">
        <w:t xml:space="preserve">deliver </w:t>
      </w:r>
      <w:r w:rsidR="009E14E2">
        <w:t>effective E</w:t>
      </w:r>
      <w:r w:rsidR="004C3A51">
        <w:t>LD</w:t>
      </w:r>
      <w:r w:rsidR="009E14E2">
        <w:t xml:space="preserve"> programming</w:t>
      </w:r>
      <w:r w:rsidR="00272027">
        <w:t xml:space="preserve">. </w:t>
      </w:r>
      <w:r w:rsidR="009E14E2">
        <w:t xml:space="preserve">Professional learning was fundamental to district success, carefully selected through data analysis and matched to the needs of schools and </w:t>
      </w:r>
      <w:r w:rsidR="008677BD">
        <w:t xml:space="preserve">their </w:t>
      </w:r>
      <w:r w:rsidR="009E14E2">
        <w:t>teachers</w:t>
      </w:r>
      <w:r w:rsidR="00272027">
        <w:t xml:space="preserve">. </w:t>
      </w:r>
      <w:r w:rsidR="009E14E2">
        <w:t xml:space="preserve">Implementing </w:t>
      </w:r>
      <w:r w:rsidR="008677BD">
        <w:t>research-</w:t>
      </w:r>
      <w:r w:rsidR="009E14E2">
        <w:t xml:space="preserve">based ELD programs through systemic and consistent </w:t>
      </w:r>
      <w:r w:rsidR="008677BD">
        <w:t>district-</w:t>
      </w:r>
      <w:r w:rsidR="009E14E2">
        <w:t>wide practices</w:t>
      </w:r>
      <w:r w:rsidR="00F951DB">
        <w:t>, including strong ELD plans,</w:t>
      </w:r>
      <w:r w:rsidR="009E14E2">
        <w:t xml:space="preserve"> </w:t>
      </w:r>
      <w:r w:rsidR="008677BD">
        <w:t>emerged as</w:t>
      </w:r>
      <w:r w:rsidR="00F951DB">
        <w:t xml:space="preserve"> essential to high </w:t>
      </w:r>
      <w:r w:rsidR="008677BD">
        <w:t xml:space="preserve">EL </w:t>
      </w:r>
      <w:r w:rsidR="00F951DB">
        <w:t xml:space="preserve">performance. </w:t>
      </w:r>
    </w:p>
    <w:sectPr w:rsidR="000F1AFA" w:rsidRPr="0008149E">
      <w:type w:val="continuous"/>
      <w:pgSz w:w="12240" w:h="15840"/>
      <w:pgMar w:top="1568"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4908B" w14:textId="77777777" w:rsidR="00C90181" w:rsidRDefault="00C90181">
      <w:r>
        <w:separator/>
      </w:r>
    </w:p>
  </w:endnote>
  <w:endnote w:type="continuationSeparator" w:id="0">
    <w:p w14:paraId="4D5349D8" w14:textId="77777777" w:rsidR="00C90181" w:rsidRDefault="00C9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lab 500">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71C9C" w14:textId="77777777" w:rsidR="00C90181" w:rsidRDefault="00C90181">
      <w:r>
        <w:separator/>
      </w:r>
    </w:p>
  </w:footnote>
  <w:footnote w:type="continuationSeparator" w:id="0">
    <w:p w14:paraId="297E01EC" w14:textId="77777777" w:rsidR="00C90181" w:rsidRDefault="00C9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22953" w14:textId="77777777" w:rsidR="000F1AFA" w:rsidRDefault="007E4DF1">
    <w:pPr>
      <w:pBdr>
        <w:top w:val="nil"/>
        <w:left w:val="nil"/>
        <w:bottom w:val="nil"/>
        <w:right w:val="nil"/>
        <w:between w:val="nil"/>
      </w:pBdr>
      <w:tabs>
        <w:tab w:val="left" w:pos="1590"/>
      </w:tabs>
      <w:rPr>
        <w:color w:val="000000"/>
      </w:rPr>
    </w:pPr>
    <w:r>
      <w:rPr>
        <w:noProof/>
        <w:color w:val="000000"/>
      </w:rPr>
      <w:drawing>
        <wp:inline distT="0" distB="0" distL="0" distR="0" wp14:anchorId="3FC128F6" wp14:editId="02B5AF21">
          <wp:extent cx="876300" cy="457200"/>
          <wp:effectExtent l="0" t="0" r="0" b="0"/>
          <wp:docPr id="4" name="image8.png" title="CDE"/>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876300" cy="457200"/>
                  </a:xfrm>
                  <a:prstGeom prst="rect">
                    <a:avLst/>
                  </a:prstGeom>
                  <a:ln/>
                </pic:spPr>
              </pic:pic>
            </a:graphicData>
          </a:graphic>
        </wp:inline>
      </w:drawing>
    </w:r>
  </w:p>
  <w:p w14:paraId="6F581EF4" w14:textId="58078FE4" w:rsidR="000F1AFA" w:rsidRDefault="007E4DF1">
    <w:pPr>
      <w:pBdr>
        <w:top w:val="nil"/>
        <w:left w:val="nil"/>
        <w:bottom w:val="nil"/>
        <w:right w:val="nil"/>
        <w:between w:val="nil"/>
      </w:pBdr>
      <w:tabs>
        <w:tab w:val="left" w:pos="1590"/>
      </w:tabs>
      <w:jc w:val="right"/>
      <w:rPr>
        <w:color w:val="000000"/>
      </w:rPr>
    </w:pPr>
    <w:r>
      <w:rPr>
        <w:rFonts w:ascii="Museo Slab 500" w:eastAsia="Museo Slab 500" w:hAnsi="Museo Slab 500" w:cs="Museo Slab 500"/>
        <w:b/>
        <w:color w:val="919BA5"/>
        <w:sz w:val="18"/>
        <w:szCs w:val="18"/>
      </w:rPr>
      <w:t>ELPA Excellence Award Evaluation Synthesis Report</w:t>
    </w:r>
    <w:r>
      <w:rPr>
        <w:rFonts w:ascii="Museo Slab 500" w:eastAsia="Museo Slab 500" w:hAnsi="Museo Slab 500" w:cs="Museo Slab 500"/>
        <w:b/>
        <w:color w:val="919BA5"/>
        <w:sz w:val="18"/>
        <w:szCs w:val="18"/>
      </w:rPr>
      <w:tab/>
    </w:r>
    <w:r>
      <w:rPr>
        <w:b/>
        <w:color w:val="919BA5"/>
      </w:rPr>
      <w:fldChar w:fldCharType="begin"/>
    </w:r>
    <w:r>
      <w:rPr>
        <w:b/>
        <w:color w:val="919BA5"/>
      </w:rPr>
      <w:instrText>PAGE</w:instrText>
    </w:r>
    <w:r>
      <w:rPr>
        <w:b/>
        <w:color w:val="919BA5"/>
      </w:rPr>
      <w:fldChar w:fldCharType="separate"/>
    </w:r>
    <w:r w:rsidR="00E83DFB">
      <w:rPr>
        <w:b/>
        <w:noProof/>
        <w:color w:val="919BA5"/>
      </w:rPr>
      <w:t>6</w:t>
    </w:r>
    <w:r>
      <w:rPr>
        <w:b/>
        <w:color w:val="919BA5"/>
      </w:rPr>
      <w:fldChar w:fldCharType="end"/>
    </w:r>
    <w:r w:rsidR="00C90181">
      <w:pict w14:anchorId="5F2B1E2A">
        <v:rect id="_x0000_i1025" style="width:0;height:1.5pt" o:hralign="center" o:hrstd="t" o:hr="t" fillcolor="#a0a0a0" stroked="f"/>
      </w:pict>
    </w:r>
  </w:p>
  <w:p w14:paraId="22A873A0" w14:textId="77777777" w:rsidR="000F1AFA" w:rsidRDefault="000F1AF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8B2B" w14:textId="77777777" w:rsidR="000F1AFA" w:rsidRDefault="007E4DF1">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14312014" wp14:editId="1F887CFE">
          <wp:extent cx="876300" cy="457200"/>
          <wp:effectExtent l="0" t="0" r="0" b="0"/>
          <wp:docPr id="5" name="image9.png" title="CDE"/>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76300" cy="457200"/>
                  </a:xfrm>
                  <a:prstGeom prst="rect">
                    <a:avLst/>
                  </a:prstGeom>
                  <a:ln/>
                </pic:spPr>
              </pic:pic>
            </a:graphicData>
          </a:graphic>
        </wp:inline>
      </w:drawing>
    </w:r>
  </w:p>
  <w:p w14:paraId="2686D51A" w14:textId="77777777" w:rsidR="000F1AFA" w:rsidRDefault="000F1AFA">
    <w:pPr>
      <w:pBdr>
        <w:top w:val="nil"/>
        <w:left w:val="nil"/>
        <w:bottom w:val="nil"/>
        <w:right w:val="nil"/>
        <w:between w:val="nil"/>
      </w:pBdr>
      <w:tabs>
        <w:tab w:val="left" w:pos="1820"/>
        <w:tab w:val="left" w:pos="4373"/>
      </w:tabs>
      <w:jc w:val="right"/>
      <w:rPr>
        <w:rFonts w:ascii="Museo Slab 500" w:eastAsia="Museo Slab 500" w:hAnsi="Museo Slab 500" w:cs="Museo Slab 500"/>
        <w:b/>
        <w:color w:val="919BA5"/>
        <w:sz w:val="18"/>
        <w:szCs w:val="18"/>
      </w:rPr>
    </w:pPr>
  </w:p>
  <w:p w14:paraId="1DAA102D" w14:textId="714A1FED" w:rsidR="000F1AFA" w:rsidRDefault="007E4DF1">
    <w:pPr>
      <w:pBdr>
        <w:top w:val="nil"/>
        <w:left w:val="nil"/>
        <w:bottom w:val="nil"/>
        <w:right w:val="nil"/>
        <w:between w:val="nil"/>
      </w:pBdr>
      <w:tabs>
        <w:tab w:val="left" w:pos="1820"/>
        <w:tab w:val="left" w:pos="4373"/>
      </w:tabs>
      <w:jc w:val="right"/>
      <w:rPr>
        <w:color w:val="000000"/>
      </w:rPr>
    </w:pPr>
    <w:r>
      <w:rPr>
        <w:rFonts w:ascii="Museo Slab 500" w:eastAsia="Museo Slab 500" w:hAnsi="Museo Slab 500" w:cs="Museo Slab 500"/>
        <w:b/>
        <w:color w:val="919BA5"/>
        <w:sz w:val="18"/>
        <w:szCs w:val="18"/>
      </w:rPr>
      <w:t>ELPA Excellence Award Evaluation Synthesis Report</w:t>
    </w:r>
    <w:r>
      <w:rPr>
        <w:color w:val="000000"/>
      </w:rPr>
      <w:tab/>
    </w:r>
    <w:r>
      <w:rPr>
        <w:b/>
        <w:color w:val="919BA5"/>
      </w:rPr>
      <w:fldChar w:fldCharType="begin"/>
    </w:r>
    <w:r>
      <w:rPr>
        <w:b/>
        <w:color w:val="919BA5"/>
      </w:rPr>
      <w:instrText>PAGE</w:instrText>
    </w:r>
    <w:r>
      <w:rPr>
        <w:b/>
        <w:color w:val="919BA5"/>
      </w:rPr>
      <w:fldChar w:fldCharType="separate"/>
    </w:r>
    <w:r w:rsidR="00E83DFB">
      <w:rPr>
        <w:b/>
        <w:noProof/>
        <w:color w:val="919BA5"/>
      </w:rPr>
      <w:t>5</w:t>
    </w:r>
    <w:r>
      <w:rPr>
        <w:b/>
        <w:color w:val="919BA5"/>
      </w:rPr>
      <w:fldChar w:fldCharType="end"/>
    </w:r>
    <w:r w:rsidR="00C90181">
      <w:pict w14:anchorId="473289E3">
        <v:rect id="_x0000_i1026" style="width:0;height:1.5pt" o:hralign="center" o:hrstd="t" o:hr="t" fillcolor="#a0a0a0" stroked="f"/>
      </w:pict>
    </w:r>
  </w:p>
  <w:p w14:paraId="203B5E00" w14:textId="77777777" w:rsidR="000F1AFA" w:rsidRDefault="000F1AFA">
    <w:pPr>
      <w:pBdr>
        <w:top w:val="nil"/>
        <w:left w:val="nil"/>
        <w:bottom w:val="nil"/>
        <w:right w:val="nil"/>
        <w:between w:val="nil"/>
      </w:pBdr>
      <w:tabs>
        <w:tab w:val="left" w:pos="4373"/>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11B5A"/>
    <w:multiLevelType w:val="multilevel"/>
    <w:tmpl w:val="22AC9A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F385766"/>
    <w:multiLevelType w:val="multilevel"/>
    <w:tmpl w:val="6066A6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L9VyjR2U3fS8MRdQK5v1m/5DWF7rliWgoa32EymKTMP+mO1eb1CK0lgpm6niNUgTlVh8rJcfWUK+EWwaQB8UQw==" w:salt="KwBzP/rbKCikcVgD+Jn/M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FA"/>
    <w:rsid w:val="00025C65"/>
    <w:rsid w:val="00027CC6"/>
    <w:rsid w:val="000331AA"/>
    <w:rsid w:val="00040174"/>
    <w:rsid w:val="00046697"/>
    <w:rsid w:val="000516CA"/>
    <w:rsid w:val="0007006E"/>
    <w:rsid w:val="000720C3"/>
    <w:rsid w:val="0008149E"/>
    <w:rsid w:val="00093D9C"/>
    <w:rsid w:val="000E3A9D"/>
    <w:rsid w:val="000F026F"/>
    <w:rsid w:val="000F1AFA"/>
    <w:rsid w:val="00113644"/>
    <w:rsid w:val="001455FB"/>
    <w:rsid w:val="00151468"/>
    <w:rsid w:val="001640F4"/>
    <w:rsid w:val="0018016E"/>
    <w:rsid w:val="001859AB"/>
    <w:rsid w:val="00190DA4"/>
    <w:rsid w:val="00190EDF"/>
    <w:rsid w:val="001913D4"/>
    <w:rsid w:val="001939C4"/>
    <w:rsid w:val="001A7C3F"/>
    <w:rsid w:val="001B64FE"/>
    <w:rsid w:val="001C2A49"/>
    <w:rsid w:val="001C715D"/>
    <w:rsid w:val="001D34DE"/>
    <w:rsid w:val="00223F8A"/>
    <w:rsid w:val="0023595E"/>
    <w:rsid w:val="0023640D"/>
    <w:rsid w:val="002649F9"/>
    <w:rsid w:val="00265E13"/>
    <w:rsid w:val="00267D88"/>
    <w:rsid w:val="00272027"/>
    <w:rsid w:val="002832D6"/>
    <w:rsid w:val="002B1762"/>
    <w:rsid w:val="002B678F"/>
    <w:rsid w:val="002D50CE"/>
    <w:rsid w:val="002D5879"/>
    <w:rsid w:val="002F2956"/>
    <w:rsid w:val="002F7ED8"/>
    <w:rsid w:val="00303B61"/>
    <w:rsid w:val="003107B3"/>
    <w:rsid w:val="003320CE"/>
    <w:rsid w:val="003336DB"/>
    <w:rsid w:val="0036549A"/>
    <w:rsid w:val="0036673F"/>
    <w:rsid w:val="00372437"/>
    <w:rsid w:val="00373046"/>
    <w:rsid w:val="00391310"/>
    <w:rsid w:val="003B2114"/>
    <w:rsid w:val="003C0534"/>
    <w:rsid w:val="003C34AD"/>
    <w:rsid w:val="003E30D2"/>
    <w:rsid w:val="003F1A8C"/>
    <w:rsid w:val="0040382B"/>
    <w:rsid w:val="004204AF"/>
    <w:rsid w:val="004230C5"/>
    <w:rsid w:val="00445017"/>
    <w:rsid w:val="004662B7"/>
    <w:rsid w:val="0047104F"/>
    <w:rsid w:val="00482A91"/>
    <w:rsid w:val="004B6EF5"/>
    <w:rsid w:val="004C3973"/>
    <w:rsid w:val="004C3A51"/>
    <w:rsid w:val="004D54D1"/>
    <w:rsid w:val="004E6A30"/>
    <w:rsid w:val="005019B3"/>
    <w:rsid w:val="00503C1B"/>
    <w:rsid w:val="00505821"/>
    <w:rsid w:val="00530914"/>
    <w:rsid w:val="00540877"/>
    <w:rsid w:val="00544F99"/>
    <w:rsid w:val="00554874"/>
    <w:rsid w:val="00565041"/>
    <w:rsid w:val="005A1267"/>
    <w:rsid w:val="005A3218"/>
    <w:rsid w:val="005A7DBD"/>
    <w:rsid w:val="005C559F"/>
    <w:rsid w:val="005D5760"/>
    <w:rsid w:val="005D72AF"/>
    <w:rsid w:val="005F168F"/>
    <w:rsid w:val="00601135"/>
    <w:rsid w:val="00614033"/>
    <w:rsid w:val="00625F6C"/>
    <w:rsid w:val="00645551"/>
    <w:rsid w:val="0064653B"/>
    <w:rsid w:val="00653954"/>
    <w:rsid w:val="00654DE4"/>
    <w:rsid w:val="0065770D"/>
    <w:rsid w:val="00673FA7"/>
    <w:rsid w:val="00691C43"/>
    <w:rsid w:val="006A4B17"/>
    <w:rsid w:val="006B2CB4"/>
    <w:rsid w:val="006B7D8A"/>
    <w:rsid w:val="006B7E13"/>
    <w:rsid w:val="006B7E93"/>
    <w:rsid w:val="0071007D"/>
    <w:rsid w:val="00720EFD"/>
    <w:rsid w:val="0074114D"/>
    <w:rsid w:val="00753E47"/>
    <w:rsid w:val="007679A2"/>
    <w:rsid w:val="00773D21"/>
    <w:rsid w:val="00775094"/>
    <w:rsid w:val="00787FB6"/>
    <w:rsid w:val="007A3544"/>
    <w:rsid w:val="007C0D13"/>
    <w:rsid w:val="007D118D"/>
    <w:rsid w:val="007E4DF1"/>
    <w:rsid w:val="00813BC2"/>
    <w:rsid w:val="00816993"/>
    <w:rsid w:val="00830E05"/>
    <w:rsid w:val="008418C0"/>
    <w:rsid w:val="00844D9D"/>
    <w:rsid w:val="00850364"/>
    <w:rsid w:val="008677BD"/>
    <w:rsid w:val="008A1950"/>
    <w:rsid w:val="008C7388"/>
    <w:rsid w:val="008D3B64"/>
    <w:rsid w:val="008E77CB"/>
    <w:rsid w:val="008F0E63"/>
    <w:rsid w:val="00937FB1"/>
    <w:rsid w:val="0096356E"/>
    <w:rsid w:val="00983067"/>
    <w:rsid w:val="009850FD"/>
    <w:rsid w:val="009874BD"/>
    <w:rsid w:val="009B76B7"/>
    <w:rsid w:val="009E14E2"/>
    <w:rsid w:val="009E3B3D"/>
    <w:rsid w:val="009F74F7"/>
    <w:rsid w:val="00A054D8"/>
    <w:rsid w:val="00A10127"/>
    <w:rsid w:val="00A32CC2"/>
    <w:rsid w:val="00A45440"/>
    <w:rsid w:val="00A616F0"/>
    <w:rsid w:val="00A6636F"/>
    <w:rsid w:val="00A6644D"/>
    <w:rsid w:val="00A71706"/>
    <w:rsid w:val="00A76BAE"/>
    <w:rsid w:val="00A969CF"/>
    <w:rsid w:val="00AC143B"/>
    <w:rsid w:val="00AC250C"/>
    <w:rsid w:val="00AC3607"/>
    <w:rsid w:val="00AD375A"/>
    <w:rsid w:val="00B266F9"/>
    <w:rsid w:val="00B87813"/>
    <w:rsid w:val="00BA7B9C"/>
    <w:rsid w:val="00BB2BD9"/>
    <w:rsid w:val="00BB4DBC"/>
    <w:rsid w:val="00BC2108"/>
    <w:rsid w:val="00BF37E0"/>
    <w:rsid w:val="00C10DB2"/>
    <w:rsid w:val="00C11BB0"/>
    <w:rsid w:val="00C40C75"/>
    <w:rsid w:val="00C46D83"/>
    <w:rsid w:val="00C52476"/>
    <w:rsid w:val="00C60C0D"/>
    <w:rsid w:val="00C704BB"/>
    <w:rsid w:val="00C90181"/>
    <w:rsid w:val="00C9101B"/>
    <w:rsid w:val="00C933EA"/>
    <w:rsid w:val="00C94938"/>
    <w:rsid w:val="00CA4066"/>
    <w:rsid w:val="00CB4EF1"/>
    <w:rsid w:val="00CD2E85"/>
    <w:rsid w:val="00CE27DF"/>
    <w:rsid w:val="00D0686A"/>
    <w:rsid w:val="00D4728F"/>
    <w:rsid w:val="00D617B0"/>
    <w:rsid w:val="00D8371D"/>
    <w:rsid w:val="00D83724"/>
    <w:rsid w:val="00D83E5E"/>
    <w:rsid w:val="00D846F3"/>
    <w:rsid w:val="00DE63C8"/>
    <w:rsid w:val="00E00F64"/>
    <w:rsid w:val="00E13DF0"/>
    <w:rsid w:val="00E415B1"/>
    <w:rsid w:val="00E43A32"/>
    <w:rsid w:val="00E55651"/>
    <w:rsid w:val="00E61F41"/>
    <w:rsid w:val="00E83DFB"/>
    <w:rsid w:val="00E869E2"/>
    <w:rsid w:val="00EA4CF3"/>
    <w:rsid w:val="00EB484B"/>
    <w:rsid w:val="00EF431B"/>
    <w:rsid w:val="00F11F67"/>
    <w:rsid w:val="00F23B04"/>
    <w:rsid w:val="00F56348"/>
    <w:rsid w:val="00F951DB"/>
    <w:rsid w:val="00F9715F"/>
    <w:rsid w:val="00FA129C"/>
    <w:rsid w:val="00FA69EE"/>
    <w:rsid w:val="00FD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85B27"/>
  <w15:docId w15:val="{71831D35-9D32-431B-AEA1-D435BDFF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single" w:sz="8" w:space="0" w:color="9AA3AC"/>
        <w:right w:val="nil"/>
        <w:between w:val="nil"/>
      </w:pBdr>
      <w:tabs>
        <w:tab w:val="left" w:pos="90"/>
      </w:tabs>
      <w:spacing w:before="120" w:after="120"/>
      <w:outlineLvl w:val="0"/>
    </w:pPr>
    <w:rPr>
      <w:rFonts w:ascii="Museo Slab 500" w:eastAsia="Museo Slab 500" w:hAnsi="Museo Slab 500" w:cs="Museo Slab 500"/>
      <w:color w:val="5C6670"/>
      <w:sz w:val="30"/>
      <w:szCs w:val="30"/>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20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0" w:after="1000"/>
      <w:jc w:val="center"/>
    </w:pPr>
    <w:rPr>
      <w:rFonts w:ascii="Museo Slab 500" w:eastAsia="Museo Slab 500" w:hAnsi="Museo Slab 500" w:cs="Museo Slab 500"/>
      <w:color w:val="5C6670"/>
      <w:sz w:val="64"/>
      <w:szCs w:val="64"/>
    </w:rPr>
  </w:style>
  <w:style w:type="paragraph" w:styleId="Subtitle">
    <w:name w:val="Subtitle"/>
    <w:basedOn w:val="Normal"/>
    <w:next w:val="Normal"/>
    <w:pPr>
      <w:pBdr>
        <w:bottom w:val="dashed" w:sz="4" w:space="31" w:color="BFBFBF"/>
      </w:pBdr>
      <w:spacing w:before="160" w:after="360"/>
      <w:ind w:left="864" w:right="864"/>
      <w:jc w:val="center"/>
    </w:p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1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9E"/>
    <w:rPr>
      <w:rFonts w:ascii="Segoe UI" w:hAnsi="Segoe UI" w:cs="Segoe UI"/>
      <w:sz w:val="18"/>
      <w:szCs w:val="18"/>
    </w:rPr>
  </w:style>
  <w:style w:type="paragraph" w:styleId="Footer">
    <w:name w:val="footer"/>
    <w:basedOn w:val="Normal"/>
    <w:link w:val="FooterChar"/>
    <w:uiPriority w:val="99"/>
    <w:unhideWhenUsed/>
    <w:rsid w:val="00040174"/>
    <w:pPr>
      <w:tabs>
        <w:tab w:val="center" w:pos="4680"/>
        <w:tab w:val="right" w:pos="9360"/>
      </w:tabs>
    </w:pPr>
  </w:style>
  <w:style w:type="character" w:customStyle="1" w:styleId="FooterChar">
    <w:name w:val="Footer Char"/>
    <w:basedOn w:val="DefaultParagraphFont"/>
    <w:link w:val="Footer"/>
    <w:uiPriority w:val="99"/>
    <w:rsid w:val="00040174"/>
  </w:style>
  <w:style w:type="paragraph" w:styleId="Header">
    <w:name w:val="header"/>
    <w:basedOn w:val="Normal"/>
    <w:link w:val="HeaderChar"/>
    <w:uiPriority w:val="99"/>
    <w:unhideWhenUsed/>
    <w:rsid w:val="00040174"/>
    <w:pPr>
      <w:tabs>
        <w:tab w:val="center" w:pos="4680"/>
        <w:tab w:val="right" w:pos="9360"/>
      </w:tabs>
    </w:pPr>
  </w:style>
  <w:style w:type="character" w:customStyle="1" w:styleId="HeaderChar">
    <w:name w:val="Header Char"/>
    <w:basedOn w:val="DefaultParagraphFont"/>
    <w:link w:val="Header"/>
    <w:uiPriority w:val="99"/>
    <w:rsid w:val="00040174"/>
  </w:style>
  <w:style w:type="paragraph" w:styleId="CommentSubject">
    <w:name w:val="annotation subject"/>
    <w:basedOn w:val="CommentText"/>
    <w:next w:val="CommentText"/>
    <w:link w:val="CommentSubjectChar"/>
    <w:uiPriority w:val="99"/>
    <w:semiHidden/>
    <w:unhideWhenUsed/>
    <w:rsid w:val="007C0D13"/>
    <w:rPr>
      <w:b/>
      <w:bCs/>
    </w:rPr>
  </w:style>
  <w:style w:type="character" w:customStyle="1" w:styleId="CommentSubjectChar">
    <w:name w:val="Comment Subject Char"/>
    <w:basedOn w:val="CommentTextChar"/>
    <w:link w:val="CommentSubject"/>
    <w:uiPriority w:val="99"/>
    <w:semiHidden/>
    <w:rsid w:val="007C0D13"/>
    <w:rPr>
      <w:b/>
      <w:bCs/>
      <w:sz w:val="20"/>
      <w:szCs w:val="20"/>
    </w:rPr>
  </w:style>
  <w:style w:type="character" w:styleId="Hyperlink">
    <w:name w:val="Hyperlink"/>
    <w:basedOn w:val="DefaultParagraphFont"/>
    <w:uiPriority w:val="99"/>
    <w:unhideWhenUsed/>
    <w:rsid w:val="005D7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ulshof_l@cde.state.co.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hajeri-nelson_n@cde.state.co.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lshof_l@cde.state.co.us" TargetMode="External"/><Relationship Id="rId5" Type="http://schemas.openxmlformats.org/officeDocument/2006/relationships/footnotes" Target="footnotes.xml"/><Relationship Id="rId15" Type="http://schemas.openxmlformats.org/officeDocument/2006/relationships/hyperlink" Target="http://www.cde.state.co.us/fedprograms/elpa-charter-evaluation-16-17" TargetMode="External"/><Relationship Id="rId10" Type="http://schemas.openxmlformats.org/officeDocument/2006/relationships/hyperlink" Target="mailto:mohajeri-nelson_n@cde.state.co.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de.state.co.us/cde_english/elpaexcellencea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1617</Words>
  <Characters>9221</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Negley, Tina</dc:creator>
  <cp:lastModifiedBy>Hernandez Sosa, Sofia</cp:lastModifiedBy>
  <cp:revision>6</cp:revision>
  <cp:lastPrinted>2018-09-17T20:00:00Z</cp:lastPrinted>
  <dcterms:created xsi:type="dcterms:W3CDTF">2018-09-17T19:33:00Z</dcterms:created>
  <dcterms:modified xsi:type="dcterms:W3CDTF">2018-09-17T20:28:00Z</dcterms:modified>
</cp:coreProperties>
</file>