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1328408C" w:rsidR="007A0C15" w:rsidRPr="009F42B7" w:rsidRDefault="00331F84" w:rsidP="00601D14">
      <w:pPr>
        <w:pStyle w:val="Heading1"/>
        <w:spacing w:before="0" w:after="180"/>
      </w:pPr>
      <w:r>
        <w:t>EASI Cohort 9 2025-26</w:t>
      </w:r>
      <w:r w:rsidR="00601D14">
        <w:t>- What’s New to EASI?</w:t>
      </w:r>
      <w:r>
        <w:t xml:space="preserve"> </w:t>
      </w:r>
    </w:p>
    <w:p w14:paraId="1105B09F" w14:textId="6A3FD8D4" w:rsidR="00271BD6" w:rsidRDefault="00601D14" w:rsidP="004223A7">
      <w:pPr>
        <w:pStyle w:val="Heading2"/>
        <w:spacing w:after="0"/>
      </w:pPr>
      <w:r>
        <w:t>Overview</w:t>
      </w:r>
    </w:p>
    <w:p w14:paraId="1760A6EE" w14:textId="7E8D51DE" w:rsidR="00B02BE6" w:rsidRDefault="00B02BE6" w:rsidP="00B02BE6">
      <w:r>
        <w:t>The Empowering Action for School Improvement (EASI) grant is entering Cohort 9 in 2025-26 and has approximately $16.5 million in funds available to eligible schools and districts. Each grant cycle, changes are made to improve the support, application process, and routes and services offered to eligible districts and schools. The following sections highlight the grant timeline and key changes and improvements made to the EASI grant since the previous grant cycle.</w:t>
      </w:r>
    </w:p>
    <w:p w14:paraId="20872AC8" w14:textId="6A1B52FE" w:rsidR="00CA7E6F" w:rsidRDefault="00581964" w:rsidP="007647FD">
      <w:pPr>
        <w:pStyle w:val="Heading2"/>
      </w:pPr>
      <w:r>
        <w:t>Grant Timeline</w:t>
      </w:r>
    </w:p>
    <w:tbl>
      <w:tblPr>
        <w:tblStyle w:val="TableGrid"/>
        <w:tblW w:w="10716" w:type="dxa"/>
        <w:tblInd w:w="432" w:type="dxa"/>
        <w:tblLook w:val="04A0" w:firstRow="1" w:lastRow="0" w:firstColumn="1" w:lastColumn="0" w:noHBand="0" w:noVBand="1"/>
      </w:tblPr>
      <w:tblGrid>
        <w:gridCol w:w="5683"/>
        <w:gridCol w:w="5033"/>
      </w:tblGrid>
      <w:tr w:rsidR="00014CA7" w14:paraId="771759AC" w14:textId="77777777" w:rsidTr="00DA4122">
        <w:trPr>
          <w:trHeight w:val="338"/>
        </w:trPr>
        <w:tc>
          <w:tcPr>
            <w:tcW w:w="5683" w:type="dxa"/>
            <w:shd w:val="clear" w:color="auto" w:fill="C5D3FF"/>
          </w:tcPr>
          <w:p w14:paraId="5E78466C" w14:textId="36808A24" w:rsidR="00014CA7" w:rsidRPr="00014CA7" w:rsidRDefault="00014CA7" w:rsidP="00014CA7">
            <w:pPr>
              <w:jc w:val="center"/>
              <w:rPr>
                <w:b/>
                <w:bCs/>
              </w:rPr>
            </w:pPr>
            <w:r w:rsidRPr="00014CA7">
              <w:rPr>
                <w:b/>
                <w:bCs/>
              </w:rPr>
              <w:t>Activity</w:t>
            </w:r>
          </w:p>
        </w:tc>
        <w:tc>
          <w:tcPr>
            <w:tcW w:w="5033" w:type="dxa"/>
            <w:shd w:val="clear" w:color="auto" w:fill="C5D3FF"/>
          </w:tcPr>
          <w:p w14:paraId="47327DF7" w14:textId="0A2D5813" w:rsidR="00014CA7" w:rsidRPr="00014CA7" w:rsidRDefault="00014CA7" w:rsidP="00014CA7">
            <w:pPr>
              <w:jc w:val="center"/>
              <w:rPr>
                <w:b/>
                <w:bCs/>
              </w:rPr>
            </w:pPr>
            <w:r w:rsidRPr="00014CA7">
              <w:rPr>
                <w:b/>
                <w:bCs/>
              </w:rPr>
              <w:t>Date(s)</w:t>
            </w:r>
          </w:p>
        </w:tc>
      </w:tr>
      <w:tr w:rsidR="008C515A" w14:paraId="1AFE1576" w14:textId="77777777" w:rsidTr="00DA4122">
        <w:trPr>
          <w:trHeight w:val="338"/>
        </w:trPr>
        <w:tc>
          <w:tcPr>
            <w:tcW w:w="5683" w:type="dxa"/>
          </w:tcPr>
          <w:p w14:paraId="79D753E7" w14:textId="721498F2" w:rsidR="008C515A" w:rsidRPr="000E6851" w:rsidRDefault="008C515A" w:rsidP="00B6701D">
            <w:pPr>
              <w:ind w:left="0"/>
            </w:pPr>
            <w:r w:rsidRPr="000E6851">
              <w:t>EASI Grant Application opens</w:t>
            </w:r>
          </w:p>
        </w:tc>
        <w:tc>
          <w:tcPr>
            <w:tcW w:w="5033" w:type="dxa"/>
          </w:tcPr>
          <w:p w14:paraId="54BABD54" w14:textId="050FD375" w:rsidR="008C515A" w:rsidRDefault="008C515A" w:rsidP="00C7283D">
            <w:pPr>
              <w:ind w:left="0"/>
            </w:pPr>
            <w:r w:rsidRPr="00C15F13">
              <w:t>Late September 202</w:t>
            </w:r>
            <w:r>
              <w:t>5</w:t>
            </w:r>
          </w:p>
        </w:tc>
      </w:tr>
      <w:tr w:rsidR="008C515A" w14:paraId="270EC73D" w14:textId="77777777" w:rsidTr="00DA4122">
        <w:trPr>
          <w:trHeight w:val="356"/>
        </w:trPr>
        <w:tc>
          <w:tcPr>
            <w:tcW w:w="5683" w:type="dxa"/>
          </w:tcPr>
          <w:p w14:paraId="58AD4A8F" w14:textId="77777777" w:rsidR="008C515A" w:rsidRPr="000E6851" w:rsidRDefault="008C515A" w:rsidP="00B6701D">
            <w:pPr>
              <w:ind w:left="0"/>
            </w:pPr>
            <w:r w:rsidRPr="000E6851">
              <w:t>EASI Provider Kick-Off</w:t>
            </w:r>
          </w:p>
          <w:p w14:paraId="5BC5CD22" w14:textId="2E466E8B" w:rsidR="008D4BF1" w:rsidRPr="000E6851" w:rsidRDefault="008D4BF1" w:rsidP="00B6701D">
            <w:pPr>
              <w:ind w:left="0"/>
            </w:pPr>
            <w:r w:rsidRPr="000E6851">
              <w:t>(</w:t>
            </w:r>
            <w:hyperlink r:id="rId8" w:history="1">
              <w:r w:rsidRPr="000E6851">
                <w:rPr>
                  <w:rStyle w:val="URLChar"/>
                  <w:color w:val="153D63" w:themeColor="text2" w:themeTint="E6"/>
                </w:rPr>
                <w:t>registration link for providers</w:t>
              </w:r>
            </w:hyperlink>
            <w:r w:rsidRPr="000E6851">
              <w:t>)</w:t>
            </w:r>
          </w:p>
        </w:tc>
        <w:tc>
          <w:tcPr>
            <w:tcW w:w="5033" w:type="dxa"/>
          </w:tcPr>
          <w:p w14:paraId="4E5B7E72" w14:textId="1D518B56" w:rsidR="008C515A" w:rsidRPr="00C15F13" w:rsidRDefault="008C515A" w:rsidP="00C7283D">
            <w:pPr>
              <w:ind w:left="0"/>
            </w:pPr>
            <w:r>
              <w:t>October 15, 2025</w:t>
            </w:r>
            <w:r w:rsidR="00BE292F">
              <w:t xml:space="preserve"> 1</w:t>
            </w:r>
            <w:r w:rsidR="00376600">
              <w:t>2</w:t>
            </w:r>
            <w:r w:rsidR="00BE292F">
              <w:t>:00</w:t>
            </w:r>
            <w:r w:rsidR="00376600">
              <w:t>p</w:t>
            </w:r>
            <w:r w:rsidR="00BE292F">
              <w:t>m-1:00</w:t>
            </w:r>
            <w:r w:rsidR="001338C5">
              <w:t>p</w:t>
            </w:r>
            <w:r w:rsidR="00BE292F">
              <w:t>m</w:t>
            </w:r>
          </w:p>
        </w:tc>
      </w:tr>
      <w:tr w:rsidR="008C515A" w14:paraId="5F7387D5" w14:textId="77777777" w:rsidTr="00DA4122">
        <w:trPr>
          <w:trHeight w:val="338"/>
        </w:trPr>
        <w:tc>
          <w:tcPr>
            <w:tcW w:w="5683" w:type="dxa"/>
          </w:tcPr>
          <w:p w14:paraId="35C28F8C" w14:textId="02D00D0C" w:rsidR="008C515A" w:rsidRPr="000E6851" w:rsidRDefault="008C515A" w:rsidP="00B6701D">
            <w:pPr>
              <w:ind w:left="0"/>
            </w:pPr>
            <w:r w:rsidRPr="000E6851">
              <w:t>EASI</w:t>
            </w:r>
            <w:r w:rsidR="00E13DDA">
              <w:t xml:space="preserve"> Cohort 9</w:t>
            </w:r>
            <w:r w:rsidRPr="000E6851">
              <w:t xml:space="preserve"> Kick-Off</w:t>
            </w:r>
          </w:p>
          <w:p w14:paraId="208A1075" w14:textId="7AA56B12" w:rsidR="00DE076D" w:rsidRPr="000E6851" w:rsidRDefault="00DE076D" w:rsidP="00B6701D">
            <w:pPr>
              <w:ind w:left="0"/>
            </w:pPr>
            <w:r w:rsidRPr="000E6851">
              <w:t>(</w:t>
            </w:r>
            <w:hyperlink r:id="rId9" w:history="1">
              <w:r w:rsidRPr="000E6851">
                <w:rPr>
                  <w:rStyle w:val="Hyperlink"/>
                  <w:color w:val="153D63" w:themeColor="text2" w:themeTint="E6"/>
                </w:rPr>
                <w:t xml:space="preserve">registration link for </w:t>
              </w:r>
              <w:r w:rsidR="008D4BF1" w:rsidRPr="000E6851">
                <w:rPr>
                  <w:rStyle w:val="Hyperlink"/>
                  <w:color w:val="153D63" w:themeColor="text2" w:themeTint="E6"/>
                </w:rPr>
                <w:t>eligible grantees</w:t>
              </w:r>
            </w:hyperlink>
            <w:r w:rsidR="008D4BF1" w:rsidRPr="000E6851">
              <w:t>)</w:t>
            </w:r>
          </w:p>
        </w:tc>
        <w:tc>
          <w:tcPr>
            <w:tcW w:w="5033" w:type="dxa"/>
          </w:tcPr>
          <w:p w14:paraId="6BA62202" w14:textId="1F6CC78A" w:rsidR="008C515A" w:rsidRDefault="00C7283D" w:rsidP="00C7283D">
            <w:pPr>
              <w:ind w:left="0"/>
            </w:pPr>
            <w:r>
              <w:t>October 22, 2025 2:30pm-4:00pm</w:t>
            </w:r>
          </w:p>
        </w:tc>
      </w:tr>
      <w:tr w:rsidR="008C515A" w14:paraId="734D6A3F" w14:textId="77777777" w:rsidTr="00DA4122">
        <w:trPr>
          <w:trHeight w:val="338"/>
        </w:trPr>
        <w:tc>
          <w:tcPr>
            <w:tcW w:w="5683" w:type="dxa"/>
          </w:tcPr>
          <w:p w14:paraId="21E6CB51" w14:textId="77777777" w:rsidR="008C515A" w:rsidRPr="000E6851" w:rsidRDefault="008C515A" w:rsidP="00B6701D">
            <w:pPr>
              <w:ind w:left="0"/>
            </w:pPr>
            <w:r w:rsidRPr="000E6851">
              <w:t>EASI Office Hours</w:t>
            </w:r>
            <w:r w:rsidR="00A85753" w:rsidRPr="000E6851">
              <w:t>- District Designed &amp; Led</w:t>
            </w:r>
          </w:p>
          <w:p w14:paraId="6E2EDFCD" w14:textId="6FD9AAC7" w:rsidR="00B0690C" w:rsidRPr="000E6851" w:rsidRDefault="00B0690C" w:rsidP="00B6701D">
            <w:pPr>
              <w:ind w:left="0"/>
            </w:pPr>
            <w:r w:rsidRPr="000E6851">
              <w:t>(</w:t>
            </w:r>
            <w:hyperlink r:id="rId10" w:history="1">
              <w:r w:rsidR="00134438" w:rsidRPr="000E6851">
                <w:rPr>
                  <w:rStyle w:val="Hyperlink"/>
                  <w:color w:val="153D63" w:themeColor="text2" w:themeTint="E6"/>
                </w:rPr>
                <w:t>registration link for interested grantees</w:t>
              </w:r>
            </w:hyperlink>
            <w:r w:rsidRPr="000E6851">
              <w:t>)</w:t>
            </w:r>
          </w:p>
        </w:tc>
        <w:tc>
          <w:tcPr>
            <w:tcW w:w="5033" w:type="dxa"/>
          </w:tcPr>
          <w:p w14:paraId="174CAB1E" w14:textId="7B89972B" w:rsidR="008C515A" w:rsidRDefault="00211A25" w:rsidP="004654FA">
            <w:pPr>
              <w:ind w:left="0"/>
            </w:pPr>
            <w:r>
              <w:t xml:space="preserve">October 29, 2025 </w:t>
            </w:r>
            <w:r w:rsidR="00E9364F">
              <w:t>12:00pm- 1:00pm</w:t>
            </w:r>
          </w:p>
        </w:tc>
      </w:tr>
      <w:tr w:rsidR="008C515A" w14:paraId="5760959C" w14:textId="77777777" w:rsidTr="00DA4122">
        <w:trPr>
          <w:trHeight w:val="338"/>
        </w:trPr>
        <w:tc>
          <w:tcPr>
            <w:tcW w:w="5683" w:type="dxa"/>
          </w:tcPr>
          <w:p w14:paraId="7BF1F69B" w14:textId="57FA0D60" w:rsidR="008C515A" w:rsidRPr="000E6851" w:rsidRDefault="008C515A" w:rsidP="00B6701D">
            <w:pPr>
              <w:ind w:left="0"/>
            </w:pPr>
            <w:r w:rsidRPr="000E6851">
              <w:t>EASI Grant Application Closes</w:t>
            </w:r>
          </w:p>
        </w:tc>
        <w:tc>
          <w:tcPr>
            <w:tcW w:w="5033" w:type="dxa"/>
          </w:tcPr>
          <w:p w14:paraId="0C8EA51A" w14:textId="524DEF0A" w:rsidR="008C515A" w:rsidRDefault="008C515A" w:rsidP="00C7283D">
            <w:pPr>
              <w:ind w:left="0"/>
            </w:pPr>
            <w:r w:rsidRPr="00DE076D">
              <w:rPr>
                <w:b/>
                <w:color w:val="77206D" w:themeColor="accent5" w:themeShade="BF"/>
              </w:rPr>
              <w:t xml:space="preserve">December </w:t>
            </w:r>
            <w:r w:rsidR="00B052DA" w:rsidRPr="00DE076D">
              <w:rPr>
                <w:b/>
                <w:color w:val="77206D" w:themeColor="accent5" w:themeShade="BF"/>
              </w:rPr>
              <w:t>3</w:t>
            </w:r>
            <w:r w:rsidRPr="00DE076D">
              <w:rPr>
                <w:b/>
                <w:color w:val="77206D" w:themeColor="accent5" w:themeShade="BF"/>
              </w:rPr>
              <w:t>, 202</w:t>
            </w:r>
            <w:r w:rsidR="00B052DA" w:rsidRPr="00DE076D">
              <w:rPr>
                <w:b/>
                <w:color w:val="77206D" w:themeColor="accent5" w:themeShade="BF"/>
              </w:rPr>
              <w:t>5</w:t>
            </w:r>
            <w:r w:rsidRPr="00DE076D">
              <w:rPr>
                <w:b/>
                <w:color w:val="77206D" w:themeColor="accent5" w:themeShade="BF"/>
              </w:rPr>
              <w:t xml:space="preserve"> at 4:00 pm</w:t>
            </w:r>
          </w:p>
        </w:tc>
      </w:tr>
      <w:tr w:rsidR="008C515A" w14:paraId="36D52CD8" w14:textId="77777777" w:rsidTr="00DA4122">
        <w:trPr>
          <w:trHeight w:val="338"/>
        </w:trPr>
        <w:tc>
          <w:tcPr>
            <w:tcW w:w="5683" w:type="dxa"/>
          </w:tcPr>
          <w:p w14:paraId="2F58603C" w14:textId="2EE01230" w:rsidR="008C515A" w:rsidRPr="000E6851" w:rsidRDefault="008C515A" w:rsidP="00B6701D">
            <w:pPr>
              <w:ind w:left="0"/>
            </w:pPr>
            <w:r w:rsidRPr="000E6851">
              <w:t>EASI Grant- Review period</w:t>
            </w:r>
          </w:p>
        </w:tc>
        <w:tc>
          <w:tcPr>
            <w:tcW w:w="5033" w:type="dxa"/>
          </w:tcPr>
          <w:p w14:paraId="6C709A1D" w14:textId="7FD5A6D0" w:rsidR="008C515A" w:rsidRDefault="008C515A" w:rsidP="00C7283D">
            <w:pPr>
              <w:ind w:left="0"/>
            </w:pPr>
            <w:r>
              <w:t>December-January</w:t>
            </w:r>
          </w:p>
        </w:tc>
      </w:tr>
      <w:tr w:rsidR="008C515A" w14:paraId="5C915863" w14:textId="77777777" w:rsidTr="00DA4122">
        <w:trPr>
          <w:trHeight w:val="356"/>
        </w:trPr>
        <w:tc>
          <w:tcPr>
            <w:tcW w:w="5683" w:type="dxa"/>
          </w:tcPr>
          <w:p w14:paraId="2B2619EF" w14:textId="65268E02" w:rsidR="008C515A" w:rsidRPr="000E6851" w:rsidRDefault="008C515A" w:rsidP="00B6701D">
            <w:pPr>
              <w:ind w:left="0"/>
            </w:pPr>
            <w:r w:rsidRPr="000E6851">
              <w:t>Award notifications</w:t>
            </w:r>
          </w:p>
        </w:tc>
        <w:tc>
          <w:tcPr>
            <w:tcW w:w="5033" w:type="dxa"/>
          </w:tcPr>
          <w:p w14:paraId="6FBDB9E4" w14:textId="01A3A329" w:rsidR="008C515A" w:rsidRDefault="008C515A" w:rsidP="00C7283D">
            <w:pPr>
              <w:ind w:left="0"/>
            </w:pPr>
            <w:r>
              <w:t>January 3</w:t>
            </w:r>
            <w:r w:rsidR="00B052DA">
              <w:t>0</w:t>
            </w:r>
            <w:r>
              <w:t>, 202</w:t>
            </w:r>
            <w:r w:rsidR="00B052DA">
              <w:t>6</w:t>
            </w:r>
          </w:p>
        </w:tc>
      </w:tr>
      <w:tr w:rsidR="00B6701D" w14:paraId="05FBF240" w14:textId="77777777" w:rsidTr="00DA4122">
        <w:trPr>
          <w:trHeight w:val="320"/>
        </w:trPr>
        <w:tc>
          <w:tcPr>
            <w:tcW w:w="5683" w:type="dxa"/>
          </w:tcPr>
          <w:p w14:paraId="7FAA0FFD" w14:textId="46FDE13D" w:rsidR="00B6701D" w:rsidRPr="000E6851" w:rsidRDefault="00B6701D" w:rsidP="00B6701D">
            <w:pPr>
              <w:ind w:left="0"/>
            </w:pPr>
            <w:r w:rsidRPr="000E6851">
              <w:t>Post-award revisions</w:t>
            </w:r>
          </w:p>
        </w:tc>
        <w:tc>
          <w:tcPr>
            <w:tcW w:w="5033" w:type="dxa"/>
          </w:tcPr>
          <w:p w14:paraId="3A345DB6" w14:textId="25C18C6F" w:rsidR="00B6701D" w:rsidRDefault="00B6701D" w:rsidP="00C7283D">
            <w:pPr>
              <w:ind w:left="0"/>
            </w:pPr>
            <w:r>
              <w:t>February 13, 2026</w:t>
            </w:r>
          </w:p>
        </w:tc>
      </w:tr>
    </w:tbl>
    <w:p w14:paraId="0DF4351A" w14:textId="5C4BEBD0" w:rsidR="00F66308" w:rsidRPr="00F66308" w:rsidRDefault="00F66308" w:rsidP="00F66308">
      <w:pPr>
        <w:pStyle w:val="Heading2"/>
      </w:pPr>
      <w:r w:rsidRPr="00F66308">
        <w:t xml:space="preserve">Key Changes to EASI </w:t>
      </w:r>
      <w:r>
        <w:t>Cohort 9</w:t>
      </w:r>
    </w:p>
    <w:p w14:paraId="6CA5ED1A" w14:textId="7432CE64" w:rsidR="00F66308" w:rsidRPr="00D8147F" w:rsidRDefault="00F66308" w:rsidP="00F66308">
      <w:bookmarkStart w:id="0" w:name="_heading=h.aml87xkufybj" w:colFirst="0" w:colLast="0"/>
      <w:bookmarkEnd w:id="0"/>
      <w:r w:rsidRPr="00D8147F">
        <w:t xml:space="preserve">After each grant cycle, CDE gathers feedback from districts, schools, and staff on ways to improve the offerings and approach of the EASI grant. The table below highlights the key changes made to EASI for the </w:t>
      </w:r>
      <w:r>
        <w:t>2025-26</w:t>
      </w:r>
      <w:r w:rsidRPr="00D8147F">
        <w:t xml:space="preserve"> grant cycle.</w:t>
      </w:r>
    </w:p>
    <w:tbl>
      <w:tblPr>
        <w:tblStyle w:val="TableGrid"/>
        <w:tblW w:w="10716" w:type="dxa"/>
        <w:tblInd w:w="432" w:type="dxa"/>
        <w:tblLook w:val="04A0" w:firstRow="1" w:lastRow="0" w:firstColumn="1" w:lastColumn="0" w:noHBand="0" w:noVBand="1"/>
      </w:tblPr>
      <w:tblGrid>
        <w:gridCol w:w="3253"/>
        <w:gridCol w:w="7463"/>
      </w:tblGrid>
      <w:tr w:rsidR="00874730" w:rsidRPr="00014CA7" w14:paraId="33D6B4B0" w14:textId="77777777" w:rsidTr="37B022F3">
        <w:trPr>
          <w:trHeight w:val="338"/>
        </w:trPr>
        <w:tc>
          <w:tcPr>
            <w:tcW w:w="3253" w:type="dxa"/>
            <w:shd w:val="clear" w:color="auto" w:fill="C5D3FF"/>
          </w:tcPr>
          <w:p w14:paraId="3EBC4EAD" w14:textId="389AA214" w:rsidR="00874730" w:rsidRPr="00014CA7" w:rsidRDefault="00874730">
            <w:pPr>
              <w:jc w:val="center"/>
              <w:rPr>
                <w:b/>
                <w:bCs/>
              </w:rPr>
            </w:pPr>
            <w:r>
              <w:rPr>
                <w:b/>
                <w:bCs/>
              </w:rPr>
              <w:t>Key Change</w:t>
            </w:r>
          </w:p>
        </w:tc>
        <w:tc>
          <w:tcPr>
            <w:tcW w:w="7463" w:type="dxa"/>
            <w:shd w:val="clear" w:color="auto" w:fill="C5D3FF"/>
          </w:tcPr>
          <w:p w14:paraId="592321DB" w14:textId="32E4200D" w:rsidR="00874730" w:rsidRPr="00014CA7" w:rsidRDefault="00874730">
            <w:pPr>
              <w:jc w:val="center"/>
              <w:rPr>
                <w:b/>
                <w:bCs/>
              </w:rPr>
            </w:pPr>
            <w:r>
              <w:rPr>
                <w:b/>
                <w:bCs/>
              </w:rPr>
              <w:t>Description &amp; Details</w:t>
            </w:r>
          </w:p>
        </w:tc>
      </w:tr>
      <w:tr w:rsidR="00874730" w14:paraId="3DE396D9" w14:textId="77777777" w:rsidTr="37B022F3">
        <w:trPr>
          <w:trHeight w:val="338"/>
        </w:trPr>
        <w:tc>
          <w:tcPr>
            <w:tcW w:w="3253" w:type="dxa"/>
            <w:vAlign w:val="center"/>
          </w:tcPr>
          <w:p w14:paraId="669E0F9B" w14:textId="2D13EB88" w:rsidR="0094013E" w:rsidRDefault="0094013E" w:rsidP="000E6851">
            <w:pPr>
              <w:widowControl w:val="0"/>
              <w:pBdr>
                <w:top w:val="nil"/>
                <w:left w:val="nil"/>
                <w:bottom w:val="nil"/>
                <w:right w:val="nil"/>
                <w:between w:val="nil"/>
              </w:pBdr>
              <w:jc w:val="center"/>
              <w:rPr>
                <w:b/>
                <w:color w:val="38761D"/>
              </w:rPr>
            </w:pPr>
            <w:r>
              <w:rPr>
                <w:b/>
                <w:color w:val="38761D"/>
              </w:rPr>
              <w:t>Change</w:t>
            </w:r>
          </w:p>
          <w:p w14:paraId="4EC8E5B4" w14:textId="1A54478F" w:rsidR="0069790E" w:rsidRPr="0069790E" w:rsidRDefault="0069790E" w:rsidP="000E6851">
            <w:pPr>
              <w:widowControl w:val="0"/>
              <w:pBdr>
                <w:top w:val="nil"/>
                <w:left w:val="nil"/>
                <w:bottom w:val="nil"/>
                <w:right w:val="nil"/>
                <w:between w:val="nil"/>
              </w:pBdr>
              <w:jc w:val="center"/>
              <w:rPr>
                <w:b/>
              </w:rPr>
            </w:pPr>
            <w:r w:rsidRPr="0069790E">
              <w:rPr>
                <w:b/>
              </w:rPr>
              <w:t>Funding Levels</w:t>
            </w:r>
          </w:p>
          <w:p w14:paraId="4EDE8D84" w14:textId="1453031C" w:rsidR="00874730" w:rsidRDefault="00874730" w:rsidP="000E6851">
            <w:pPr>
              <w:ind w:left="0"/>
              <w:jc w:val="center"/>
            </w:pPr>
          </w:p>
        </w:tc>
        <w:tc>
          <w:tcPr>
            <w:tcW w:w="7463" w:type="dxa"/>
          </w:tcPr>
          <w:p w14:paraId="128389C4" w14:textId="77777777" w:rsidR="00157310" w:rsidRDefault="00FE4889" w:rsidP="0069790E">
            <w:pPr>
              <w:pStyle w:val="ListParagraph"/>
              <w:numPr>
                <w:ilvl w:val="0"/>
                <w:numId w:val="23"/>
              </w:numPr>
            </w:pPr>
            <w:r>
              <w:t>Exploration Supports Language Learner Partnership at the district level increased to $55,000</w:t>
            </w:r>
          </w:p>
          <w:p w14:paraId="6A86FBBC" w14:textId="62F94C05" w:rsidR="00874730" w:rsidRDefault="0069790E" w:rsidP="0069790E">
            <w:pPr>
              <w:pStyle w:val="ListParagraph"/>
              <w:numPr>
                <w:ilvl w:val="0"/>
                <w:numId w:val="23"/>
              </w:numPr>
            </w:pPr>
            <w:r>
              <w:t xml:space="preserve">School Transformation Network shifted to </w:t>
            </w:r>
            <w:r w:rsidR="00157310">
              <w:t xml:space="preserve">$60,000 in Year 1, $60,000 in Year 2, and </w:t>
            </w:r>
            <w:r w:rsidR="00A225D8">
              <w:t>$60,000 in Year 3</w:t>
            </w:r>
            <w:r w:rsidR="00476E86">
              <w:t xml:space="preserve"> for the same total award amount</w:t>
            </w:r>
          </w:p>
          <w:p w14:paraId="66EE6292" w14:textId="407B4C31" w:rsidR="00FE4889" w:rsidRDefault="00FE4889" w:rsidP="0069790E">
            <w:pPr>
              <w:pStyle w:val="ListParagraph"/>
              <w:numPr>
                <w:ilvl w:val="0"/>
                <w:numId w:val="23"/>
              </w:numPr>
            </w:pPr>
            <w:r>
              <w:t>School Turnaround Leadership Development added a maximum award cap of $150,000</w:t>
            </w:r>
            <w:r w:rsidR="29E78E14">
              <w:t xml:space="preserve"> per site</w:t>
            </w:r>
          </w:p>
          <w:p w14:paraId="4AE7E907" w14:textId="2E2A6C95" w:rsidR="00FE4889" w:rsidRDefault="00A225D8" w:rsidP="0069790E">
            <w:pPr>
              <w:pStyle w:val="ListParagraph"/>
              <w:numPr>
                <w:ilvl w:val="0"/>
                <w:numId w:val="23"/>
              </w:numPr>
            </w:pPr>
            <w:r>
              <w:t>Accountability Pathways reduc</w:t>
            </w:r>
            <w:r w:rsidR="00AC06E9">
              <w:t>ed from $100,000 to $80,000 per year</w:t>
            </w:r>
            <w:r w:rsidR="000560A6">
              <w:t xml:space="preserve"> </w:t>
            </w:r>
            <w:r w:rsidR="006D3FFA">
              <w:t>at the school level</w:t>
            </w:r>
          </w:p>
        </w:tc>
      </w:tr>
      <w:tr w:rsidR="00874730" w14:paraId="7C8C9C0B" w14:textId="77777777" w:rsidTr="37B022F3">
        <w:trPr>
          <w:trHeight w:val="338"/>
        </w:trPr>
        <w:tc>
          <w:tcPr>
            <w:tcW w:w="3253" w:type="dxa"/>
            <w:vAlign w:val="center"/>
          </w:tcPr>
          <w:p w14:paraId="4F983A85" w14:textId="2B2357BC" w:rsidR="00476E86" w:rsidRDefault="00476E86" w:rsidP="000E6851">
            <w:pPr>
              <w:widowControl w:val="0"/>
              <w:pBdr>
                <w:top w:val="nil"/>
                <w:left w:val="nil"/>
                <w:bottom w:val="nil"/>
                <w:right w:val="nil"/>
                <w:between w:val="nil"/>
              </w:pBdr>
              <w:jc w:val="center"/>
              <w:rPr>
                <w:b/>
                <w:color w:val="38761D"/>
              </w:rPr>
            </w:pPr>
            <w:r>
              <w:rPr>
                <w:b/>
                <w:color w:val="38761D"/>
              </w:rPr>
              <w:t>Change</w:t>
            </w:r>
          </w:p>
          <w:p w14:paraId="7EE6587B" w14:textId="77777777" w:rsidR="005407D9" w:rsidRDefault="00E64E42" w:rsidP="000E6851">
            <w:pPr>
              <w:widowControl w:val="0"/>
              <w:pBdr>
                <w:top w:val="nil"/>
                <w:left w:val="nil"/>
                <w:bottom w:val="nil"/>
                <w:right w:val="nil"/>
                <w:between w:val="nil"/>
              </w:pBdr>
              <w:jc w:val="center"/>
              <w:rPr>
                <w:b/>
              </w:rPr>
            </w:pPr>
            <w:r>
              <w:rPr>
                <w:b/>
              </w:rPr>
              <w:t>COMTSS</w:t>
            </w:r>
            <w:r w:rsidR="005407D9">
              <w:rPr>
                <w:b/>
              </w:rPr>
              <w:t xml:space="preserve"> and</w:t>
            </w:r>
          </w:p>
          <w:p w14:paraId="1E09E6E5" w14:textId="7EDE6072" w:rsidR="00476E86" w:rsidRPr="0069790E" w:rsidRDefault="005407D9" w:rsidP="000E6851">
            <w:pPr>
              <w:widowControl w:val="0"/>
              <w:pBdr>
                <w:top w:val="nil"/>
                <w:left w:val="nil"/>
                <w:bottom w:val="nil"/>
                <w:right w:val="nil"/>
                <w:between w:val="nil"/>
              </w:pBdr>
              <w:jc w:val="center"/>
              <w:rPr>
                <w:b/>
              </w:rPr>
            </w:pPr>
            <w:r>
              <w:rPr>
                <w:b/>
              </w:rPr>
              <w:t>District Designed &amp; Led</w:t>
            </w:r>
          </w:p>
          <w:p w14:paraId="04486F2D" w14:textId="77777777" w:rsidR="00874730" w:rsidRDefault="00874730" w:rsidP="000E6851">
            <w:pPr>
              <w:ind w:left="0"/>
              <w:jc w:val="center"/>
            </w:pPr>
          </w:p>
        </w:tc>
        <w:tc>
          <w:tcPr>
            <w:tcW w:w="7463" w:type="dxa"/>
          </w:tcPr>
          <w:p w14:paraId="709AB3E8" w14:textId="3A71C3F6" w:rsidR="00874730" w:rsidRDefault="00E64E42" w:rsidP="00E64E42">
            <w:pPr>
              <w:pStyle w:val="ListParagraph"/>
              <w:numPr>
                <w:ilvl w:val="0"/>
                <w:numId w:val="25"/>
              </w:numPr>
            </w:pPr>
            <w:r>
              <w:t xml:space="preserve">Support for Multi-tiered System of Supports </w:t>
            </w:r>
            <w:r w:rsidR="00D347EF">
              <w:t xml:space="preserve">shifted from COMTSS as a standalone support to an option </w:t>
            </w:r>
            <w:r>
              <w:t>under District Designed &amp; Led Major Improvement Strategy offering</w:t>
            </w:r>
          </w:p>
          <w:p w14:paraId="69DDC99E" w14:textId="23FF6A34" w:rsidR="00E64E42" w:rsidRPr="00C15F13" w:rsidRDefault="00E64E42" w:rsidP="00E64E42">
            <w:pPr>
              <w:pStyle w:val="ListParagraph"/>
              <w:numPr>
                <w:ilvl w:val="0"/>
                <w:numId w:val="25"/>
              </w:numPr>
            </w:pPr>
            <w:r>
              <w:t xml:space="preserve">Districts may opt to </w:t>
            </w:r>
            <w:r w:rsidR="00D347EF">
              <w:t>receive support from the COMTSS team</w:t>
            </w:r>
          </w:p>
        </w:tc>
      </w:tr>
      <w:tr w:rsidR="00AC6C33" w14:paraId="2250D8D3" w14:textId="77777777" w:rsidTr="37B022F3">
        <w:trPr>
          <w:trHeight w:val="338"/>
        </w:trPr>
        <w:tc>
          <w:tcPr>
            <w:tcW w:w="3253" w:type="dxa"/>
            <w:vAlign w:val="center"/>
          </w:tcPr>
          <w:p w14:paraId="177F9282" w14:textId="77777777" w:rsidR="000E6851" w:rsidRDefault="00AC6C33" w:rsidP="000E6851">
            <w:pPr>
              <w:widowControl w:val="0"/>
              <w:jc w:val="center"/>
              <w:rPr>
                <w:b/>
                <w:color w:val="38761D"/>
              </w:rPr>
            </w:pPr>
            <w:r>
              <w:rPr>
                <w:b/>
                <w:color w:val="38761D"/>
              </w:rPr>
              <w:t>Change</w:t>
            </w:r>
          </w:p>
          <w:p w14:paraId="0C9D964A" w14:textId="0027F21A" w:rsidR="00AC6C33" w:rsidRPr="000E6851" w:rsidRDefault="00AC6C33" w:rsidP="000E6851">
            <w:pPr>
              <w:widowControl w:val="0"/>
              <w:jc w:val="center"/>
              <w:rPr>
                <w:b/>
                <w:color w:val="073763"/>
              </w:rPr>
            </w:pPr>
            <w:r w:rsidRPr="00494873">
              <w:rPr>
                <w:b/>
              </w:rPr>
              <w:t>CDE Advisory List of Providers</w:t>
            </w:r>
          </w:p>
        </w:tc>
        <w:tc>
          <w:tcPr>
            <w:tcW w:w="7463" w:type="dxa"/>
            <w:vAlign w:val="center"/>
          </w:tcPr>
          <w:p w14:paraId="11BA19C6" w14:textId="5090BFF2" w:rsidR="00AC6C33" w:rsidRPr="00DE3412" w:rsidRDefault="00AC6C33" w:rsidP="00E17A75">
            <w:pPr>
              <w:pStyle w:val="ListParagraph"/>
              <w:widowControl w:val="0"/>
              <w:numPr>
                <w:ilvl w:val="0"/>
                <w:numId w:val="33"/>
              </w:numPr>
              <w:pBdr>
                <w:top w:val="nil"/>
                <w:left w:val="nil"/>
                <w:bottom w:val="nil"/>
                <w:right w:val="nil"/>
                <w:between w:val="nil"/>
              </w:pBdr>
              <w:ind w:right="0"/>
            </w:pPr>
            <w:hyperlink r:id="rId11">
              <w:r w:rsidRPr="00E17A75">
                <w:rPr>
                  <w:color w:val="0E2841" w:themeColor="text2"/>
                  <w:u w:val="single"/>
                </w:rPr>
                <w:t>CDE Advisory List of Providers</w:t>
              </w:r>
            </w:hyperlink>
            <w:r w:rsidRPr="00DE3412">
              <w:t xml:space="preserve"> has been updated for </w:t>
            </w:r>
            <w:r>
              <w:t>2025-26</w:t>
            </w:r>
          </w:p>
          <w:p w14:paraId="149B3BC6" w14:textId="31D04A06" w:rsidR="00AC6C33" w:rsidRPr="00C15F13" w:rsidRDefault="0069790E" w:rsidP="00E17A75">
            <w:pPr>
              <w:pStyle w:val="ListParagraph"/>
              <w:widowControl w:val="0"/>
              <w:numPr>
                <w:ilvl w:val="0"/>
                <w:numId w:val="33"/>
              </w:numPr>
              <w:pBdr>
                <w:top w:val="nil"/>
                <w:left w:val="nil"/>
                <w:bottom w:val="nil"/>
                <w:right w:val="nil"/>
                <w:between w:val="nil"/>
              </w:pBdr>
              <w:ind w:right="0"/>
            </w:pPr>
            <w:r>
              <w:t>The 2025-26 RFI cycle was a full review cycle meaning all providers were required to reapply for service areas</w:t>
            </w:r>
          </w:p>
        </w:tc>
      </w:tr>
      <w:tr w:rsidR="00E17A75" w14:paraId="100F9ABC" w14:textId="77777777" w:rsidTr="37B022F3">
        <w:trPr>
          <w:trHeight w:val="338"/>
        </w:trPr>
        <w:tc>
          <w:tcPr>
            <w:tcW w:w="3253" w:type="dxa"/>
            <w:vAlign w:val="center"/>
          </w:tcPr>
          <w:p w14:paraId="3B0B3FEC" w14:textId="77777777" w:rsidR="005522C7" w:rsidRDefault="00E17A75" w:rsidP="005522C7">
            <w:pPr>
              <w:ind w:left="0"/>
              <w:jc w:val="center"/>
              <w:rPr>
                <w:b/>
                <w:bCs/>
                <w:color w:val="7030A0"/>
              </w:rPr>
            </w:pPr>
            <w:r w:rsidRPr="006318C6">
              <w:rPr>
                <w:b/>
                <w:bCs/>
                <w:color w:val="7030A0"/>
              </w:rPr>
              <w:t>Discontinued</w:t>
            </w:r>
          </w:p>
          <w:p w14:paraId="36503E5D" w14:textId="00864B81" w:rsidR="00E17A75" w:rsidRDefault="00E17A75" w:rsidP="005522C7">
            <w:pPr>
              <w:ind w:left="0"/>
              <w:jc w:val="center"/>
              <w:rPr>
                <w:b/>
                <w:color w:val="38761D"/>
              </w:rPr>
            </w:pPr>
            <w:r w:rsidRPr="006318C6">
              <w:rPr>
                <w:b/>
                <w:bCs/>
              </w:rPr>
              <w:t>Rigorous Action through Redesign</w:t>
            </w:r>
          </w:p>
        </w:tc>
        <w:tc>
          <w:tcPr>
            <w:tcW w:w="7463" w:type="dxa"/>
          </w:tcPr>
          <w:p w14:paraId="32D6F769" w14:textId="77777777" w:rsidR="00E17A75" w:rsidRDefault="00E17A75" w:rsidP="00E17A75">
            <w:pPr>
              <w:pStyle w:val="ListParagraph"/>
              <w:numPr>
                <w:ilvl w:val="0"/>
                <w:numId w:val="32"/>
              </w:numPr>
            </w:pPr>
            <w:r>
              <w:t>Rigorous Action through Redesign has been discontinued as a support</w:t>
            </w:r>
          </w:p>
          <w:p w14:paraId="3F753F71" w14:textId="7BDE4178" w:rsidR="00E17A75" w:rsidRDefault="00E17A75" w:rsidP="00E17A75">
            <w:pPr>
              <w:pStyle w:val="ListParagraph"/>
              <w:widowControl w:val="0"/>
              <w:numPr>
                <w:ilvl w:val="0"/>
                <w:numId w:val="32"/>
              </w:numPr>
              <w:pBdr>
                <w:top w:val="nil"/>
                <w:left w:val="nil"/>
                <w:bottom w:val="nil"/>
                <w:right w:val="nil"/>
                <w:between w:val="nil"/>
              </w:pBdr>
              <w:ind w:right="0"/>
            </w:pPr>
            <w:r>
              <w:t>Current grantees from EASI Cohort 7 and EASI Cohort 8 will continue through the awarded grant cycle, but no new grantees will be awarded in EASI Cohort 9</w:t>
            </w:r>
          </w:p>
        </w:tc>
      </w:tr>
      <w:tr w:rsidR="00E17A75" w14:paraId="7BF5BF6D" w14:textId="77777777" w:rsidTr="37B022F3">
        <w:trPr>
          <w:trHeight w:val="338"/>
        </w:trPr>
        <w:tc>
          <w:tcPr>
            <w:tcW w:w="3253" w:type="dxa"/>
            <w:vAlign w:val="center"/>
          </w:tcPr>
          <w:p w14:paraId="7AF4F021" w14:textId="77777777" w:rsidR="000E6851" w:rsidRDefault="00E17A75" w:rsidP="000E6851">
            <w:pPr>
              <w:widowControl w:val="0"/>
              <w:pBdr>
                <w:top w:val="nil"/>
                <w:left w:val="nil"/>
                <w:bottom w:val="nil"/>
                <w:right w:val="nil"/>
                <w:between w:val="nil"/>
              </w:pBdr>
              <w:jc w:val="center"/>
              <w:rPr>
                <w:b/>
                <w:color w:val="073763"/>
              </w:rPr>
            </w:pPr>
            <w:r>
              <w:rPr>
                <w:b/>
                <w:color w:val="073763"/>
              </w:rPr>
              <w:t>New</w:t>
            </w:r>
          </w:p>
          <w:p w14:paraId="785A0E24" w14:textId="79A99CE5" w:rsidR="00E17A75" w:rsidRPr="000E6851" w:rsidRDefault="00E17A75" w:rsidP="000E6851">
            <w:pPr>
              <w:widowControl w:val="0"/>
              <w:pBdr>
                <w:top w:val="nil"/>
                <w:left w:val="nil"/>
                <w:bottom w:val="nil"/>
                <w:right w:val="nil"/>
                <w:between w:val="nil"/>
              </w:pBdr>
              <w:jc w:val="center"/>
              <w:rPr>
                <w:b/>
                <w:color w:val="073763"/>
              </w:rPr>
            </w:pPr>
            <w:r>
              <w:rPr>
                <w:b/>
                <w:bCs/>
              </w:rPr>
              <w:t>Offered Services: Foundations for Accelerated Improvement</w:t>
            </w:r>
          </w:p>
          <w:p w14:paraId="6D2A0FD0" w14:textId="60B8DCF9" w:rsidR="00E17A75" w:rsidRPr="00494873" w:rsidRDefault="00E17A75" w:rsidP="000E6851">
            <w:pPr>
              <w:ind w:left="0"/>
              <w:jc w:val="center"/>
              <w:rPr>
                <w:b/>
                <w:bCs/>
              </w:rPr>
            </w:pPr>
          </w:p>
        </w:tc>
        <w:tc>
          <w:tcPr>
            <w:tcW w:w="7463" w:type="dxa"/>
          </w:tcPr>
          <w:p w14:paraId="7EF88A7A" w14:textId="129B37D3" w:rsidR="00E17A75" w:rsidRDefault="00E17A75" w:rsidP="00E17A75">
            <w:pPr>
              <w:pStyle w:val="ListParagraph"/>
              <w:numPr>
                <w:ilvl w:val="0"/>
                <w:numId w:val="28"/>
              </w:numPr>
              <w:spacing w:after="160"/>
            </w:pPr>
            <w:hyperlink r:id="rId12" w:history="1">
              <w:r w:rsidRPr="00E17A75">
                <w:rPr>
                  <w:rStyle w:val="URLChar"/>
                  <w:color w:val="153D63" w:themeColor="text2" w:themeTint="E6"/>
                </w:rPr>
                <w:t>Foundations for Accelerated Improvement</w:t>
              </w:r>
            </w:hyperlink>
            <w:r w:rsidRPr="009313F4">
              <w:t xml:space="preserve"> is a new support for</w:t>
            </w:r>
            <w:r w:rsidRPr="009313F4">
              <w:rPr>
                <w:b/>
                <w:bCs/>
              </w:rPr>
              <w:t xml:space="preserve"> </w:t>
            </w:r>
            <w:r>
              <w:t>EASI Cohort 9</w:t>
            </w:r>
          </w:p>
          <w:p w14:paraId="5C62C2E0" w14:textId="4534031F" w:rsidR="00006A50" w:rsidRDefault="00E17A75" w:rsidP="00646638">
            <w:pPr>
              <w:pStyle w:val="ListParagraph"/>
              <w:numPr>
                <w:ilvl w:val="0"/>
                <w:numId w:val="28"/>
              </w:numPr>
            </w:pPr>
            <w:r>
              <w:t xml:space="preserve">School-level support specifically designed for state identified schools in Year 2 and Year 3 </w:t>
            </w:r>
          </w:p>
          <w:p w14:paraId="740AB71D" w14:textId="7587622D" w:rsidR="00A8048D" w:rsidRDefault="00873225" w:rsidP="00646638">
            <w:pPr>
              <w:pStyle w:val="ListParagraph"/>
              <w:numPr>
                <w:ilvl w:val="0"/>
                <w:numId w:val="28"/>
              </w:numPr>
            </w:pPr>
            <w:r>
              <w:t>ESSA identified school</w:t>
            </w:r>
            <w:r w:rsidR="00D21DE8">
              <w:t>s</w:t>
            </w:r>
            <w:r>
              <w:t xml:space="preserve"> are not eligible at this time</w:t>
            </w:r>
          </w:p>
          <w:p w14:paraId="01AD99E6" w14:textId="15E33F50" w:rsidR="00FC65F9" w:rsidRPr="00C15F13" w:rsidRDefault="008D628D" w:rsidP="00E17A75">
            <w:pPr>
              <w:pStyle w:val="ListParagraph"/>
              <w:numPr>
                <w:ilvl w:val="0"/>
                <w:numId w:val="28"/>
              </w:numPr>
            </w:pPr>
            <w:r>
              <w:t>Funding</w:t>
            </w:r>
            <w:r w:rsidR="00006A50">
              <w:t xml:space="preserve"> for $180,000 over three years</w:t>
            </w:r>
            <w:r w:rsidR="00E15876">
              <w:t>, $60,000 per year</w:t>
            </w:r>
          </w:p>
        </w:tc>
      </w:tr>
      <w:tr w:rsidR="00E17A75" w14:paraId="1039DBA6" w14:textId="77777777" w:rsidTr="37B022F3">
        <w:trPr>
          <w:trHeight w:val="338"/>
        </w:trPr>
        <w:tc>
          <w:tcPr>
            <w:tcW w:w="3253" w:type="dxa"/>
            <w:vAlign w:val="center"/>
          </w:tcPr>
          <w:p w14:paraId="764220FB" w14:textId="77777777" w:rsidR="00E17A75" w:rsidRDefault="00E17A75" w:rsidP="000E6851">
            <w:pPr>
              <w:widowControl w:val="0"/>
              <w:pBdr>
                <w:top w:val="nil"/>
                <w:left w:val="nil"/>
                <w:bottom w:val="nil"/>
                <w:right w:val="nil"/>
                <w:between w:val="nil"/>
              </w:pBdr>
              <w:jc w:val="center"/>
              <w:rPr>
                <w:b/>
                <w:color w:val="073763"/>
              </w:rPr>
            </w:pPr>
            <w:r>
              <w:rPr>
                <w:b/>
                <w:color w:val="073763"/>
              </w:rPr>
              <w:t>New</w:t>
            </w:r>
          </w:p>
          <w:p w14:paraId="2F485B7C" w14:textId="2B134CCA" w:rsidR="00E17A75" w:rsidRPr="00991A1D" w:rsidRDefault="00E17A75" w:rsidP="000E6851">
            <w:pPr>
              <w:widowControl w:val="0"/>
              <w:pBdr>
                <w:top w:val="nil"/>
                <w:left w:val="nil"/>
                <w:bottom w:val="nil"/>
                <w:right w:val="nil"/>
                <w:between w:val="nil"/>
              </w:pBdr>
              <w:jc w:val="center"/>
              <w:rPr>
                <w:b/>
              </w:rPr>
            </w:pPr>
            <w:r>
              <w:rPr>
                <w:b/>
              </w:rPr>
              <w:t xml:space="preserve">Other Services: </w:t>
            </w:r>
            <w:r w:rsidRPr="009313F4">
              <w:rPr>
                <w:b/>
                <w:color w:val="153D63" w:themeColor="text2" w:themeTint="E6"/>
              </w:rPr>
              <w:t>Targeted Professional Learning</w:t>
            </w:r>
          </w:p>
        </w:tc>
        <w:tc>
          <w:tcPr>
            <w:tcW w:w="7463" w:type="dxa"/>
          </w:tcPr>
          <w:p w14:paraId="27C9CE2F" w14:textId="5A5EC100" w:rsidR="00E17A75" w:rsidRDefault="00E17A75" w:rsidP="00441F17">
            <w:pPr>
              <w:pStyle w:val="ListParagraph"/>
              <w:numPr>
                <w:ilvl w:val="0"/>
                <w:numId w:val="27"/>
              </w:numPr>
              <w:spacing w:after="160"/>
            </w:pPr>
            <w:hyperlink r:id="rId13" w:history="1">
              <w:r w:rsidRPr="00D21DE8">
                <w:rPr>
                  <w:rStyle w:val="URLChar"/>
                </w:rPr>
                <w:t>Targeted Professional Learning</w:t>
              </w:r>
            </w:hyperlink>
            <w:r w:rsidRPr="009313F4">
              <w:rPr>
                <w:color w:val="153D63" w:themeColor="text2" w:themeTint="E6"/>
              </w:rPr>
              <w:t xml:space="preserve"> </w:t>
            </w:r>
            <w:r>
              <w:t xml:space="preserve">is a new support </w:t>
            </w:r>
            <w:r w:rsidR="00D91FFF">
              <w:t xml:space="preserve">offering </w:t>
            </w:r>
            <w:r w:rsidR="00441F17">
              <w:t>short</w:t>
            </w:r>
            <w:r w:rsidR="00D91FFF">
              <w:t>-term support for school staff to attend an approved targeted professional learning option</w:t>
            </w:r>
            <w:r w:rsidR="00441F17">
              <w:t xml:space="preserve"> (see</w:t>
            </w:r>
            <w:r w:rsidR="00441F17" w:rsidRPr="007A6F64">
              <w:rPr>
                <w:rStyle w:val="URLChar"/>
                <w:color w:val="153D63" w:themeColor="text2" w:themeTint="E6"/>
              </w:rPr>
              <w:t xml:space="preserve"> </w:t>
            </w:r>
            <w:hyperlink r:id="rId14" w:history="1">
              <w:r w:rsidR="00441F17" w:rsidRPr="007A6F64">
                <w:rPr>
                  <w:rStyle w:val="URLChar"/>
                  <w:color w:val="153D63" w:themeColor="text2" w:themeTint="E6"/>
                </w:rPr>
                <w:t>CDE Advisory List of Providers</w:t>
              </w:r>
            </w:hyperlink>
            <w:r w:rsidR="00441F17">
              <w:t>)</w:t>
            </w:r>
          </w:p>
          <w:p w14:paraId="16C6EE88" w14:textId="0C763ED1" w:rsidR="00E17A75" w:rsidRDefault="00172D10" w:rsidP="00441F17">
            <w:pPr>
              <w:pStyle w:val="ListParagraph"/>
              <w:numPr>
                <w:ilvl w:val="0"/>
                <w:numId w:val="27"/>
              </w:numPr>
            </w:pPr>
            <w:r>
              <w:t>Funding to cover costs of the selected professional learning option</w:t>
            </w:r>
            <w:r w:rsidR="00441F17">
              <w:t xml:space="preserve"> and related materials</w:t>
            </w:r>
            <w:r w:rsidR="7BA382C3">
              <w:t>.</w:t>
            </w:r>
            <w:r>
              <w:t xml:space="preserve"> </w:t>
            </w:r>
            <w:r w:rsidR="00E17A75">
              <w:t xml:space="preserve">Targeted Professional Learning options are focused on specific areas aligned to the Four Domains for Rapid School Improvement and </w:t>
            </w:r>
            <w:hyperlink r:id="rId15" w:history="1">
              <w:r w:rsidR="00E17A75" w:rsidRPr="00D21DE8">
                <w:rPr>
                  <w:rStyle w:val="URLChar"/>
                </w:rPr>
                <w:t>CDE’s Strategic Plan (2025-28) Priorities</w:t>
              </w:r>
            </w:hyperlink>
          </w:p>
          <w:p w14:paraId="0E3B539D" w14:textId="11EB6A96" w:rsidR="008D3219" w:rsidRDefault="00FF35CE" w:rsidP="00441F17">
            <w:pPr>
              <w:pStyle w:val="ListParagraph"/>
              <w:numPr>
                <w:ilvl w:val="0"/>
                <w:numId w:val="27"/>
              </w:numPr>
            </w:pPr>
            <w:r>
              <w:t>A s</w:t>
            </w:r>
            <w:r w:rsidR="008D3219">
              <w:t>chool</w:t>
            </w:r>
            <w:r w:rsidR="00DE52C7">
              <w:t xml:space="preserve"> l</w:t>
            </w:r>
            <w:r w:rsidR="008D3219">
              <w:t>evel support limited to one professional learning option per school</w:t>
            </w:r>
          </w:p>
          <w:p w14:paraId="05EA7FEA" w14:textId="3A32C28B" w:rsidR="00220660" w:rsidRPr="00C15F13" w:rsidRDefault="00220660" w:rsidP="00441F17">
            <w:pPr>
              <w:pStyle w:val="ListParagraph"/>
              <w:numPr>
                <w:ilvl w:val="0"/>
                <w:numId w:val="27"/>
              </w:numPr>
            </w:pPr>
            <w:r>
              <w:t>Greater availability of federal funding and ESSA identified schools with low prioritization are encouraged to apply</w:t>
            </w:r>
          </w:p>
        </w:tc>
      </w:tr>
      <w:tr w:rsidR="00E17A75" w14:paraId="088B5051" w14:textId="77777777" w:rsidTr="37B022F3">
        <w:trPr>
          <w:trHeight w:val="338"/>
        </w:trPr>
        <w:tc>
          <w:tcPr>
            <w:tcW w:w="3253" w:type="dxa"/>
            <w:vAlign w:val="center"/>
          </w:tcPr>
          <w:p w14:paraId="6394D8AA" w14:textId="7285F30A" w:rsidR="00E17A75" w:rsidRDefault="00E17A75" w:rsidP="000E6851">
            <w:pPr>
              <w:widowControl w:val="0"/>
              <w:pBdr>
                <w:top w:val="nil"/>
                <w:left w:val="nil"/>
                <w:bottom w:val="nil"/>
                <w:right w:val="nil"/>
                <w:between w:val="nil"/>
              </w:pBdr>
              <w:jc w:val="center"/>
              <w:rPr>
                <w:b/>
                <w:color w:val="073763"/>
              </w:rPr>
            </w:pPr>
            <w:r>
              <w:rPr>
                <w:b/>
                <w:color w:val="073763"/>
              </w:rPr>
              <w:t>New</w:t>
            </w:r>
          </w:p>
          <w:p w14:paraId="2E884369" w14:textId="25450928" w:rsidR="00E17A75" w:rsidRPr="00AC06E9" w:rsidRDefault="00E17A75" w:rsidP="000E6851">
            <w:pPr>
              <w:widowControl w:val="0"/>
              <w:pBdr>
                <w:top w:val="nil"/>
                <w:left w:val="nil"/>
                <w:bottom w:val="nil"/>
                <w:right w:val="nil"/>
                <w:between w:val="nil"/>
              </w:pBdr>
              <w:jc w:val="center"/>
              <w:rPr>
                <w:b/>
              </w:rPr>
            </w:pPr>
            <w:r w:rsidRPr="00AC06E9">
              <w:rPr>
                <w:b/>
              </w:rPr>
              <w:t xml:space="preserve">Accountability Pathways </w:t>
            </w:r>
            <w:r>
              <w:rPr>
                <w:b/>
              </w:rPr>
              <w:t>RF</w:t>
            </w:r>
            <w:r w:rsidRPr="00AC06E9">
              <w:rPr>
                <w:b/>
              </w:rPr>
              <w:t>P</w:t>
            </w:r>
          </w:p>
          <w:p w14:paraId="085148C6" w14:textId="77777777" w:rsidR="00E17A75" w:rsidRDefault="00E17A75" w:rsidP="000E6851">
            <w:pPr>
              <w:widowControl w:val="0"/>
              <w:pBdr>
                <w:top w:val="nil"/>
                <w:left w:val="nil"/>
                <w:bottom w:val="nil"/>
                <w:right w:val="nil"/>
                <w:between w:val="nil"/>
              </w:pBdr>
              <w:jc w:val="center"/>
              <w:rPr>
                <w:b/>
                <w:color w:val="073763"/>
              </w:rPr>
            </w:pPr>
          </w:p>
        </w:tc>
        <w:tc>
          <w:tcPr>
            <w:tcW w:w="7463" w:type="dxa"/>
          </w:tcPr>
          <w:p w14:paraId="1C56A380" w14:textId="79FF7B4E" w:rsidR="00E17A75" w:rsidRDefault="00E17A75" w:rsidP="00E17A75">
            <w:pPr>
              <w:pStyle w:val="ListParagraph"/>
              <w:numPr>
                <w:ilvl w:val="0"/>
                <w:numId w:val="27"/>
              </w:numPr>
            </w:pPr>
            <w:r>
              <w:t>In Colorado’s 2025 regular legislative session, SB25-218 granted CDE the ability to contract with a public or private entity to provide permissible grant uses to multiple school districts or charter schools eligible for the state EASI grant funding. With this new option, CDE plans to conduct a request for proposals (RFP) to support schools otherwise eligible for Accountability Pathways funding</w:t>
            </w:r>
          </w:p>
          <w:p w14:paraId="3FABF1C0" w14:textId="6F6FFC9B" w:rsidR="004F4034" w:rsidRDefault="002443A4" w:rsidP="00E17A75">
            <w:pPr>
              <w:pStyle w:val="ListParagraph"/>
              <w:numPr>
                <w:ilvl w:val="0"/>
                <w:numId w:val="27"/>
              </w:numPr>
            </w:pPr>
            <w:r>
              <w:t xml:space="preserve">Additional support offered through the </w:t>
            </w:r>
            <w:r w:rsidR="000D2EA7">
              <w:t>contracted services</w:t>
            </w:r>
            <w:r w:rsidR="00732CD1">
              <w:t xml:space="preserve"> </w:t>
            </w:r>
            <w:r w:rsidR="004F4034">
              <w:t xml:space="preserve">resulting from the RFP </w:t>
            </w:r>
            <w:r w:rsidR="009C634C">
              <w:t xml:space="preserve">will </w:t>
            </w:r>
            <w:r w:rsidR="004F4034">
              <w:t>offset</w:t>
            </w:r>
            <w:r w:rsidR="009C634C">
              <w:t xml:space="preserve"> the decrease in maximum award amount per school for Accountability Pathways</w:t>
            </w:r>
          </w:p>
          <w:p w14:paraId="31619B30" w14:textId="2FF55F3F" w:rsidR="00684B62" w:rsidRPr="00C15F13" w:rsidRDefault="004F4034" w:rsidP="004F4034">
            <w:pPr>
              <w:pStyle w:val="ListParagraph"/>
              <w:numPr>
                <w:ilvl w:val="0"/>
                <w:numId w:val="27"/>
              </w:numPr>
              <w:spacing w:after="160"/>
            </w:pPr>
            <w:r>
              <w:t>Expected to offer services to eligible schools and districts in addition to EASI grant funds starting in 2026-27</w:t>
            </w:r>
            <w:r w:rsidR="00446FB2">
              <w:t xml:space="preserve"> </w:t>
            </w:r>
          </w:p>
        </w:tc>
      </w:tr>
    </w:tbl>
    <w:p w14:paraId="3C9CB4F7" w14:textId="77777777" w:rsidR="00143C57" w:rsidRDefault="00143C57" w:rsidP="0089375E">
      <w:pPr>
        <w:pStyle w:val="Heading2"/>
      </w:pPr>
    </w:p>
    <w:p w14:paraId="017D0570" w14:textId="77777777" w:rsidR="005F4B96" w:rsidRPr="00C57017" w:rsidRDefault="005F4B96" w:rsidP="00790B05">
      <w:pPr>
        <w:rPr>
          <w:sz w:val="20"/>
          <w:szCs w:val="20"/>
        </w:rPr>
      </w:pPr>
    </w:p>
    <w:sectPr w:rsidR="005F4B96" w:rsidRPr="00C57017" w:rsidSect="007818E3">
      <w:headerReference w:type="default" r:id="rId16"/>
      <w:footerReference w:type="default" r:id="rId17"/>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BC1D" w14:textId="77777777" w:rsidR="00126D05" w:rsidRDefault="00126D05" w:rsidP="00271BD6">
      <w:pPr>
        <w:spacing w:after="0"/>
      </w:pPr>
      <w:r>
        <w:separator/>
      </w:r>
    </w:p>
  </w:endnote>
  <w:endnote w:type="continuationSeparator" w:id="0">
    <w:p w14:paraId="04C67404" w14:textId="77777777" w:rsidR="00126D05" w:rsidRDefault="00126D05" w:rsidP="00271BD6">
      <w:pPr>
        <w:spacing w:after="0"/>
      </w:pPr>
      <w:r>
        <w:continuationSeparator/>
      </w:r>
    </w:p>
  </w:endnote>
  <w:endnote w:type="continuationNotice" w:id="1">
    <w:p w14:paraId="34FC2C14" w14:textId="77777777" w:rsidR="00126D05" w:rsidRDefault="00126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3D830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60145B5" w:rsidR="00271BD6" w:rsidRPr="003277FB" w:rsidRDefault="00880436" w:rsidP="00880436">
    <w:pPr>
      <w:pStyle w:val="Footer"/>
      <w:jc w:val="right"/>
      <w:rPr>
        <w:sz w:val="20"/>
        <w:szCs w:val="18"/>
      </w:rPr>
    </w:pPr>
    <w:r w:rsidRPr="003277FB">
      <w:rPr>
        <w:sz w:val="20"/>
        <w:szCs w:val="18"/>
      </w:rPr>
      <w:t xml:space="preserve">EASI Cohort 9 </w:t>
    </w:r>
    <w:r w:rsidR="00C61269">
      <w:rPr>
        <w:sz w:val="20"/>
        <w:szCs w:val="18"/>
      </w:rPr>
      <w:t>What’s New to EASI?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E176" w14:textId="77777777" w:rsidR="00126D05" w:rsidRDefault="00126D05" w:rsidP="00271BD6">
      <w:pPr>
        <w:spacing w:after="0"/>
      </w:pPr>
      <w:r>
        <w:separator/>
      </w:r>
    </w:p>
  </w:footnote>
  <w:footnote w:type="continuationSeparator" w:id="0">
    <w:p w14:paraId="4526B7B5" w14:textId="77777777" w:rsidR="00126D05" w:rsidRDefault="00126D05" w:rsidP="00271BD6">
      <w:pPr>
        <w:spacing w:after="0"/>
      </w:pPr>
      <w:r>
        <w:continuationSeparator/>
      </w:r>
    </w:p>
  </w:footnote>
  <w:footnote w:type="continuationNotice" w:id="1">
    <w:p w14:paraId="5289EC98" w14:textId="77777777" w:rsidR="00126D05" w:rsidRDefault="00126D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5DB"/>
    <w:multiLevelType w:val="hybridMultilevel"/>
    <w:tmpl w:val="4AEA5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C2837"/>
    <w:multiLevelType w:val="hybridMultilevel"/>
    <w:tmpl w:val="1D4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34E85"/>
    <w:multiLevelType w:val="hybridMultilevel"/>
    <w:tmpl w:val="36BC3F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B927E7"/>
    <w:multiLevelType w:val="hybridMultilevel"/>
    <w:tmpl w:val="28D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654098"/>
    <w:multiLevelType w:val="multilevel"/>
    <w:tmpl w:val="80AA9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0E5195"/>
    <w:multiLevelType w:val="multilevel"/>
    <w:tmpl w:val="13CA85B4"/>
    <w:lvl w:ilvl="0">
      <w:start w:val="1"/>
      <w:numFmt w:val="bullet"/>
      <w:lvlText w:val="-"/>
      <w:lvlJc w:val="left"/>
      <w:pPr>
        <w:ind w:left="288" w:hanging="216"/>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642B72"/>
    <w:multiLevelType w:val="multilevel"/>
    <w:tmpl w:val="FB6AD1B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540F34"/>
    <w:multiLevelType w:val="hybridMultilevel"/>
    <w:tmpl w:val="01C09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F0444F"/>
    <w:multiLevelType w:val="hybridMultilevel"/>
    <w:tmpl w:val="9F42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C742B1"/>
    <w:multiLevelType w:val="hybridMultilevel"/>
    <w:tmpl w:val="9E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B951F3"/>
    <w:multiLevelType w:val="hybridMultilevel"/>
    <w:tmpl w:val="2C04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169F3"/>
    <w:multiLevelType w:val="hybridMultilevel"/>
    <w:tmpl w:val="89A6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3" w15:restartNumberingAfterBreak="0">
    <w:nsid w:val="5C0A3B66"/>
    <w:multiLevelType w:val="hybridMultilevel"/>
    <w:tmpl w:val="D29E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391765F"/>
    <w:multiLevelType w:val="hybridMultilevel"/>
    <w:tmpl w:val="C4A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8"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40F1F"/>
    <w:multiLevelType w:val="multilevel"/>
    <w:tmpl w:val="9DB2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B42712"/>
    <w:multiLevelType w:val="hybridMultilevel"/>
    <w:tmpl w:val="344A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5"/>
  </w:num>
  <w:num w:numId="2" w16cid:durableId="79181208">
    <w:abstractNumId w:val="16"/>
  </w:num>
  <w:num w:numId="3" w16cid:durableId="1824464553">
    <w:abstractNumId w:val="24"/>
  </w:num>
  <w:num w:numId="4" w16cid:durableId="1143422764">
    <w:abstractNumId w:val="13"/>
  </w:num>
  <w:num w:numId="5" w16cid:durableId="1143352235">
    <w:abstractNumId w:val="28"/>
  </w:num>
  <w:num w:numId="6" w16cid:durableId="594090659">
    <w:abstractNumId w:val="3"/>
  </w:num>
  <w:num w:numId="7" w16cid:durableId="1681077803">
    <w:abstractNumId w:val="17"/>
  </w:num>
  <w:num w:numId="8" w16cid:durableId="824278731">
    <w:abstractNumId w:val="31"/>
  </w:num>
  <w:num w:numId="9" w16cid:durableId="1234313799">
    <w:abstractNumId w:val="12"/>
  </w:num>
  <w:num w:numId="10" w16cid:durableId="790441336">
    <w:abstractNumId w:val="22"/>
  </w:num>
  <w:num w:numId="11" w16cid:durableId="709956776">
    <w:abstractNumId w:val="6"/>
  </w:num>
  <w:num w:numId="12" w16cid:durableId="454249301">
    <w:abstractNumId w:val="27"/>
  </w:num>
  <w:num w:numId="13" w16cid:durableId="2009022099">
    <w:abstractNumId w:val="14"/>
  </w:num>
  <w:num w:numId="14" w16cid:durableId="1842693230">
    <w:abstractNumId w:val="29"/>
  </w:num>
  <w:num w:numId="15" w16cid:durableId="667757076">
    <w:abstractNumId w:val="30"/>
  </w:num>
  <w:num w:numId="16" w16cid:durableId="1579708068">
    <w:abstractNumId w:val="21"/>
  </w:num>
  <w:num w:numId="17" w16cid:durableId="262227811">
    <w:abstractNumId w:val="18"/>
  </w:num>
  <w:num w:numId="18" w16cid:durableId="1237321533">
    <w:abstractNumId w:val="26"/>
  </w:num>
  <w:num w:numId="19" w16cid:durableId="462311051">
    <w:abstractNumId w:val="8"/>
  </w:num>
  <w:num w:numId="20" w16cid:durableId="2079088162">
    <w:abstractNumId w:val="9"/>
  </w:num>
  <w:num w:numId="21" w16cid:durableId="1765565149">
    <w:abstractNumId w:val="2"/>
  </w:num>
  <w:num w:numId="22" w16cid:durableId="2095935987">
    <w:abstractNumId w:val="7"/>
  </w:num>
  <w:num w:numId="23" w16cid:durableId="1466389651">
    <w:abstractNumId w:val="25"/>
  </w:num>
  <w:num w:numId="24" w16cid:durableId="1321495672">
    <w:abstractNumId w:val="4"/>
  </w:num>
  <w:num w:numId="25" w16cid:durableId="705789109">
    <w:abstractNumId w:val="1"/>
  </w:num>
  <w:num w:numId="26" w16cid:durableId="1961181222">
    <w:abstractNumId w:val="11"/>
  </w:num>
  <w:num w:numId="27" w16cid:durableId="406924652">
    <w:abstractNumId w:val="20"/>
  </w:num>
  <w:num w:numId="28" w16cid:durableId="1051463246">
    <w:abstractNumId w:val="33"/>
  </w:num>
  <w:num w:numId="29" w16cid:durableId="1068186116">
    <w:abstractNumId w:val="23"/>
  </w:num>
  <w:num w:numId="30" w16cid:durableId="1935287449">
    <w:abstractNumId w:val="10"/>
  </w:num>
  <w:num w:numId="31" w16cid:durableId="1791321698">
    <w:abstractNumId w:val="0"/>
  </w:num>
  <w:num w:numId="32" w16cid:durableId="1412661228">
    <w:abstractNumId w:val="19"/>
  </w:num>
  <w:num w:numId="33" w16cid:durableId="1751732311">
    <w:abstractNumId w:val="15"/>
  </w:num>
  <w:num w:numId="34" w16cid:durableId="17213924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6A50"/>
    <w:rsid w:val="00014CA7"/>
    <w:rsid w:val="000158F6"/>
    <w:rsid w:val="000217B3"/>
    <w:rsid w:val="00025406"/>
    <w:rsid w:val="00025F79"/>
    <w:rsid w:val="000359E9"/>
    <w:rsid w:val="000368D0"/>
    <w:rsid w:val="00042C62"/>
    <w:rsid w:val="0004478E"/>
    <w:rsid w:val="00053376"/>
    <w:rsid w:val="000560A6"/>
    <w:rsid w:val="000577D2"/>
    <w:rsid w:val="00060CCE"/>
    <w:rsid w:val="0006283C"/>
    <w:rsid w:val="00062C3F"/>
    <w:rsid w:val="00067A71"/>
    <w:rsid w:val="00070310"/>
    <w:rsid w:val="000716AA"/>
    <w:rsid w:val="000771F3"/>
    <w:rsid w:val="000803B8"/>
    <w:rsid w:val="0008196B"/>
    <w:rsid w:val="00087158"/>
    <w:rsid w:val="00090426"/>
    <w:rsid w:val="0009297E"/>
    <w:rsid w:val="00093FD9"/>
    <w:rsid w:val="00096FF1"/>
    <w:rsid w:val="000A6071"/>
    <w:rsid w:val="000B206A"/>
    <w:rsid w:val="000B3373"/>
    <w:rsid w:val="000D2EA7"/>
    <w:rsid w:val="000E2D85"/>
    <w:rsid w:val="000E4B55"/>
    <w:rsid w:val="000E6851"/>
    <w:rsid w:val="000F0D43"/>
    <w:rsid w:val="000F1B9D"/>
    <w:rsid w:val="000F5076"/>
    <w:rsid w:val="00102301"/>
    <w:rsid w:val="00107CB1"/>
    <w:rsid w:val="00110A12"/>
    <w:rsid w:val="001139F2"/>
    <w:rsid w:val="001145C9"/>
    <w:rsid w:val="001156C3"/>
    <w:rsid w:val="00126AD2"/>
    <w:rsid w:val="00126D05"/>
    <w:rsid w:val="001338C5"/>
    <w:rsid w:val="00134438"/>
    <w:rsid w:val="001371AE"/>
    <w:rsid w:val="001401F7"/>
    <w:rsid w:val="00143C57"/>
    <w:rsid w:val="00145913"/>
    <w:rsid w:val="00155A5C"/>
    <w:rsid w:val="00157310"/>
    <w:rsid w:val="00172D10"/>
    <w:rsid w:val="00184187"/>
    <w:rsid w:val="001856AB"/>
    <w:rsid w:val="00187640"/>
    <w:rsid w:val="00190668"/>
    <w:rsid w:val="00194D04"/>
    <w:rsid w:val="00196811"/>
    <w:rsid w:val="001A0C61"/>
    <w:rsid w:val="001B470F"/>
    <w:rsid w:val="001C089B"/>
    <w:rsid w:val="001E3AA7"/>
    <w:rsid w:val="001E538F"/>
    <w:rsid w:val="001E5A3E"/>
    <w:rsid w:val="001F0205"/>
    <w:rsid w:val="001F5D88"/>
    <w:rsid w:val="00204477"/>
    <w:rsid w:val="002045EA"/>
    <w:rsid w:val="002070A9"/>
    <w:rsid w:val="00210D2E"/>
    <w:rsid w:val="00211A25"/>
    <w:rsid w:val="00220348"/>
    <w:rsid w:val="00220660"/>
    <w:rsid w:val="00227D1B"/>
    <w:rsid w:val="00241458"/>
    <w:rsid w:val="002443A4"/>
    <w:rsid w:val="00247222"/>
    <w:rsid w:val="00257995"/>
    <w:rsid w:val="00263FDA"/>
    <w:rsid w:val="00271BD6"/>
    <w:rsid w:val="002866C2"/>
    <w:rsid w:val="00292D7B"/>
    <w:rsid w:val="002933D8"/>
    <w:rsid w:val="00293853"/>
    <w:rsid w:val="002A2743"/>
    <w:rsid w:val="002B28E3"/>
    <w:rsid w:val="002B44CF"/>
    <w:rsid w:val="002B6436"/>
    <w:rsid w:val="002B7202"/>
    <w:rsid w:val="002C2194"/>
    <w:rsid w:val="002D2823"/>
    <w:rsid w:val="002E41BC"/>
    <w:rsid w:val="003034AB"/>
    <w:rsid w:val="003047AA"/>
    <w:rsid w:val="00311D96"/>
    <w:rsid w:val="00326AD2"/>
    <w:rsid w:val="003277FB"/>
    <w:rsid w:val="00330E00"/>
    <w:rsid w:val="00331D4C"/>
    <w:rsid w:val="00331F84"/>
    <w:rsid w:val="003379EB"/>
    <w:rsid w:val="00340354"/>
    <w:rsid w:val="0034071F"/>
    <w:rsid w:val="00342357"/>
    <w:rsid w:val="00347913"/>
    <w:rsid w:val="00347FC5"/>
    <w:rsid w:val="00350B15"/>
    <w:rsid w:val="00352B2B"/>
    <w:rsid w:val="00363E36"/>
    <w:rsid w:val="00370A93"/>
    <w:rsid w:val="00372982"/>
    <w:rsid w:val="00376600"/>
    <w:rsid w:val="00382550"/>
    <w:rsid w:val="00385B40"/>
    <w:rsid w:val="00391E35"/>
    <w:rsid w:val="00392ED1"/>
    <w:rsid w:val="003A1E43"/>
    <w:rsid w:val="003C1EE2"/>
    <w:rsid w:val="003C1FD2"/>
    <w:rsid w:val="003D5783"/>
    <w:rsid w:val="003D6325"/>
    <w:rsid w:val="003E5688"/>
    <w:rsid w:val="003E56D1"/>
    <w:rsid w:val="003E7A47"/>
    <w:rsid w:val="003F06E3"/>
    <w:rsid w:val="003F3807"/>
    <w:rsid w:val="003F4054"/>
    <w:rsid w:val="003F4CFA"/>
    <w:rsid w:val="00402A10"/>
    <w:rsid w:val="00405782"/>
    <w:rsid w:val="0040704E"/>
    <w:rsid w:val="00407B06"/>
    <w:rsid w:val="00407EC8"/>
    <w:rsid w:val="0041756A"/>
    <w:rsid w:val="0042101B"/>
    <w:rsid w:val="004223A7"/>
    <w:rsid w:val="00437342"/>
    <w:rsid w:val="00441F17"/>
    <w:rsid w:val="00446406"/>
    <w:rsid w:val="00446FB2"/>
    <w:rsid w:val="00451175"/>
    <w:rsid w:val="0045642B"/>
    <w:rsid w:val="0046148A"/>
    <w:rsid w:val="00462622"/>
    <w:rsid w:val="004654FA"/>
    <w:rsid w:val="00470176"/>
    <w:rsid w:val="00470B26"/>
    <w:rsid w:val="00470DF3"/>
    <w:rsid w:val="004731CC"/>
    <w:rsid w:val="00476E86"/>
    <w:rsid w:val="00480EC9"/>
    <w:rsid w:val="00494873"/>
    <w:rsid w:val="00494F19"/>
    <w:rsid w:val="004B1209"/>
    <w:rsid w:val="004B2802"/>
    <w:rsid w:val="004B7331"/>
    <w:rsid w:val="004C159C"/>
    <w:rsid w:val="004C3E74"/>
    <w:rsid w:val="004C5F19"/>
    <w:rsid w:val="004C6457"/>
    <w:rsid w:val="004C689B"/>
    <w:rsid w:val="004D2E03"/>
    <w:rsid w:val="004D49FE"/>
    <w:rsid w:val="004E0E56"/>
    <w:rsid w:val="004F0247"/>
    <w:rsid w:val="004F3890"/>
    <w:rsid w:val="004F4034"/>
    <w:rsid w:val="004F76BE"/>
    <w:rsid w:val="0050764C"/>
    <w:rsid w:val="00514BE5"/>
    <w:rsid w:val="00517481"/>
    <w:rsid w:val="00520DC9"/>
    <w:rsid w:val="00521466"/>
    <w:rsid w:val="005271F1"/>
    <w:rsid w:val="0053152C"/>
    <w:rsid w:val="005333DF"/>
    <w:rsid w:val="005338B2"/>
    <w:rsid w:val="005407D9"/>
    <w:rsid w:val="00540C11"/>
    <w:rsid w:val="0054182F"/>
    <w:rsid w:val="00551CE3"/>
    <w:rsid w:val="005522C7"/>
    <w:rsid w:val="00560886"/>
    <w:rsid w:val="00561EC6"/>
    <w:rsid w:val="005626BD"/>
    <w:rsid w:val="00573DE3"/>
    <w:rsid w:val="00576425"/>
    <w:rsid w:val="00581964"/>
    <w:rsid w:val="00582E75"/>
    <w:rsid w:val="00583F0D"/>
    <w:rsid w:val="005923BF"/>
    <w:rsid w:val="005929E0"/>
    <w:rsid w:val="005935AE"/>
    <w:rsid w:val="005A7AAC"/>
    <w:rsid w:val="005B0E95"/>
    <w:rsid w:val="005B17AA"/>
    <w:rsid w:val="005B5905"/>
    <w:rsid w:val="005C17CC"/>
    <w:rsid w:val="005C2CA4"/>
    <w:rsid w:val="005C2E09"/>
    <w:rsid w:val="005D20D0"/>
    <w:rsid w:val="005D4857"/>
    <w:rsid w:val="005D69FA"/>
    <w:rsid w:val="005E0F22"/>
    <w:rsid w:val="005F4B96"/>
    <w:rsid w:val="006000E5"/>
    <w:rsid w:val="00601D14"/>
    <w:rsid w:val="00604A77"/>
    <w:rsid w:val="0060667E"/>
    <w:rsid w:val="00613800"/>
    <w:rsid w:val="0061395A"/>
    <w:rsid w:val="006146CE"/>
    <w:rsid w:val="006169AA"/>
    <w:rsid w:val="00617E6F"/>
    <w:rsid w:val="0062671C"/>
    <w:rsid w:val="00627A55"/>
    <w:rsid w:val="006310E4"/>
    <w:rsid w:val="006318C6"/>
    <w:rsid w:val="00635127"/>
    <w:rsid w:val="00643235"/>
    <w:rsid w:val="00646638"/>
    <w:rsid w:val="0065027D"/>
    <w:rsid w:val="006516D8"/>
    <w:rsid w:val="0065359D"/>
    <w:rsid w:val="0066666E"/>
    <w:rsid w:val="0066783F"/>
    <w:rsid w:val="00671555"/>
    <w:rsid w:val="00672122"/>
    <w:rsid w:val="006734C2"/>
    <w:rsid w:val="00674E15"/>
    <w:rsid w:val="00676BD5"/>
    <w:rsid w:val="00680FAB"/>
    <w:rsid w:val="00683B6C"/>
    <w:rsid w:val="00684B62"/>
    <w:rsid w:val="00684EA7"/>
    <w:rsid w:val="006854CB"/>
    <w:rsid w:val="006879C2"/>
    <w:rsid w:val="00687F25"/>
    <w:rsid w:val="00694CC6"/>
    <w:rsid w:val="0069790E"/>
    <w:rsid w:val="006A6E47"/>
    <w:rsid w:val="006C5F81"/>
    <w:rsid w:val="006D1089"/>
    <w:rsid w:val="006D3FFA"/>
    <w:rsid w:val="006D5B4E"/>
    <w:rsid w:val="006E288F"/>
    <w:rsid w:val="006F1421"/>
    <w:rsid w:val="006F288E"/>
    <w:rsid w:val="00702E9B"/>
    <w:rsid w:val="00713FBA"/>
    <w:rsid w:val="0071689B"/>
    <w:rsid w:val="0073194E"/>
    <w:rsid w:val="00732CD1"/>
    <w:rsid w:val="007331AA"/>
    <w:rsid w:val="00742881"/>
    <w:rsid w:val="00746A9F"/>
    <w:rsid w:val="007470F3"/>
    <w:rsid w:val="00747686"/>
    <w:rsid w:val="0075177F"/>
    <w:rsid w:val="007532EB"/>
    <w:rsid w:val="00753560"/>
    <w:rsid w:val="007570C4"/>
    <w:rsid w:val="007647FD"/>
    <w:rsid w:val="00772E6E"/>
    <w:rsid w:val="007818E3"/>
    <w:rsid w:val="00782951"/>
    <w:rsid w:val="00790B05"/>
    <w:rsid w:val="007A0C15"/>
    <w:rsid w:val="007A6F64"/>
    <w:rsid w:val="007B13B1"/>
    <w:rsid w:val="007B7692"/>
    <w:rsid w:val="007C369B"/>
    <w:rsid w:val="007C4375"/>
    <w:rsid w:val="007C7A46"/>
    <w:rsid w:val="007D29B7"/>
    <w:rsid w:val="007D596B"/>
    <w:rsid w:val="007D6A9F"/>
    <w:rsid w:val="007E0B1C"/>
    <w:rsid w:val="007E50A4"/>
    <w:rsid w:val="007F2B86"/>
    <w:rsid w:val="00800BC4"/>
    <w:rsid w:val="008209E4"/>
    <w:rsid w:val="00821FC1"/>
    <w:rsid w:val="008226BB"/>
    <w:rsid w:val="00843FD2"/>
    <w:rsid w:val="00846376"/>
    <w:rsid w:val="008504AB"/>
    <w:rsid w:val="008539DB"/>
    <w:rsid w:val="008627EC"/>
    <w:rsid w:val="00866828"/>
    <w:rsid w:val="00872858"/>
    <w:rsid w:val="00873225"/>
    <w:rsid w:val="00874730"/>
    <w:rsid w:val="00874922"/>
    <w:rsid w:val="00880436"/>
    <w:rsid w:val="008824E9"/>
    <w:rsid w:val="00883E61"/>
    <w:rsid w:val="00884D88"/>
    <w:rsid w:val="0088542E"/>
    <w:rsid w:val="008874C2"/>
    <w:rsid w:val="00891314"/>
    <w:rsid w:val="0089365E"/>
    <w:rsid w:val="0089375E"/>
    <w:rsid w:val="0089532C"/>
    <w:rsid w:val="00895B02"/>
    <w:rsid w:val="00897174"/>
    <w:rsid w:val="008976CA"/>
    <w:rsid w:val="00897925"/>
    <w:rsid w:val="008C3BC3"/>
    <w:rsid w:val="008C515A"/>
    <w:rsid w:val="008D3219"/>
    <w:rsid w:val="008D4BF1"/>
    <w:rsid w:val="008D628D"/>
    <w:rsid w:val="008E661A"/>
    <w:rsid w:val="008E72EF"/>
    <w:rsid w:val="008F0387"/>
    <w:rsid w:val="00900DA2"/>
    <w:rsid w:val="00902C96"/>
    <w:rsid w:val="0091254D"/>
    <w:rsid w:val="009208C1"/>
    <w:rsid w:val="00925801"/>
    <w:rsid w:val="00930DC8"/>
    <w:rsid w:val="009313F4"/>
    <w:rsid w:val="0094013E"/>
    <w:rsid w:val="00943037"/>
    <w:rsid w:val="0095225E"/>
    <w:rsid w:val="00957BE1"/>
    <w:rsid w:val="009646A5"/>
    <w:rsid w:val="00965750"/>
    <w:rsid w:val="009678EE"/>
    <w:rsid w:val="00972DA8"/>
    <w:rsid w:val="009908C7"/>
    <w:rsid w:val="00990912"/>
    <w:rsid w:val="00991A1D"/>
    <w:rsid w:val="00992993"/>
    <w:rsid w:val="009A1FC3"/>
    <w:rsid w:val="009A6020"/>
    <w:rsid w:val="009B2913"/>
    <w:rsid w:val="009B397E"/>
    <w:rsid w:val="009B6866"/>
    <w:rsid w:val="009C634C"/>
    <w:rsid w:val="009E0BEB"/>
    <w:rsid w:val="009E44DE"/>
    <w:rsid w:val="009E68F0"/>
    <w:rsid w:val="009F42B7"/>
    <w:rsid w:val="00A15C2C"/>
    <w:rsid w:val="00A16654"/>
    <w:rsid w:val="00A208B5"/>
    <w:rsid w:val="00A20DBC"/>
    <w:rsid w:val="00A225D8"/>
    <w:rsid w:val="00A24340"/>
    <w:rsid w:val="00A32A44"/>
    <w:rsid w:val="00A3540C"/>
    <w:rsid w:val="00A463D4"/>
    <w:rsid w:val="00A46CC3"/>
    <w:rsid w:val="00A532EC"/>
    <w:rsid w:val="00A61C63"/>
    <w:rsid w:val="00A67EEC"/>
    <w:rsid w:val="00A7365D"/>
    <w:rsid w:val="00A760B3"/>
    <w:rsid w:val="00A76F4B"/>
    <w:rsid w:val="00A8048D"/>
    <w:rsid w:val="00A85753"/>
    <w:rsid w:val="00A85B13"/>
    <w:rsid w:val="00AB0E84"/>
    <w:rsid w:val="00AC06E9"/>
    <w:rsid w:val="00AC14E3"/>
    <w:rsid w:val="00AC2671"/>
    <w:rsid w:val="00AC6C33"/>
    <w:rsid w:val="00AD50E6"/>
    <w:rsid w:val="00AD6C51"/>
    <w:rsid w:val="00AD7D2D"/>
    <w:rsid w:val="00AE0A1F"/>
    <w:rsid w:val="00AE6754"/>
    <w:rsid w:val="00AF1A19"/>
    <w:rsid w:val="00AF769A"/>
    <w:rsid w:val="00B02BE6"/>
    <w:rsid w:val="00B052DA"/>
    <w:rsid w:val="00B0690C"/>
    <w:rsid w:val="00B12BEB"/>
    <w:rsid w:val="00B14DA5"/>
    <w:rsid w:val="00B27BA9"/>
    <w:rsid w:val="00B30393"/>
    <w:rsid w:val="00B3602D"/>
    <w:rsid w:val="00B41F6C"/>
    <w:rsid w:val="00B471B1"/>
    <w:rsid w:val="00B54819"/>
    <w:rsid w:val="00B61AD8"/>
    <w:rsid w:val="00B64D05"/>
    <w:rsid w:val="00B6701D"/>
    <w:rsid w:val="00B81957"/>
    <w:rsid w:val="00B94454"/>
    <w:rsid w:val="00BA015A"/>
    <w:rsid w:val="00BA08A0"/>
    <w:rsid w:val="00BA1254"/>
    <w:rsid w:val="00BA25AA"/>
    <w:rsid w:val="00BA4E32"/>
    <w:rsid w:val="00BA5F9A"/>
    <w:rsid w:val="00BA6056"/>
    <w:rsid w:val="00BB0098"/>
    <w:rsid w:val="00BB4720"/>
    <w:rsid w:val="00BB53A5"/>
    <w:rsid w:val="00BC5409"/>
    <w:rsid w:val="00BD428E"/>
    <w:rsid w:val="00BD4D4F"/>
    <w:rsid w:val="00BD613C"/>
    <w:rsid w:val="00BE07FE"/>
    <w:rsid w:val="00BE292F"/>
    <w:rsid w:val="00BF24A3"/>
    <w:rsid w:val="00BF6FA0"/>
    <w:rsid w:val="00BF7418"/>
    <w:rsid w:val="00BF7E68"/>
    <w:rsid w:val="00C00B9E"/>
    <w:rsid w:val="00C13036"/>
    <w:rsid w:val="00C1328B"/>
    <w:rsid w:val="00C2109D"/>
    <w:rsid w:val="00C23842"/>
    <w:rsid w:val="00C23DC3"/>
    <w:rsid w:val="00C24C37"/>
    <w:rsid w:val="00C444F7"/>
    <w:rsid w:val="00C54AF1"/>
    <w:rsid w:val="00C57017"/>
    <w:rsid w:val="00C578A7"/>
    <w:rsid w:val="00C60781"/>
    <w:rsid w:val="00C61021"/>
    <w:rsid w:val="00C61269"/>
    <w:rsid w:val="00C7283D"/>
    <w:rsid w:val="00C864C1"/>
    <w:rsid w:val="00C934DE"/>
    <w:rsid w:val="00C975EB"/>
    <w:rsid w:val="00CA016C"/>
    <w:rsid w:val="00CA1F30"/>
    <w:rsid w:val="00CA79F4"/>
    <w:rsid w:val="00CA7E6F"/>
    <w:rsid w:val="00CB5A55"/>
    <w:rsid w:val="00CC1A7E"/>
    <w:rsid w:val="00CC446C"/>
    <w:rsid w:val="00CC6156"/>
    <w:rsid w:val="00CC7A7D"/>
    <w:rsid w:val="00CD6299"/>
    <w:rsid w:val="00CE0A48"/>
    <w:rsid w:val="00CF044C"/>
    <w:rsid w:val="00CF3E45"/>
    <w:rsid w:val="00D01ABF"/>
    <w:rsid w:val="00D01ED0"/>
    <w:rsid w:val="00D21DE8"/>
    <w:rsid w:val="00D24BA9"/>
    <w:rsid w:val="00D347EF"/>
    <w:rsid w:val="00D353F6"/>
    <w:rsid w:val="00D430A9"/>
    <w:rsid w:val="00D44214"/>
    <w:rsid w:val="00D70829"/>
    <w:rsid w:val="00D73473"/>
    <w:rsid w:val="00D857AA"/>
    <w:rsid w:val="00D91FFF"/>
    <w:rsid w:val="00D94BE6"/>
    <w:rsid w:val="00DA0314"/>
    <w:rsid w:val="00DA4122"/>
    <w:rsid w:val="00DA7B02"/>
    <w:rsid w:val="00DB0E43"/>
    <w:rsid w:val="00DB371F"/>
    <w:rsid w:val="00DB51BD"/>
    <w:rsid w:val="00DC4626"/>
    <w:rsid w:val="00DD0F67"/>
    <w:rsid w:val="00DD36C1"/>
    <w:rsid w:val="00DE076D"/>
    <w:rsid w:val="00DE52C7"/>
    <w:rsid w:val="00DE6AE9"/>
    <w:rsid w:val="00DF614B"/>
    <w:rsid w:val="00E04186"/>
    <w:rsid w:val="00E102B2"/>
    <w:rsid w:val="00E10CF2"/>
    <w:rsid w:val="00E123BC"/>
    <w:rsid w:val="00E13DDA"/>
    <w:rsid w:val="00E15876"/>
    <w:rsid w:val="00E17A75"/>
    <w:rsid w:val="00E30376"/>
    <w:rsid w:val="00E37281"/>
    <w:rsid w:val="00E4051B"/>
    <w:rsid w:val="00E4109F"/>
    <w:rsid w:val="00E42068"/>
    <w:rsid w:val="00E43588"/>
    <w:rsid w:val="00E44594"/>
    <w:rsid w:val="00E47FF7"/>
    <w:rsid w:val="00E607BF"/>
    <w:rsid w:val="00E62CEB"/>
    <w:rsid w:val="00E64E42"/>
    <w:rsid w:val="00E660B9"/>
    <w:rsid w:val="00E75612"/>
    <w:rsid w:val="00E76FF4"/>
    <w:rsid w:val="00E77A91"/>
    <w:rsid w:val="00E80FB1"/>
    <w:rsid w:val="00E9364F"/>
    <w:rsid w:val="00E95E0B"/>
    <w:rsid w:val="00EA072A"/>
    <w:rsid w:val="00EA26C3"/>
    <w:rsid w:val="00EB6C25"/>
    <w:rsid w:val="00EB76B0"/>
    <w:rsid w:val="00ED0D95"/>
    <w:rsid w:val="00ED2A70"/>
    <w:rsid w:val="00ED7170"/>
    <w:rsid w:val="00EE604F"/>
    <w:rsid w:val="00EE7F12"/>
    <w:rsid w:val="00EF14BD"/>
    <w:rsid w:val="00EF59AA"/>
    <w:rsid w:val="00EF697E"/>
    <w:rsid w:val="00F001BD"/>
    <w:rsid w:val="00F002C6"/>
    <w:rsid w:val="00F16684"/>
    <w:rsid w:val="00F17A3F"/>
    <w:rsid w:val="00F23AAA"/>
    <w:rsid w:val="00F4632A"/>
    <w:rsid w:val="00F56CAF"/>
    <w:rsid w:val="00F60360"/>
    <w:rsid w:val="00F62302"/>
    <w:rsid w:val="00F66308"/>
    <w:rsid w:val="00F745AD"/>
    <w:rsid w:val="00F918CA"/>
    <w:rsid w:val="00F9372C"/>
    <w:rsid w:val="00F93B13"/>
    <w:rsid w:val="00FB7B4A"/>
    <w:rsid w:val="00FC36CE"/>
    <w:rsid w:val="00FC65F9"/>
    <w:rsid w:val="00FD1868"/>
    <w:rsid w:val="00FE3F45"/>
    <w:rsid w:val="00FE4889"/>
    <w:rsid w:val="00FF1B96"/>
    <w:rsid w:val="00FF35CE"/>
    <w:rsid w:val="00FF5B51"/>
    <w:rsid w:val="01FA27D5"/>
    <w:rsid w:val="062F05BB"/>
    <w:rsid w:val="0646AA3A"/>
    <w:rsid w:val="088476AA"/>
    <w:rsid w:val="1069D906"/>
    <w:rsid w:val="1137F2AF"/>
    <w:rsid w:val="1410383F"/>
    <w:rsid w:val="1DB8E84D"/>
    <w:rsid w:val="22315180"/>
    <w:rsid w:val="2494926D"/>
    <w:rsid w:val="26921991"/>
    <w:rsid w:val="27E313C4"/>
    <w:rsid w:val="29E78E14"/>
    <w:rsid w:val="2A0992CD"/>
    <w:rsid w:val="32CEA8D0"/>
    <w:rsid w:val="337DEB0B"/>
    <w:rsid w:val="37B022F3"/>
    <w:rsid w:val="3E1767DA"/>
    <w:rsid w:val="497E7487"/>
    <w:rsid w:val="50C9750D"/>
    <w:rsid w:val="54B89B6F"/>
    <w:rsid w:val="574512B1"/>
    <w:rsid w:val="583C63B5"/>
    <w:rsid w:val="5A6D45D4"/>
    <w:rsid w:val="60067891"/>
    <w:rsid w:val="67DC080D"/>
    <w:rsid w:val="685C592C"/>
    <w:rsid w:val="6BEA9AD3"/>
    <w:rsid w:val="71753B9C"/>
    <w:rsid w:val="790C876A"/>
    <w:rsid w:val="798F6BB3"/>
    <w:rsid w:val="7BA382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1D30D4E7-4717-4C44-8A08-D313C13B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1D"/>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8d38fef9-2749-42a4-a30c-31d40d2c632e@a751cfc8-1f9a-4edb-8370-9f1c6d4bea5a" TargetMode="External"/><Relationship Id="rId13" Type="http://schemas.openxmlformats.org/officeDocument/2006/relationships/hyperlink" Target="https://www.cde.state.co.us/fedprograms/targetedprofessionallea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fedprograms/foundationsforacceleratedimproveme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accountability/cde-advisory-list-of-providers" TargetMode="External"/><Relationship Id="rId5" Type="http://schemas.openxmlformats.org/officeDocument/2006/relationships/footnotes" Target="footnotes.xml"/><Relationship Id="rId15" Type="http://schemas.openxmlformats.org/officeDocument/2006/relationships/hyperlink" Target="https://www.cde.state.co.us/communications/strategic-plan" TargetMode="External"/><Relationship Id="rId10" Type="http://schemas.openxmlformats.org/officeDocument/2006/relationships/hyperlink" Target="https://events.teams.microsoft.com/event/dbf67b05-c765-4e78-900e-e9fdae273771@a751cfc8-1f9a-4edb-8370-9f1c6d4bea5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nts.teams.microsoft.com/event/d61f44e6-c7e9-4aff-ac0d-e75cd2172a04@a751cfc8-1f9a-4edb-8370-9f1c6d4bea5a" TargetMode="External"/><Relationship Id="rId14" Type="http://schemas.openxmlformats.org/officeDocument/2006/relationships/hyperlink" Target="https://www.cde.state.co.us/accountability/cde-advisory-list-of-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767</Words>
  <Characters>4372</Characters>
  <Application>Microsoft Office Word</Application>
  <DocSecurity>4</DocSecurity>
  <Lines>36</Lines>
  <Paragraphs>10</Paragraphs>
  <ScaleCrop>false</ScaleCrop>
  <Company/>
  <LinksUpToDate>false</LinksUpToDate>
  <CharactersWithSpaces>5129</CharactersWithSpaces>
  <SharedDoc>false</SharedDoc>
  <HLinks>
    <vt:vector size="48" baseType="variant">
      <vt:variant>
        <vt:i4>1966092</vt:i4>
      </vt:variant>
      <vt:variant>
        <vt:i4>21</vt:i4>
      </vt:variant>
      <vt:variant>
        <vt:i4>0</vt:i4>
      </vt:variant>
      <vt:variant>
        <vt:i4>5</vt:i4>
      </vt:variant>
      <vt:variant>
        <vt:lpwstr>https://www.cde.state.co.us/communications/strategic-plan</vt:lpwstr>
      </vt:variant>
      <vt:variant>
        <vt:lpwstr/>
      </vt:variant>
      <vt:variant>
        <vt:i4>1245260</vt:i4>
      </vt:variant>
      <vt:variant>
        <vt:i4>18</vt:i4>
      </vt:variant>
      <vt:variant>
        <vt:i4>0</vt:i4>
      </vt:variant>
      <vt:variant>
        <vt:i4>5</vt:i4>
      </vt:variant>
      <vt:variant>
        <vt:lpwstr>https://www.cde.state.co.us/accountability/cde-advisory-list-of-providers</vt:lpwstr>
      </vt:variant>
      <vt:variant>
        <vt:lpwstr/>
      </vt:variant>
      <vt:variant>
        <vt:i4>5242886</vt:i4>
      </vt:variant>
      <vt:variant>
        <vt:i4>15</vt:i4>
      </vt:variant>
      <vt:variant>
        <vt:i4>0</vt:i4>
      </vt:variant>
      <vt:variant>
        <vt:i4>5</vt:i4>
      </vt:variant>
      <vt:variant>
        <vt:lpwstr>https://www.cde.state.co.us/fedprograms/targetedprofessionallearning</vt:lpwstr>
      </vt:variant>
      <vt:variant>
        <vt:lpwstr/>
      </vt:variant>
      <vt:variant>
        <vt:i4>4522012</vt:i4>
      </vt:variant>
      <vt:variant>
        <vt:i4>12</vt:i4>
      </vt:variant>
      <vt:variant>
        <vt:i4>0</vt:i4>
      </vt:variant>
      <vt:variant>
        <vt:i4>5</vt:i4>
      </vt:variant>
      <vt:variant>
        <vt:lpwstr>https://www.cde.state.co.us/fedprograms/foundationsforacceleratedimprovement</vt:lpwstr>
      </vt:variant>
      <vt:variant>
        <vt:lpwstr/>
      </vt:variant>
      <vt:variant>
        <vt:i4>1245260</vt:i4>
      </vt:variant>
      <vt:variant>
        <vt:i4>9</vt:i4>
      </vt:variant>
      <vt:variant>
        <vt:i4>0</vt:i4>
      </vt:variant>
      <vt:variant>
        <vt:i4>5</vt:i4>
      </vt:variant>
      <vt:variant>
        <vt:lpwstr>https://www.cde.state.co.us/accountability/cde-advisory-list-of-providers</vt:lpwstr>
      </vt:variant>
      <vt:variant>
        <vt:lpwstr/>
      </vt:variant>
      <vt:variant>
        <vt:i4>131130</vt:i4>
      </vt:variant>
      <vt:variant>
        <vt:i4>6</vt:i4>
      </vt:variant>
      <vt:variant>
        <vt:i4>0</vt:i4>
      </vt:variant>
      <vt:variant>
        <vt:i4>5</vt:i4>
      </vt:variant>
      <vt:variant>
        <vt:lpwstr>https://events.teams.microsoft.com/event/dbf67b05-c765-4e78-900e-e9fdae273771@a751cfc8-1f9a-4edb-8370-9f1c6d4bea5a</vt:lpwstr>
      </vt:variant>
      <vt:variant>
        <vt:lpwstr/>
      </vt:variant>
      <vt:variant>
        <vt:i4>6225975</vt:i4>
      </vt:variant>
      <vt:variant>
        <vt:i4>3</vt:i4>
      </vt:variant>
      <vt:variant>
        <vt:i4>0</vt:i4>
      </vt:variant>
      <vt:variant>
        <vt:i4>5</vt:i4>
      </vt:variant>
      <vt:variant>
        <vt:lpwstr>https://events.teams.microsoft.com/event/d61f44e6-c7e9-4aff-ac0d-e75cd2172a04@a751cfc8-1f9a-4edb-8370-9f1c6d4bea5a</vt:lpwstr>
      </vt:variant>
      <vt:variant>
        <vt:lpwstr/>
      </vt:variant>
      <vt:variant>
        <vt:i4>5636148</vt:i4>
      </vt:variant>
      <vt:variant>
        <vt:i4>0</vt:i4>
      </vt:variant>
      <vt:variant>
        <vt:i4>0</vt:i4>
      </vt:variant>
      <vt:variant>
        <vt:i4>5</vt:i4>
      </vt:variant>
      <vt:variant>
        <vt:lpwstr>https://events.teams.microsoft.com/event/8d38fef9-2749-42a4-a30c-31d40d2c632e@a751cfc8-1f9a-4edb-8370-9f1c6d4bea5a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338</cp:revision>
  <dcterms:created xsi:type="dcterms:W3CDTF">2025-09-04T02:45:00Z</dcterms:created>
  <dcterms:modified xsi:type="dcterms:W3CDTF">2025-09-09T21:41:00Z</dcterms:modified>
</cp:coreProperties>
</file>